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2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pStyle w:val="BodyText"/>
        <w:spacing w:line="253" w:lineRule="auto"/>
        <w:rPr/>
      </w:pPr>
      <w:r/>
    </w:p>
    <w:p>
      <w:pPr>
        <w:ind w:left="2584"/>
        <w:spacing w:before="351" w:line="215" w:lineRule="auto"/>
        <w:outlineLvl w:val="0"/>
        <w:rPr>
          <w:rFonts w:ascii="Microsoft YaHei" w:hAnsi="Microsoft YaHei" w:eastAsia="Microsoft YaHei" w:cs="Microsoft YaHei"/>
          <w:sz w:val="82"/>
          <w:szCs w:val="82"/>
        </w:rPr>
      </w:pPr>
      <w:r>
        <w:rPr>
          <w:rFonts w:ascii="Microsoft YaHei" w:hAnsi="Microsoft YaHei" w:eastAsia="Microsoft YaHei" w:cs="Microsoft YaHei"/>
          <w:sz w:val="82"/>
          <w:szCs w:val="82"/>
          <w:b/>
          <w:bCs/>
          <w:color w:val="FFFFFF"/>
          <w:spacing w:val="19"/>
        </w:rPr>
        <w:t>一周法规速递|监管动态</w:t>
      </w:r>
    </w:p>
    <w:p>
      <w:pPr>
        <w:ind w:left="5552"/>
        <w:spacing w:line="183" w:lineRule="auto"/>
        <w:rPr>
          <w:rFonts w:ascii="Microsoft YaHei" w:hAnsi="Microsoft YaHei" w:eastAsia="Microsoft YaHei" w:cs="Microsoft YaHei"/>
          <w:sz w:val="30"/>
          <w:szCs w:val="30"/>
        </w:rPr>
      </w:pPr>
      <w:r>
        <w:rPr>
          <w:rFonts w:ascii="Microsoft YaHei" w:hAnsi="Microsoft YaHei" w:eastAsia="Microsoft YaHei" w:cs="Microsoft YaHei"/>
          <w:sz w:val="30"/>
          <w:szCs w:val="30"/>
          <w:color w:val="FFFFFF"/>
          <w:spacing w:val="-3"/>
        </w:rPr>
        <w:t>2024年6月3日-2024年6月9日</w:t>
      </w:r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ind w:left="4572" w:right="3636" w:hanging="901"/>
        <w:spacing w:before="128" w:line="200" w:lineRule="auto"/>
        <w:rPr>
          <w:rFonts w:ascii="Microsoft YaHei" w:hAnsi="Microsoft YaHei" w:eastAsia="Microsoft YaHei" w:cs="Microsoft YaHei"/>
          <w:sz w:val="30"/>
          <w:szCs w:val="30"/>
        </w:rPr>
      </w:pPr>
      <w:r>
        <w:rPr>
          <w:rFonts w:ascii="Microsoft YaHei" w:hAnsi="Microsoft YaHei" w:eastAsia="Microsoft YaHei" w:cs="Microsoft YaHei"/>
          <w:sz w:val="30"/>
          <w:szCs w:val="30"/>
          <w:b/>
          <w:bCs/>
          <w:spacing w:val="26"/>
        </w:rPr>
        <w:t>深圳价值在线咨询顾问有限公司</w:t>
      </w:r>
      <w:r>
        <w:rPr>
          <w:rFonts w:ascii="Microsoft YaHei" w:hAnsi="Microsoft YaHei" w:eastAsia="Microsoft YaHei" w:cs="Microsoft YaHei"/>
          <w:sz w:val="30"/>
          <w:szCs w:val="30"/>
          <w:b/>
          <w:bCs/>
          <w:spacing w:val="5"/>
        </w:rPr>
        <w:t xml:space="preserve"> </w:t>
      </w:r>
      <w:r>
        <w:rPr>
          <w:rFonts w:ascii="Microsoft YaHei" w:hAnsi="Microsoft YaHei" w:eastAsia="Microsoft YaHei" w:cs="Microsoft YaHei"/>
          <w:sz w:val="30"/>
          <w:szCs w:val="30"/>
          <w:b/>
          <w:bCs/>
          <w:spacing w:val="11"/>
        </w:rPr>
        <w:t>2024年6月11日</w:t>
      </w:r>
    </w:p>
    <w:p>
      <w:pPr>
        <w:spacing w:line="200" w:lineRule="auto"/>
        <w:sectPr>
          <w:headerReference w:type="default" r:id="rId1"/>
          <w:pgSz w:w="11910" w:h="16840"/>
          <w:pgMar w:top="400" w:right="0" w:bottom="0" w:left="31" w:header="0" w:footer="0" w:gutter="0"/>
        </w:sectPr>
        <w:rPr>
          <w:rFonts w:ascii="Microsoft YaHei" w:hAnsi="Microsoft YaHei" w:eastAsia="Microsoft YaHei" w:cs="Microsoft YaHei"/>
          <w:sz w:val="30"/>
          <w:szCs w:val="30"/>
        </w:rPr>
      </w:pPr>
    </w:p>
    <w:p>
      <w:pPr>
        <w:ind w:left="2629"/>
        <w:spacing w:before="309" w:line="186" w:lineRule="auto"/>
        <w:rPr>
          <w:rFonts w:ascii="Microsoft YaHei" w:hAnsi="Microsoft YaHei" w:eastAsia="Microsoft YaHei" w:cs="Microsoft YaHei"/>
          <w:sz w:val="42"/>
          <w:szCs w:val="42"/>
        </w:rPr>
      </w:pPr>
      <w:r>
        <w:pict>
          <v:group id="_x0000_s2" style="position:absolute;margin-left:0pt;margin-top:20.04pt;mso-position-vertical-relative:page;mso-position-horizontal-relative:page;width:63.25pt;height:49.25pt;z-index:251658240;" o:allowincell="f" filled="false" stroked="false" coordsize="1265,985" coordorigin="0,0">
            <v:shape id="_x0000_s4" style="position:absolute;left:0;top:0;width:1265;height:985;" fillcolor="#A61C20" filled="true" stroked="false" coordsize="1265,985" coordorigin="0,0" path="m,l1264,0l1264,984l0,984l0,0xe"/>
            <v:shape id="_x0000_s6" style="position:absolute;left:167;top:0;width:876;height:936;" fillcolor="#FFFFFF" filled="true" stroked="false" coordsize="876,936" coordorigin="0,0" path="m439,936m439,936l367,928l300,909l237,878l180,840l127,787l84,729l48,662l21,590l7,513l0,429l7,350l21,271l48,199l84,132l127,74l180,21l213,0l379,0l369,0l307,19l247,52l194,96l148,148l110,208l84,278l64,352l57,429l64,508l84,583l110,652l148,712l194,768l247,808l307,842l369,864l439,868l655,868l640,878l578,909l511,928l439,936xm655,868m655,868l439,868l506,864l571,842l631,808l683,768l729,712l768,652l794,583l813,508l820,429l813,352l794,278l768,208l729,148l683,96l631,52l571,19l506,0l496,0l664,0l698,21l751,74l791,132l828,199l854,271l871,350l876,429l871,513l854,590l828,662l791,729l751,787l698,840l655,868xm439,194m439,194l415,187l396,172l384,148l379,122l384,96l396,74l415,60l439,55l463,60l480,74l492,96l499,122l492,148l480,172l463,187l439,194xm516,374m516,374l465,374l467,374l585,242l623,199l638,194l650,199l655,213l650,228l571,314l530,360l516,374xm446,494m446,494l429,494l410,484l396,468l386,444l386,420l396,398l410,379l429,369l451,367l460,372l463,374l516,374l492,398l444,398l424,403l415,424l417,448l434,463l484,463l475,477l463,487l446,494xm484,463m484,463l434,463l456,456l465,434l463,412l444,398l492,398l490,403l488,404l489,405l492,412l492,417l492,422l492,424l494,424l600,446l633,453l643,458l487,458l484,463xm626,489m626,489l523,468l489,458l643,458l645,463l650,475l643,487l626,489xm439,808m439,808l422,804l407,794l400,777l396,758l400,739l407,722l422,712l439,710l456,712l470,722l480,739l482,758l480,777l470,794l456,804l439,808e"/>
          </v:group>
        </w:pict>
      </w:r>
      <w:r>
        <w:rPr>
          <w:rFonts w:ascii="Microsoft YaHei" w:hAnsi="Microsoft YaHei" w:eastAsia="Microsoft YaHei" w:cs="Microsoft YaHei"/>
          <w:sz w:val="42"/>
          <w:szCs w:val="42"/>
          <w:spacing w:val="20"/>
        </w:rPr>
        <w:t>法规速递</w:t>
      </w:r>
    </w:p>
    <w:p>
      <w:pPr>
        <w:ind w:firstLine="1264"/>
        <w:spacing w:before="47" w:line="53" w:lineRule="exact"/>
        <w:rPr/>
      </w:pPr>
      <w:r>
        <w:rPr>
          <w:position w:val="-1"/>
        </w:rPr>
        <w:pict>
          <v:shape id="_x0000_s8" style="mso-position-vertical-relative:line;mso-position-horizontal-relative:char;width:525.6pt;height:2.65pt;" fillcolor="#A61C20" filled="true" stroked="false" coordsize="10511,53" coordorigin="0,0" path="m,l10511,0l10511,52l0,52l0,0xe"/>
        </w:pict>
      </w:r>
    </w:p>
    <w:p>
      <w:pPr>
        <w:ind w:left="951"/>
        <w:spacing w:before="330" w:line="225" w:lineRule="auto"/>
        <w:outlineLvl w:val="0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</w:rPr>
        <w:t>1、关于就《上海证券交易所程序化交易管理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1"/>
        </w:rPr>
        <w:t>实施细则（征求意见稿）》公开征求意见的通知</w:t>
      </w:r>
    </w:p>
    <w:p>
      <w:pPr>
        <w:ind w:left="933" w:right="352" w:firstLine="432"/>
        <w:spacing w:before="42" w:line="342" w:lineRule="auto"/>
        <w:jc w:val="both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spacing w:val="-6"/>
        </w:rPr>
        <w:t>为了加强程序化交易监管，促进程序化交易规范发展，维护证券交易秩序和市场公平，在中国证监会的</w:t>
      </w:r>
      <w:r>
        <w:rPr>
          <w:rFonts w:ascii="Microsoft YaHei" w:hAnsi="Microsoft YaHei" w:eastAsia="Microsoft YaHei" w:cs="Microsoft YaHei"/>
          <w:sz w:val="22"/>
          <w:szCs w:val="22"/>
          <w:spacing w:val="-7"/>
        </w:rPr>
        <w:t>指导</w:t>
      </w:r>
      <w:r>
        <w:rPr>
          <w:rFonts w:ascii="Microsoft YaHei" w:hAnsi="Microsoft YaHei" w:eastAsia="Microsoft YaHei" w:cs="Microsoft YaHei"/>
          <w:sz w:val="22"/>
          <w:szCs w:val="22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6"/>
        </w:rPr>
        <w:t>下，上海证券交易所（以下简称本所）起草了《上海证券交易所程序化交易管理实施细则（征求意见稿）》（详</w:t>
      </w:r>
      <w:r>
        <w:rPr>
          <w:rFonts w:ascii="Microsoft YaHei" w:hAnsi="Microsoft YaHei" w:eastAsia="Microsoft YaHei" w:cs="Microsoft YaHei"/>
          <w:sz w:val="22"/>
          <w:szCs w:val="22"/>
          <w:spacing w:val="1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5"/>
        </w:rPr>
        <w:t>见附件）。现向社会公开征求意见，意见反馈截止时间为202</w:t>
      </w:r>
      <w:r>
        <w:rPr>
          <w:rFonts w:ascii="Microsoft YaHei" w:hAnsi="Microsoft YaHei" w:eastAsia="Microsoft YaHei" w:cs="Microsoft YaHei"/>
          <w:sz w:val="22"/>
          <w:szCs w:val="22"/>
          <w:spacing w:val="-6"/>
        </w:rPr>
        <w:t>4年6月14日。</w:t>
      </w:r>
    </w:p>
    <w:p>
      <w:pPr>
        <w:ind w:left="1360"/>
        <w:spacing w:line="566" w:lineRule="exact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spacing w:val="-5"/>
          <w:position w:val="10"/>
        </w:rPr>
        <w:t>有关意见或建议可通过下列两种方式提出：一是登录本所官方网站（</w:t>
      </w:r>
      <w:hyperlink w:history="true" r:id="rId3">
        <w:r>
          <w:rPr>
            <w:rFonts w:ascii="Microsoft YaHei" w:hAnsi="Microsoft YaHei" w:eastAsia="Microsoft YaHei" w:cs="Microsoft YaHei"/>
            <w:sz w:val="22"/>
            <w:szCs w:val="22"/>
            <w:spacing w:val="-5"/>
            <w:position w:val="10"/>
          </w:rPr>
          <w:t>http://www.sse.com.cn</w:t>
        </w:r>
      </w:hyperlink>
      <w:r>
        <w:rPr>
          <w:rFonts w:ascii="Microsoft YaHei" w:hAnsi="Microsoft YaHei" w:eastAsia="Microsoft YaHei" w:cs="Microsoft YaHei"/>
          <w:sz w:val="22"/>
          <w:szCs w:val="22"/>
          <w:spacing w:val="-5"/>
          <w:position w:val="10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3"/>
          <w:position w:val="10"/>
        </w:rPr>
        <w:t>），</w:t>
      </w:r>
      <w:r>
        <w:rPr>
          <w:rFonts w:ascii="Microsoft YaHei" w:hAnsi="Microsoft YaHei" w:eastAsia="Microsoft YaHei" w:cs="Microsoft YaHei"/>
          <w:sz w:val="22"/>
          <w:szCs w:val="22"/>
          <w:spacing w:val="-5"/>
          <w:position w:val="10"/>
        </w:rPr>
        <w:t>进入“</w:t>
      </w:r>
    </w:p>
    <w:p>
      <w:pPr>
        <w:ind w:left="944" w:right="355" w:hanging="12"/>
        <w:spacing w:before="87" w:line="359" w:lineRule="auto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spacing w:val="-6"/>
        </w:rPr>
        <w:t>规则”栏目下的“公开征求意见”专栏提出；二是以书面形式反馈至本所，通信地址：上海市浦东新区杨高南路</w:t>
      </w:r>
      <w:r>
        <w:rPr>
          <w:rFonts w:ascii="Microsoft YaHei" w:hAnsi="Microsoft YaHei" w:eastAsia="Microsoft YaHei" w:cs="Microsoft YaHei"/>
          <w:sz w:val="22"/>
          <w:szCs w:val="22"/>
          <w:spacing w:val="2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5"/>
        </w:rPr>
        <w:t>388号上海证券交易所交易监管部，邮政编码：20</w:t>
      </w:r>
      <w:r>
        <w:rPr>
          <w:rFonts w:ascii="Microsoft YaHei" w:hAnsi="Microsoft YaHei" w:eastAsia="Microsoft YaHei" w:cs="Microsoft YaHei"/>
          <w:sz w:val="22"/>
          <w:szCs w:val="22"/>
          <w:spacing w:val="-6"/>
        </w:rPr>
        <w:t>0127。</w:t>
      </w:r>
    </w:p>
    <w:p>
      <w:pPr>
        <w:ind w:left="1359"/>
        <w:spacing w:before="5" w:line="183" w:lineRule="auto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spacing w:val="-4"/>
        </w:rPr>
        <w:t>特此通知。</w:t>
      </w:r>
    </w:p>
    <w:p>
      <w:pPr>
        <w:ind w:left="1363"/>
        <w:spacing w:before="277" w:line="184" w:lineRule="auto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spacing w:val="-5"/>
        </w:rPr>
        <w:t>上海证券交易所</w:t>
      </w:r>
    </w:p>
    <w:p>
      <w:pPr>
        <w:pStyle w:val="BodyText"/>
        <w:spacing w:line="425" w:lineRule="auto"/>
        <w:rPr/>
      </w:pPr>
      <w:r/>
    </w:p>
    <w:p>
      <w:pPr>
        <w:ind w:firstLine="5260"/>
        <w:spacing w:line="1815" w:lineRule="exact"/>
        <w:rPr/>
      </w:pPr>
      <w:r>
        <w:rPr>
          <w:position w:val="-36"/>
        </w:rPr>
        <w:drawing>
          <wp:inline distT="0" distB="0" distL="0" distR="0">
            <wp:extent cx="1170432" cy="1152144"/>
            <wp:effectExtent l="0" t="0" r="0" b="0"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70432" cy="1152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9" w:lineRule="auto"/>
        <w:rPr/>
      </w:pPr>
      <w:r/>
    </w:p>
    <w:p>
      <w:pPr>
        <w:ind w:left="1513"/>
        <w:spacing w:before="104" w:line="225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</w:rPr>
        <w:t>关于就《上海证券交易所程序化交易管理实施细则（征求意见稿）》公开征求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1"/>
        </w:rPr>
        <w:t>意见的通知</w:t>
      </w:r>
    </w:p>
    <w:p>
      <w:pPr>
        <w:spacing w:line="225" w:lineRule="auto"/>
        <w:sectPr>
          <w:headerReference w:type="default" r:id="rId2"/>
          <w:pgSz w:w="11910" w:h="16840"/>
          <w:pgMar w:top="400" w:right="133" w:bottom="0" w:left="0" w:header="0" w:footer="0" w:gutter="0"/>
        </w:sectPr>
        <w:rPr>
          <w:rFonts w:ascii="Microsoft YaHei" w:hAnsi="Microsoft YaHei" w:eastAsia="Microsoft YaHei" w:cs="Microsoft YaHei"/>
          <w:sz w:val="24"/>
          <w:szCs w:val="24"/>
        </w:rPr>
      </w:pPr>
    </w:p>
    <w:p>
      <w:pPr>
        <w:ind w:left="396"/>
        <w:spacing w:before="47" w:line="225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</w:rPr>
        <w:t>2、关于就《深圳证券交易所程序化交易管理实施细则（征求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1"/>
        </w:rPr>
        <w:t>意见稿）》公开征求意见的通知</w:t>
      </w:r>
    </w:p>
    <w:p>
      <w:pPr>
        <w:pStyle w:val="BodyText"/>
        <w:spacing w:line="453" w:lineRule="auto"/>
        <w:rPr/>
      </w:pPr>
      <w:r/>
    </w:p>
    <w:p>
      <w:pPr>
        <w:ind w:left="417"/>
        <w:spacing w:before="94" w:line="184" w:lineRule="auto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color w:val="333333"/>
          <w:spacing w:val="1"/>
        </w:rPr>
        <w:t>各市场参与人：</w:t>
      </w:r>
    </w:p>
    <w:p>
      <w:pPr>
        <w:pStyle w:val="BodyText"/>
        <w:spacing w:line="273" w:lineRule="auto"/>
        <w:rPr/>
      </w:pPr>
      <w:r/>
    </w:p>
    <w:p>
      <w:pPr>
        <w:ind w:right="2" w:firstLine="424"/>
        <w:spacing w:before="95" w:line="228" w:lineRule="auto"/>
        <w:jc w:val="both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color w:val="333333"/>
          <w:spacing w:val="4"/>
        </w:rPr>
        <w:t>为加强证券市场程序化交易监管，促进程序化交易规范发展，维护证券交易秩序和市场公平，按照中国</w:t>
      </w:r>
      <w:r>
        <w:rPr>
          <w:rFonts w:ascii="Microsoft YaHei" w:hAnsi="Microsoft YaHei" w:eastAsia="Microsoft YaHei" w:cs="Microsoft YaHei"/>
          <w:sz w:val="22"/>
          <w:szCs w:val="22"/>
          <w:color w:val="333333"/>
          <w:spacing w:val="12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color w:val="333333"/>
          <w:spacing w:val="4"/>
        </w:rPr>
        <w:t>证监会统一部署，本所起草了《深圳证券交易所程序化交易管理实施细则（征求意</w:t>
      </w:r>
      <w:r>
        <w:rPr>
          <w:rFonts w:ascii="Microsoft YaHei" w:hAnsi="Microsoft YaHei" w:eastAsia="Microsoft YaHei" w:cs="Microsoft YaHei"/>
          <w:sz w:val="22"/>
          <w:szCs w:val="22"/>
          <w:color w:val="333333"/>
          <w:spacing w:val="3"/>
        </w:rPr>
        <w:t>见稿）》，现向社会公开</w:t>
      </w:r>
      <w:r>
        <w:rPr>
          <w:rFonts w:ascii="Microsoft YaHei" w:hAnsi="Microsoft YaHei" w:eastAsia="Microsoft YaHei" w:cs="Microsoft YaHei"/>
          <w:sz w:val="22"/>
          <w:szCs w:val="22"/>
          <w:color w:val="333333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color w:val="333333"/>
          <w:spacing w:val="-1"/>
        </w:rPr>
        <w:t>征求意见。</w:t>
      </w:r>
    </w:p>
    <w:p>
      <w:pPr>
        <w:ind w:left="418"/>
        <w:spacing w:before="247" w:line="422" w:lineRule="exact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color w:val="333333"/>
          <w:position w:val="6"/>
        </w:rPr>
        <w:t>有关意见或建议请以电子邮件形式于2024年6月14日</w:t>
      </w:r>
      <w:r>
        <w:rPr>
          <w:rFonts w:ascii="Microsoft YaHei" w:hAnsi="Microsoft YaHei" w:eastAsia="Microsoft YaHei" w:cs="Microsoft YaHei"/>
          <w:sz w:val="22"/>
          <w:szCs w:val="22"/>
          <w:position w:val="6"/>
        </w:rPr>
        <w:t>前反馈，</w:t>
      </w:r>
      <w:r>
        <w:rPr>
          <w:rFonts w:ascii="Microsoft YaHei" w:hAnsi="Microsoft YaHei" w:eastAsia="Microsoft YaHei" w:cs="Microsoft YaHei"/>
          <w:sz w:val="22"/>
          <w:szCs w:val="22"/>
          <w:color w:val="333333"/>
          <w:position w:val="6"/>
        </w:rPr>
        <w:t>电子邮箱</w:t>
      </w:r>
      <w:r>
        <w:rPr>
          <w:rFonts w:ascii="Microsoft YaHei" w:hAnsi="Microsoft YaHei" w:eastAsia="Microsoft YaHei" w:cs="Microsoft YaHei"/>
          <w:sz w:val="22"/>
          <w:szCs w:val="22"/>
          <w:position w:val="6"/>
        </w:rPr>
        <w:t>：</w:t>
      </w:r>
      <w:hyperlink w:history="true" r:id="rId5">
        <w:r>
          <w:rPr>
            <w:rFonts w:ascii="Microsoft YaHei" w:hAnsi="Microsoft YaHei" w:eastAsia="Microsoft YaHei" w:cs="Microsoft YaHei"/>
            <w:sz w:val="22"/>
            <w:szCs w:val="22"/>
            <w:position w:val="6"/>
          </w:rPr>
          <w:t>jyjgb@szse.cn</w:t>
        </w:r>
      </w:hyperlink>
      <w:r>
        <w:rPr>
          <w:rFonts w:ascii="Microsoft YaHei" w:hAnsi="Microsoft YaHei" w:eastAsia="Microsoft YaHei" w:cs="Microsoft YaHei"/>
          <w:sz w:val="22"/>
          <w:szCs w:val="22"/>
          <w:color w:val="333333"/>
          <w:position w:val="6"/>
        </w:rPr>
        <w:t>。</w:t>
      </w:r>
    </w:p>
    <w:p>
      <w:pPr>
        <w:ind w:left="9096" w:hanging="113"/>
        <w:spacing w:before="321" w:line="239" w:lineRule="auto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color w:val="333333"/>
          <w:spacing w:val="-1"/>
        </w:rPr>
        <w:t>深圳证券交易所</w:t>
      </w:r>
      <w:r>
        <w:rPr>
          <w:rFonts w:ascii="Microsoft YaHei" w:hAnsi="Microsoft YaHei" w:eastAsia="Microsoft YaHei" w:cs="Microsoft YaHei"/>
          <w:sz w:val="22"/>
          <w:szCs w:val="22"/>
          <w:color w:val="333333"/>
          <w:spacing w:val="3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color w:val="333333"/>
          <w:spacing w:val="-2"/>
        </w:rPr>
        <w:t>2024年6月7日</w:t>
      </w:r>
    </w:p>
    <w:p>
      <w:pPr>
        <w:pStyle w:val="BodyText"/>
        <w:spacing w:line="269" w:lineRule="auto"/>
        <w:rPr/>
      </w:pPr>
      <w:r/>
    </w:p>
    <w:p>
      <w:pPr>
        <w:pStyle w:val="BodyText"/>
        <w:spacing w:line="270" w:lineRule="auto"/>
        <w:rPr/>
      </w:pPr>
      <w:r/>
    </w:p>
    <w:p>
      <w:pPr>
        <w:pStyle w:val="BodyText"/>
        <w:spacing w:line="270" w:lineRule="auto"/>
        <w:rPr/>
      </w:pPr>
      <w:r/>
    </w:p>
    <w:p>
      <w:pPr>
        <w:ind w:firstLine="4328"/>
        <w:spacing w:line="1814" w:lineRule="exact"/>
        <w:rPr/>
      </w:pPr>
      <w:r>
        <w:rPr>
          <w:position w:val="-36"/>
        </w:rPr>
        <w:drawing>
          <wp:inline distT="0" distB="0" distL="0" distR="0">
            <wp:extent cx="1170432" cy="1152144"/>
            <wp:effectExtent l="0" t="0" r="0" b="0"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70432" cy="1152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440" w:lineRule="auto"/>
        <w:rPr/>
      </w:pPr>
      <w:r/>
    </w:p>
    <w:p>
      <w:pPr>
        <w:ind w:left="701"/>
        <w:spacing w:before="104" w:line="225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</w:rPr>
        <w:t>关于就《深圳证券交易所程序化交易管理实施细则（征求意见稿）》公开征求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1"/>
        </w:rPr>
        <w:t>意见的通知</w:t>
      </w:r>
    </w:p>
    <w:p>
      <w:pPr>
        <w:spacing w:line="225" w:lineRule="auto"/>
        <w:sectPr>
          <w:pgSz w:w="11910" w:h="16840"/>
          <w:pgMar w:top="400" w:right="457" w:bottom="0" w:left="932" w:header="0" w:footer="0" w:gutter="0"/>
        </w:sectPr>
        <w:rPr>
          <w:rFonts w:ascii="Microsoft YaHei" w:hAnsi="Microsoft YaHei" w:eastAsia="Microsoft YaHei" w:cs="Microsoft YaHei"/>
          <w:sz w:val="24"/>
          <w:szCs w:val="24"/>
        </w:rPr>
      </w:pPr>
    </w:p>
    <w:p>
      <w:pPr>
        <w:ind w:left="341"/>
        <w:spacing w:before="47" w:line="225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1"/>
        </w:rPr>
        <w:t>3、关于就《北京证券交易所程序化交易管理实施细则（征求意见稿）》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70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1"/>
        </w:rPr>
        <w:t>公开征求意见的通知</w:t>
      </w:r>
    </w:p>
    <w:p>
      <w:pPr>
        <w:pStyle w:val="BodyText"/>
        <w:spacing w:line="414" w:lineRule="auto"/>
        <w:rPr/>
      </w:pPr>
      <w:r/>
    </w:p>
    <w:p>
      <w:pPr>
        <w:ind w:firstLine="424"/>
        <w:spacing w:before="95" w:line="234" w:lineRule="auto"/>
        <w:jc w:val="both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spacing w:val="4"/>
        </w:rPr>
        <w:t>为加强北京证券交易所（以下简称本所）市场的程序化交易监管，促进程序化交易规范发展，维护证券</w:t>
      </w:r>
      <w:r>
        <w:rPr>
          <w:rFonts w:ascii="Microsoft YaHei" w:hAnsi="Microsoft YaHei" w:eastAsia="Microsoft YaHei" w:cs="Microsoft YaHei"/>
          <w:sz w:val="22"/>
          <w:szCs w:val="22"/>
          <w:spacing w:val="12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4"/>
        </w:rPr>
        <w:t>交易秩序和市场公平，根据《中华人民共和国证券法》《证券市场程序化交易管理</w:t>
      </w:r>
      <w:r>
        <w:rPr>
          <w:rFonts w:ascii="Microsoft YaHei" w:hAnsi="Microsoft YaHei" w:eastAsia="Microsoft YaHei" w:cs="Microsoft YaHei"/>
          <w:sz w:val="22"/>
          <w:szCs w:val="22"/>
          <w:spacing w:val="3"/>
        </w:rPr>
        <w:t>规定（试行）》等有关法</w:t>
      </w:r>
      <w:r>
        <w:rPr>
          <w:rFonts w:ascii="Microsoft YaHei" w:hAnsi="Microsoft YaHei" w:eastAsia="Microsoft YaHei" w:cs="Microsoft YaHei"/>
          <w:sz w:val="22"/>
          <w:szCs w:val="22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4"/>
        </w:rPr>
        <w:t>律法规，在中国证监会指导下，本所起草了《北京证券交易所程序化交易管理实施细则（征求意见稿）》，</w:t>
      </w:r>
      <w:r>
        <w:rPr>
          <w:rFonts w:ascii="Microsoft YaHei" w:hAnsi="Microsoft YaHei" w:eastAsia="Microsoft YaHei" w:cs="Microsoft YaHei"/>
          <w:sz w:val="22"/>
          <w:szCs w:val="22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</w:rPr>
        <w:t>现向社会公开征求意见。有关意见请于6月14日24:00前通过电子邮件或邮寄方式</w:t>
      </w:r>
      <w:r>
        <w:rPr>
          <w:rFonts w:ascii="Microsoft YaHei" w:hAnsi="Microsoft YaHei" w:eastAsia="Microsoft YaHei" w:cs="Microsoft YaHei"/>
          <w:sz w:val="22"/>
          <w:szCs w:val="22"/>
          <w:spacing w:val="-1"/>
        </w:rPr>
        <w:t>反馈。</w:t>
      </w:r>
    </w:p>
    <w:p>
      <w:pPr>
        <w:ind w:left="432"/>
        <w:spacing w:before="269" w:line="449" w:lineRule="exact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spacing w:val="-1"/>
          <w:position w:val="6"/>
        </w:rPr>
        <w:t>邮箱地址：</w:t>
      </w:r>
      <w:hyperlink w:history="true" r:id="rId7">
        <w:r>
          <w:rPr>
            <w:rFonts w:ascii="Microsoft YaHei" w:hAnsi="Microsoft YaHei" w:eastAsia="Microsoft YaHei" w:cs="Microsoft YaHei"/>
            <w:sz w:val="22"/>
            <w:szCs w:val="22"/>
            <w:spacing w:val="-1"/>
            <w:position w:val="6"/>
          </w:rPr>
          <w:t>ruleadvice@bse.cn</w:t>
        </w:r>
      </w:hyperlink>
    </w:p>
    <w:p>
      <w:pPr>
        <w:ind w:left="72" w:right="8" w:firstLine="360"/>
        <w:spacing w:before="255" w:line="231" w:lineRule="auto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color w:val="333333"/>
          <w:spacing w:val="1"/>
        </w:rPr>
        <w:t>邮寄地址：北京市西城区金融大街丁26号金阳大厦南门北京证券交易所交易监</w:t>
      </w:r>
      <w:r>
        <w:rPr>
          <w:rFonts w:ascii="Microsoft YaHei" w:hAnsi="Microsoft YaHei" w:eastAsia="Microsoft YaHei" w:cs="Microsoft YaHei"/>
          <w:sz w:val="22"/>
          <w:szCs w:val="22"/>
          <w:color w:val="333333"/>
        </w:rPr>
        <w:t>管部（邮政编码：100033 </w:t>
      </w:r>
      <w:r>
        <w:rPr>
          <w:rFonts w:ascii="Microsoft YaHei" w:hAnsi="Microsoft YaHei" w:eastAsia="Microsoft YaHei" w:cs="Microsoft YaHei"/>
          <w:sz w:val="22"/>
          <w:szCs w:val="22"/>
          <w:color w:val="333333"/>
        </w:rPr>
        <w:t>)</w:t>
      </w:r>
    </w:p>
    <w:p>
      <w:pPr>
        <w:pStyle w:val="BodyText"/>
        <w:spacing w:line="252" w:lineRule="auto"/>
        <w:rPr/>
      </w:pPr>
      <w:r/>
    </w:p>
    <w:p>
      <w:pPr>
        <w:ind w:left="9097" w:right="8" w:hanging="114"/>
        <w:spacing w:before="95" w:line="239" w:lineRule="auto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color w:val="333333"/>
          <w:spacing w:val="-1"/>
        </w:rPr>
        <w:t>北京证券交易所</w:t>
      </w:r>
      <w:r>
        <w:rPr>
          <w:rFonts w:ascii="Microsoft YaHei" w:hAnsi="Microsoft YaHei" w:eastAsia="Microsoft YaHei" w:cs="Microsoft YaHei"/>
          <w:sz w:val="22"/>
          <w:szCs w:val="22"/>
          <w:color w:val="333333"/>
          <w:spacing w:val="4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color w:val="333333"/>
          <w:spacing w:val="-2"/>
        </w:rPr>
        <w:t>2024年6月7日</w:t>
      </w:r>
    </w:p>
    <w:p>
      <w:pPr>
        <w:ind w:firstLine="4537"/>
        <w:spacing w:before="194" w:line="1872" w:lineRule="exact"/>
        <w:rPr/>
      </w:pPr>
      <w:r>
        <w:rPr>
          <w:position w:val="-37"/>
        </w:rPr>
        <w:drawing>
          <wp:inline distT="0" distB="0" distL="0" distR="0">
            <wp:extent cx="1170432" cy="1188720"/>
            <wp:effectExtent l="0" t="0" r="0" b="0"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70432" cy="1188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/>
      </w:pPr>
      <w:r/>
    </w:p>
    <w:p>
      <w:pPr>
        <w:ind w:left="732"/>
        <w:spacing w:before="103" w:line="225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</w:rPr>
        <w:t>关于就《北京证券交易所程序化交易管理实施细则（征求意见稿）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1"/>
        </w:rPr>
        <w:t>》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53"/>
          <w:w w:val="101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1"/>
        </w:rPr>
        <w:t>公开征求意见的通知</w:t>
      </w:r>
    </w:p>
    <w:p>
      <w:pPr>
        <w:spacing w:line="225" w:lineRule="auto"/>
        <w:sectPr>
          <w:pgSz w:w="11910" w:h="16840"/>
          <w:pgMar w:top="400" w:right="448" w:bottom="0" w:left="931" w:header="0" w:footer="0" w:gutter="0"/>
        </w:sectPr>
        <w:rPr>
          <w:rFonts w:ascii="Microsoft YaHei" w:hAnsi="Microsoft YaHei" w:eastAsia="Microsoft YaHei" w:cs="Microsoft YaHei"/>
          <w:sz w:val="24"/>
          <w:szCs w:val="24"/>
        </w:rPr>
      </w:pPr>
    </w:p>
    <w:p>
      <w:pPr>
        <w:pStyle w:val="BodyText"/>
        <w:spacing w:line="268" w:lineRule="auto"/>
        <w:rPr/>
      </w:pPr>
      <w:r/>
    </w:p>
    <w:p>
      <w:pPr>
        <w:pStyle w:val="BodyText"/>
        <w:spacing w:line="268" w:lineRule="auto"/>
        <w:rPr/>
      </w:pPr>
      <w:r>
        <w:pict>
          <v:group id="_x0000_s10" style="position:absolute;margin-left:0pt;margin-top:4.60345pt;mso-position-vertical-relative:text;mso-position-horizontal-relative:text;width:67.85pt;height:56.8pt;z-index:251661312;" filled="false" stroked="false" coordsize="1356,1135" coordorigin="0,0">
            <v:shape id="_x0000_s12" style="position:absolute;left:0;top:0;width:1356;height:1135;" fillcolor="#A61C20" filled="true" stroked="false" coordsize="1356,1135" coordorigin="0,0" path="m,l1356,0l1356,1135l0,1135l0,0xe"/>
            <v:shape id="_x0000_s14" style="position:absolute;left:223;top:170;width:819;height:911;" fillcolor="#FFFFFF" filled="true" stroked="false" coordsize="819,911" coordorigin="0,0" path="m595,777l223,777l213,770l213,731l223,724l595,724l604,731l604,770l595,777xm580,708l237,708l225,698l225,688l213,635l179,583l136,532l88,480l43,424l11,362l0,297l0,290l4,237l21,187l50,144l83,105l127,71l175,48l230,26l287,11l347,2l410,0l470,2l530,11l588,26l640,48l688,71l732,105l736,108l364,108l360,117l360,124l355,148l352,151l232,151l201,175l189,184l177,194l172,199l172,208l177,215l206,242l208,244l208,249l201,259l196,268l191,280l184,290l184,291l182,291l179,292l170,292l124,297l115,302l115,371l124,374l136,376l180,381l182,381l184,382l184,384l191,395l196,405l201,415l208,424l208,429l201,436l191,444l177,460l172,465l172,472l177,480l225,515l232,520l352,520l355,540l360,549l360,559l364,564l648,564l636,578l604,628l592,688l592,698l580,708xm524,182l523,182l496,172l482,168l468,164l466,164l468,163l465,160l465,148l460,136l460,124l458,117l451,108l736,108l768,144l772,151l585,151l576,153l566,158l529,181l528,182l525,182m292,182l290,181l287,182l280,175l271,170l261,163l251,158l242,153l232,151l352,151l352,160l351,162l349,164l347,165l335,168l321,172l307,177l293,181l292,182m686,520l585,520l648,472l645,465l640,460l624,444l616,436l607,428l607,427l609,424l616,415l621,405l626,395l631,384l631,384l636,381l638,381l684,376l693,374l703,371l703,302l693,297l684,297l648,292l638,292l636,292l631,291l631,290l626,280l621,268l616,259l609,248l607,247l607,244l609,242l640,215l645,208l648,199l640,194l628,184l616,175l592,158l585,151l772,151l794,187l811,237l818,290l818,297l804,362l772,422l729,475l686,520xm410,448l355,439l307,415l278,379l266,335l278,295l307,259l355,235l410,228l465,235l508,259l540,295l549,335l540,379l508,415l465,439l410,448xm352,520l242,520l251,515l261,511l271,504l280,499l288,493l290,491l292,491l307,496l321,504l335,506l347,508l352,511l352,515l352,520xm648,564l451,564l458,559l460,549l460,540l465,525l464,513l466,511l466,510l468,508l496,504l508,496l523,491l527,491l530,494l540,499l547,504l556,511l566,515l576,520l686,520l681,528l648,564xm559,911l256,911l247,904l247,864l256,859l559,859l568,864l568,904l559,911xm580,844l235,844l227,840l227,796l235,791l580,791l592,796l592,840l580,844e"/>
          </v:group>
        </w:pict>
      </w:r>
      <w:r/>
    </w:p>
    <w:p>
      <w:pPr>
        <w:ind w:left="1715"/>
        <w:spacing w:before="180" w:line="186" w:lineRule="auto"/>
        <w:rPr>
          <w:rFonts w:ascii="Microsoft YaHei" w:hAnsi="Microsoft YaHei" w:eastAsia="Microsoft YaHei" w:cs="Microsoft YaHei"/>
          <w:sz w:val="42"/>
          <w:szCs w:val="42"/>
        </w:rPr>
      </w:pPr>
      <w:r>
        <w:rPr>
          <w:rFonts w:ascii="Microsoft YaHei" w:hAnsi="Microsoft YaHei" w:eastAsia="Microsoft YaHei" w:cs="Microsoft YaHei"/>
          <w:sz w:val="42"/>
          <w:szCs w:val="42"/>
          <w:spacing w:val="18"/>
        </w:rPr>
        <w:t>监管动态</w:t>
      </w:r>
    </w:p>
    <w:p>
      <w:pPr>
        <w:ind w:firstLine="1356"/>
        <w:spacing w:before="157" w:line="53" w:lineRule="exact"/>
        <w:rPr/>
      </w:pPr>
      <w:r>
        <w:rPr>
          <w:position w:val="-1"/>
        </w:rPr>
        <w:pict>
          <v:shape id="_x0000_s16" style="mso-position-vertical-relative:line;mso-position-horizontal-relative:char;width:525.6pt;height:2.65pt;" fillcolor="#A61C20" filled="true" stroked="false" coordsize="10511,53" coordorigin="0,0" path="m,l10511,0l10511,52l0,52l0,0xe"/>
        </w:pict>
      </w:r>
    </w:p>
    <w:p>
      <w:pPr>
        <w:pStyle w:val="BodyText"/>
        <w:spacing w:line="326" w:lineRule="auto"/>
        <w:rPr/>
      </w:pPr>
      <w:r/>
    </w:p>
    <w:p>
      <w:pPr>
        <w:ind w:firstLine="19"/>
        <w:spacing w:line="924" w:lineRule="exact"/>
        <w:rPr/>
      </w:pPr>
      <w:r>
        <w:rPr>
          <w:position w:val="-18"/>
        </w:rPr>
        <w:pict>
          <v:group id="_x0000_s18" style="mso-position-vertical-relative:line;mso-position-horizontal-relative:char;width:112.1pt;height:46.25pt;" filled="false" stroked="false" coordsize="2241,925" coordorigin="0,0">
            <v:shape id="_x0000_s20" style="position:absolute;left:0;top:0;width:2241;height:925;" filled="false" stroked="false" type="#_x0000_t75">
              <v:imagedata o:title="" r:id="rId9"/>
            </v:shape>
            <v:shape id="_x0000_s22" style="position:absolute;left:-20;top:-20;width:2281;height:965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97"/>
                      <w:spacing w:before="299" w:line="184" w:lineRule="auto"/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  <w:color w:val="FFFFFF"/>
                        <w:spacing w:val="-4"/>
                      </w:rPr>
                      <w:t>市场监管概览</w:t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line="478" w:lineRule="auto"/>
        <w:rPr/>
      </w:pPr>
      <w:r/>
    </w:p>
    <w:p>
      <w:pPr>
        <w:ind w:left="238" w:right="81" w:firstLine="425"/>
        <w:spacing w:before="95" w:line="194" w:lineRule="auto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spacing w:val="-2"/>
        </w:rPr>
        <w:t>2024年6月3日-6月9日，证监会作出3份监管文书；证监局作出29份监管文书；上交所作出14份监管文书；深交所作</w:t>
      </w:r>
      <w:r>
        <w:rPr>
          <w:rFonts w:ascii="Microsoft YaHei" w:hAnsi="Microsoft YaHei" w:eastAsia="Microsoft YaHei" w:cs="Microsoft YaHei"/>
          <w:sz w:val="22"/>
          <w:szCs w:val="22"/>
          <w:spacing w:val="2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4"/>
        </w:rPr>
        <w:t>出9份监管文书。</w:t>
      </w:r>
    </w:p>
    <w:p>
      <w:pPr>
        <w:ind w:firstLine="1748"/>
        <w:spacing w:line="9858" w:lineRule="exact"/>
        <w:rPr/>
      </w:pPr>
      <w:r>
        <w:rPr>
          <w:position w:val="-197"/>
        </w:rPr>
        <w:drawing>
          <wp:inline distT="0" distB="0" distL="0" distR="0">
            <wp:extent cx="5446077" cy="6260147"/>
            <wp:effectExtent l="0" t="0" r="0" b="0"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446077" cy="6260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9858" w:lineRule="exact"/>
        <w:sectPr>
          <w:pgSz w:w="11910" w:h="16840"/>
          <w:pgMar w:top="400" w:right="42" w:bottom="0" w:left="0" w:header="0" w:footer="0" w:gutter="0"/>
        </w:sectPr>
        <w:rPr/>
      </w:pPr>
    </w:p>
    <w:p>
      <w:pPr>
        <w:ind w:firstLine="44"/>
        <w:spacing w:line="924" w:lineRule="exact"/>
        <w:rPr/>
      </w:pPr>
      <w:r>
        <w:rPr>
          <w:position w:val="-18"/>
        </w:rPr>
        <w:pict>
          <v:group id="_x0000_s24" style="mso-position-vertical-relative:line;mso-position-horizontal-relative:char;width:188.3pt;height:46.25pt;" filled="false" stroked="false" coordsize="3766,925" coordorigin="0,0">
            <v:shape id="_x0000_s26" style="position:absolute;left:0;top:0;width:3766;height:925;" filled="false" stroked="false" type="#_x0000_t75">
              <v:imagedata o:title="" r:id="rId11"/>
            </v:shape>
            <v:shape id="_x0000_s28" style="position:absolute;left:-20;top:-20;width:3806;height:965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89"/>
                      <w:spacing w:before="299" w:line="184" w:lineRule="auto"/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  <w:color w:val="FFFFFF"/>
                        <w:spacing w:val="-2"/>
                      </w:rPr>
                      <w:t>证监会证监局监管动态</w:t>
                    </w:r>
                  </w:p>
                </w:txbxContent>
              </v:textbox>
            </v:shape>
          </v:group>
        </w:pict>
      </w:r>
    </w:p>
    <w:p>
      <w:pPr>
        <w:ind w:left="43" w:firstLine="427"/>
        <w:spacing w:before="198" w:line="225" w:lineRule="auto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spacing w:val="-2"/>
        </w:rPr>
        <w:t>2024年6月3日-6月9日，证监会作出2份行政处罚及市场禁入事先告知书，对1个对象进行立案调查；证监局作</w:t>
      </w:r>
      <w:r>
        <w:rPr>
          <w:rFonts w:ascii="Microsoft YaHei" w:hAnsi="Microsoft YaHei" w:eastAsia="Microsoft YaHei" w:cs="Microsoft YaHei"/>
          <w:sz w:val="22"/>
          <w:szCs w:val="22"/>
          <w:spacing w:val="1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2"/>
        </w:rPr>
        <w:t>出2份行政处罚事先告知书，2份行政处罚决定书</w:t>
      </w:r>
      <w:r>
        <w:rPr>
          <w:rFonts w:ascii="Microsoft YaHei" w:hAnsi="Microsoft YaHei" w:eastAsia="Microsoft YaHei" w:cs="Microsoft YaHei"/>
          <w:sz w:val="22"/>
          <w:szCs w:val="22"/>
          <w:spacing w:val="-3"/>
        </w:rPr>
        <w:t>，27份行政监管措施决定书。</w:t>
      </w:r>
    </w:p>
    <w:p>
      <w:pPr>
        <w:spacing w:before="61" w:line="210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2"/>
        </w:rPr>
        <w:t>（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29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2"/>
        </w:rPr>
        <w:t>1）行政处罚决定书</w:t>
      </w:r>
    </w:p>
    <w:tbl>
      <w:tblPr>
        <w:tblStyle w:val="TableNormal"/>
        <w:tblW w:w="8053" w:type="dxa"/>
        <w:tblInd w:w="1501" w:type="dxa"/>
        <w:tblLayout w:type="fixed"/>
        <w:tblBorders>
          <w:top w:val="single" w:color="4F81BD" w:sz="6" w:space="0"/>
          <w:left w:val="single" w:color="4F81BD" w:sz="6" w:space="0"/>
          <w:bottom w:val="single" w:color="4F81BD" w:sz="6" w:space="0"/>
          <w:right w:val="single" w:color="4F81BD" w:sz="6" w:space="0"/>
          <w:insideH w:val="single" w:color="4F81BD" w:sz="6" w:space="0"/>
          <w:insideV w:val="single" w:color="4F81BD" w:sz="6" w:space="0"/>
        </w:tblBorders>
      </w:tblPr>
      <w:tblGrid>
        <w:gridCol w:w="1214"/>
        <w:gridCol w:w="1343"/>
        <w:gridCol w:w="5496"/>
      </w:tblGrid>
      <w:tr>
        <w:trPr>
          <w:trHeight w:val="387" w:hRule="atLeast"/>
        </w:trPr>
        <w:tc>
          <w:tcPr>
            <w:shd w:val="clear" w:fill="4F81BD"/>
            <w:tcW w:w="1214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181"/>
              <w:spacing w:before="109" w:line="187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公司代码</w:t>
            </w:r>
          </w:p>
        </w:tc>
        <w:tc>
          <w:tcPr>
            <w:shd w:val="clear" w:fill="4F81BD"/>
            <w:tcW w:w="1343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244"/>
              <w:spacing w:before="109" w:line="187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公司简称</w:t>
            </w:r>
          </w:p>
        </w:tc>
        <w:tc>
          <w:tcPr>
            <w:shd w:val="clear" w:fill="4F81BD"/>
            <w:tcW w:w="5496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2320"/>
              <w:spacing w:before="109" w:line="187" w:lineRule="auto"/>
              <w:rPr/>
            </w:pPr>
            <w:r>
              <w:rPr>
                <w:b/>
                <w:bCs/>
                <w:color w:val="FFFFFF"/>
                <w:spacing w:val="8"/>
              </w:rPr>
              <w:t>违规行为</w:t>
            </w:r>
          </w:p>
        </w:tc>
      </w:tr>
      <w:tr>
        <w:trPr>
          <w:trHeight w:val="728" w:hRule="atLeast"/>
        </w:trPr>
        <w:tc>
          <w:tcPr>
            <w:shd w:val="clear" w:fill="B8CCE4"/>
            <w:tcW w:w="1214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236"/>
              <w:spacing w:before="279" w:line="178" w:lineRule="auto"/>
              <w:rPr/>
            </w:pPr>
            <w:r>
              <w:rPr>
                <w:spacing w:val="3"/>
              </w:rPr>
              <w:t>002800</w:t>
            </w:r>
          </w:p>
        </w:tc>
        <w:tc>
          <w:tcPr>
            <w:shd w:val="clear" w:fill="B8CCE4"/>
            <w:tcW w:w="1343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342"/>
              <w:spacing w:before="272" w:line="184" w:lineRule="auto"/>
              <w:rPr/>
            </w:pPr>
            <w:r>
              <w:rPr/>
              <w:t>ST</w:t>
            </w:r>
            <w:r>
              <w:rPr>
                <w:spacing w:val="8"/>
              </w:rPr>
              <w:t>天顺</w:t>
            </w:r>
          </w:p>
        </w:tc>
        <w:tc>
          <w:tcPr>
            <w:shd w:val="clear" w:fill="B8CCE4"/>
            <w:tcW w:w="5496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101" w:right="103" w:hanging="2"/>
              <w:spacing w:before="86" w:line="221" w:lineRule="auto"/>
              <w:rPr/>
            </w:pPr>
            <w:r>
              <w:rPr>
                <w:spacing w:val="11"/>
              </w:rPr>
              <w:t>未及时披露控股股东及其关联方</w:t>
            </w:r>
            <w:r>
              <w:rPr>
                <w:b/>
                <w:bCs/>
                <w:spacing w:val="11"/>
              </w:rPr>
              <w:t>非经营性资金占用</w:t>
            </w:r>
            <w:r>
              <w:rPr>
                <w:spacing w:val="11"/>
              </w:rPr>
              <w:t>的关联</w:t>
            </w:r>
            <w:r>
              <w:rPr>
                <w:spacing w:val="1"/>
              </w:rPr>
              <w:t xml:space="preserve"> </w:t>
            </w:r>
            <w:r>
              <w:rPr>
                <w:spacing w:val="7"/>
              </w:rPr>
              <w:t>交易</w:t>
            </w:r>
            <w:r>
              <w:rPr>
                <w:spacing w:val="-34"/>
              </w:rPr>
              <w:t xml:space="preserve"> </w:t>
            </w:r>
            <w:r>
              <w:rPr>
                <w:spacing w:val="7"/>
              </w:rPr>
              <w:t>；2022年半年度报告存在</w:t>
            </w:r>
            <w:r>
              <w:rPr>
                <w:b/>
                <w:bCs/>
                <w:spacing w:val="7"/>
              </w:rPr>
              <w:t>重大遗漏</w:t>
            </w:r>
            <w:r>
              <w:rPr>
                <w:spacing w:val="7"/>
              </w:rPr>
              <w:t>。</w:t>
            </w:r>
          </w:p>
        </w:tc>
      </w:tr>
      <w:tr>
        <w:trPr>
          <w:trHeight w:val="2521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22"/>
              <w:spacing w:before="40" w:line="237" w:lineRule="auto"/>
              <w:rPr/>
            </w:pPr>
            <w:r>
              <w:rPr>
                <w:b/>
                <w:bCs/>
                <w:spacing w:val="8"/>
              </w:rPr>
              <w:t>【行政处罚决定】</w:t>
            </w:r>
            <w:r>
              <w:rPr>
                <w:b/>
                <w:bCs/>
                <w:spacing w:val="-19"/>
              </w:rPr>
              <w:t xml:space="preserve"> </w:t>
            </w:r>
            <w:r>
              <w:rPr>
                <w:spacing w:val="8"/>
              </w:rPr>
              <w:t>中国证券监督管理委员会新疆监管局决定：</w:t>
            </w:r>
          </w:p>
          <w:p>
            <w:pPr>
              <w:pStyle w:val="TableText"/>
              <w:ind w:left="87"/>
              <w:spacing w:before="25" w:line="229" w:lineRule="auto"/>
              <w:rPr/>
            </w:pPr>
            <w:r>
              <w:rPr>
                <w:spacing w:val="9"/>
              </w:rPr>
              <w:t>（一）对新疆天顺供应链股份有限公司给予警告，并处以3,000,000元罚款；</w:t>
            </w:r>
          </w:p>
          <w:p>
            <w:pPr>
              <w:pStyle w:val="TableText"/>
              <w:ind w:left="87"/>
              <w:spacing w:before="32" w:line="229" w:lineRule="auto"/>
              <w:rPr/>
            </w:pPr>
            <w:r>
              <w:rPr>
                <w:spacing w:val="8"/>
              </w:rPr>
              <w:t>（</w:t>
            </w:r>
            <w:r>
              <w:rPr>
                <w:spacing w:val="-15"/>
              </w:rPr>
              <w:t xml:space="preserve"> </w:t>
            </w:r>
            <w:r>
              <w:rPr>
                <w:spacing w:val="8"/>
              </w:rPr>
              <w:t>二）对实际控制人,时任董事王某宇给予警告，并处以4,350,000元罚款；</w:t>
            </w:r>
          </w:p>
          <w:p>
            <w:pPr>
              <w:pStyle w:val="TableText"/>
              <w:ind w:left="87"/>
              <w:spacing w:before="32" w:line="229" w:lineRule="auto"/>
              <w:rPr/>
            </w:pPr>
            <w:r>
              <w:rPr>
                <w:spacing w:val="8"/>
              </w:rPr>
              <w:t>（</w:t>
            </w:r>
            <w:r>
              <w:rPr>
                <w:spacing w:val="-15"/>
              </w:rPr>
              <w:t xml:space="preserve"> </w:t>
            </w:r>
            <w:r>
              <w:rPr>
                <w:spacing w:val="8"/>
              </w:rPr>
              <w:t>三）对实际控制人,时任董事胡某玲给予警告，并处以1,100,000元罚款；</w:t>
            </w:r>
          </w:p>
          <w:p>
            <w:pPr>
              <w:pStyle w:val="TableText"/>
              <w:ind w:left="107" w:right="94" w:hanging="20"/>
              <w:spacing w:before="32" w:line="235" w:lineRule="auto"/>
              <w:rPr/>
            </w:pPr>
            <w:r>
              <w:rPr>
                <w:spacing w:val="13"/>
              </w:rPr>
              <w:t>（</w:t>
            </w:r>
            <w:r>
              <w:rPr>
                <w:spacing w:val="-11"/>
              </w:rPr>
              <w:t xml:space="preserve"> </w:t>
            </w:r>
            <w:r>
              <w:rPr>
                <w:spacing w:val="13"/>
              </w:rPr>
              <w:t>四）对时任董事长,时任总经理丁治平、</w:t>
            </w:r>
            <w:r>
              <w:rPr>
                <w:spacing w:val="-37"/>
              </w:rPr>
              <w:t xml:space="preserve"> </w:t>
            </w:r>
            <w:r>
              <w:rPr>
                <w:spacing w:val="13"/>
              </w:rPr>
              <w:t>时任董事,时任财务总监苏某</w:t>
            </w:r>
            <w:r>
              <w:rPr>
                <w:spacing w:val="12"/>
              </w:rPr>
              <w:t>霞给予警告，</w:t>
            </w:r>
            <w:r>
              <w:rPr/>
              <w:t xml:space="preserve"> </w:t>
            </w:r>
            <w:r>
              <w:rPr>
                <w:spacing w:val="8"/>
              </w:rPr>
              <w:t>并各处以900,000元罚款；</w:t>
            </w:r>
          </w:p>
          <w:p>
            <w:pPr>
              <w:pStyle w:val="TableText"/>
              <w:ind w:left="87"/>
              <w:spacing w:before="50" w:line="213" w:lineRule="auto"/>
              <w:rPr/>
            </w:pPr>
            <w:r>
              <w:rPr>
                <w:spacing w:val="9"/>
              </w:rPr>
              <w:t>（五）对时任高管马某平给予警告，并处以700,000元罚款。</w:t>
            </w:r>
          </w:p>
        </w:tc>
      </w:tr>
      <w:tr>
        <w:trPr>
          <w:trHeight w:val="364" w:hRule="atLeast"/>
        </w:trPr>
        <w:tc>
          <w:tcPr>
            <w:shd w:val="clear" w:fill="B8CCE4"/>
            <w:tcW w:w="1214" w:type="dxa"/>
            <w:vAlign w:val="top"/>
          </w:tcPr>
          <w:p>
            <w:pPr>
              <w:pStyle w:val="TableText"/>
              <w:ind w:left="236"/>
              <w:spacing w:before="102" w:line="176" w:lineRule="auto"/>
              <w:rPr/>
            </w:pPr>
            <w:r>
              <w:rPr>
                <w:spacing w:val="3"/>
              </w:rPr>
              <w:t>002721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pStyle w:val="TableText"/>
              <w:ind w:left="289"/>
              <w:spacing w:before="90" w:line="184" w:lineRule="auto"/>
              <w:rPr/>
            </w:pPr>
            <w:r>
              <w:rPr>
                <w:spacing w:val="8"/>
              </w:rPr>
              <w:t>*</w:t>
            </w:r>
            <w:r>
              <w:rPr/>
              <w:t>ST</w:t>
            </w:r>
            <w:r>
              <w:rPr>
                <w:spacing w:val="8"/>
              </w:rPr>
              <w:t>金一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108"/>
              <w:spacing w:before="88" w:line="186" w:lineRule="auto"/>
              <w:rPr/>
            </w:pPr>
            <w:r>
              <w:rPr>
                <w:spacing w:val="6"/>
              </w:rPr>
              <w:t>2020年、</w:t>
            </w:r>
            <w:r>
              <w:rPr>
                <w:spacing w:val="-37"/>
              </w:rPr>
              <w:t xml:space="preserve"> </w:t>
            </w:r>
            <w:r>
              <w:rPr>
                <w:spacing w:val="6"/>
              </w:rPr>
              <w:t>2021年年度报告存在</w:t>
            </w:r>
            <w:r>
              <w:rPr>
                <w:b/>
                <w:bCs/>
                <w:spacing w:val="6"/>
              </w:rPr>
              <w:t>错报。</w:t>
            </w:r>
          </w:p>
        </w:tc>
      </w:tr>
      <w:tr>
        <w:trPr>
          <w:trHeight w:val="2170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22"/>
              <w:spacing w:before="48" w:line="237" w:lineRule="auto"/>
              <w:rPr/>
            </w:pPr>
            <w:r>
              <w:rPr>
                <w:b/>
                <w:bCs/>
                <w:spacing w:val="8"/>
              </w:rPr>
              <w:t>【行政处罚决定】</w:t>
            </w:r>
            <w:r>
              <w:rPr>
                <w:b/>
                <w:bCs/>
                <w:spacing w:val="-19"/>
              </w:rPr>
              <w:t xml:space="preserve"> </w:t>
            </w:r>
            <w:r>
              <w:rPr>
                <w:spacing w:val="8"/>
              </w:rPr>
              <w:t>中国证券监督管理委员会北京监管局决定：</w:t>
            </w:r>
          </w:p>
          <w:p>
            <w:pPr>
              <w:pStyle w:val="TableText"/>
              <w:ind w:left="87"/>
              <w:spacing w:before="25" w:line="229" w:lineRule="auto"/>
              <w:rPr/>
            </w:pPr>
            <w:r>
              <w:rPr>
                <w:spacing w:val="10"/>
              </w:rPr>
              <w:t>（一）对北京金一文化发展股份有限公司给予警告，并处以150万元的罚款；</w:t>
            </w:r>
          </w:p>
          <w:p>
            <w:pPr>
              <w:pStyle w:val="TableText"/>
              <w:ind w:left="87"/>
              <w:spacing w:before="32" w:line="229" w:lineRule="auto"/>
              <w:rPr/>
            </w:pPr>
            <w:r>
              <w:rPr>
                <w:spacing w:val="9"/>
              </w:rPr>
              <w:t>（</w:t>
            </w:r>
            <w:r>
              <w:rPr>
                <w:spacing w:val="-24"/>
              </w:rPr>
              <w:t xml:space="preserve"> </w:t>
            </w:r>
            <w:r>
              <w:rPr>
                <w:spacing w:val="9"/>
              </w:rPr>
              <w:t>二）对王晓峰给予警告，并处以70万元的罚款；</w:t>
            </w:r>
          </w:p>
          <w:p>
            <w:pPr>
              <w:pStyle w:val="TableText"/>
              <w:ind w:left="87"/>
              <w:spacing w:before="32" w:line="229" w:lineRule="auto"/>
              <w:rPr/>
            </w:pPr>
            <w:r>
              <w:rPr>
                <w:spacing w:val="9"/>
              </w:rPr>
              <w:t>（</w:t>
            </w:r>
            <w:r>
              <w:rPr>
                <w:spacing w:val="-24"/>
              </w:rPr>
              <w:t xml:space="preserve"> </w:t>
            </w:r>
            <w:r>
              <w:rPr>
                <w:spacing w:val="9"/>
              </w:rPr>
              <w:t>三）对王晓丹给予警告，并处以70万元的罚款；</w:t>
            </w:r>
          </w:p>
          <w:p>
            <w:pPr>
              <w:pStyle w:val="TableText"/>
              <w:ind w:left="87"/>
              <w:spacing w:before="32" w:line="229" w:lineRule="auto"/>
              <w:rPr/>
            </w:pPr>
            <w:r>
              <w:rPr>
                <w:spacing w:val="8"/>
              </w:rPr>
              <w:t>（</w:t>
            </w:r>
            <w:r>
              <w:rPr>
                <w:spacing w:val="-1"/>
              </w:rPr>
              <w:t xml:space="preserve"> </w:t>
            </w:r>
            <w:r>
              <w:rPr>
                <w:spacing w:val="8"/>
              </w:rPr>
              <w:t>四）对刘丹丹给予警告，并处以60万元的罚款；</w:t>
            </w:r>
          </w:p>
          <w:p>
            <w:pPr>
              <w:pStyle w:val="TableText"/>
              <w:ind w:left="87"/>
              <w:spacing w:before="33" w:line="215" w:lineRule="auto"/>
              <w:rPr/>
            </w:pPr>
            <w:r>
              <w:rPr>
                <w:spacing w:val="9"/>
              </w:rPr>
              <w:t>（五）对蒋学福给予警告，并处以60万元的罚款。</w:t>
            </w:r>
          </w:p>
        </w:tc>
      </w:tr>
    </w:tbl>
    <w:p>
      <w:pPr>
        <w:spacing w:before="265" w:line="213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1"/>
        </w:rPr>
        <w:t>（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35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1"/>
        </w:rPr>
        <w:t>2）行政处罚决定事先告知书</w:t>
      </w:r>
    </w:p>
    <w:tbl>
      <w:tblPr>
        <w:tblStyle w:val="TableNormal"/>
        <w:tblW w:w="8053" w:type="dxa"/>
        <w:tblInd w:w="1501" w:type="dxa"/>
        <w:tblLayout w:type="fixed"/>
        <w:tblBorders>
          <w:top w:val="single" w:color="4F81BD" w:sz="6" w:space="0"/>
          <w:left w:val="single" w:color="4F81BD" w:sz="6" w:space="0"/>
          <w:bottom w:val="single" w:color="4F81BD" w:sz="6" w:space="0"/>
          <w:right w:val="single" w:color="4F81BD" w:sz="6" w:space="0"/>
          <w:insideH w:val="single" w:color="4F81BD" w:sz="6" w:space="0"/>
          <w:insideV w:val="single" w:color="4F81BD" w:sz="6" w:space="0"/>
        </w:tblBorders>
      </w:tblPr>
      <w:tblGrid>
        <w:gridCol w:w="1214"/>
        <w:gridCol w:w="1343"/>
        <w:gridCol w:w="5496"/>
      </w:tblGrid>
      <w:tr>
        <w:trPr>
          <w:trHeight w:val="387" w:hRule="atLeast"/>
        </w:trPr>
        <w:tc>
          <w:tcPr>
            <w:shd w:val="clear" w:fill="4F81BD"/>
            <w:tcW w:w="1214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181"/>
              <w:spacing w:before="109" w:line="187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公司代码</w:t>
            </w:r>
          </w:p>
        </w:tc>
        <w:tc>
          <w:tcPr>
            <w:shd w:val="clear" w:fill="4F81BD"/>
            <w:tcW w:w="1343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244"/>
              <w:spacing w:before="109" w:line="187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公司简称</w:t>
            </w:r>
          </w:p>
        </w:tc>
        <w:tc>
          <w:tcPr>
            <w:shd w:val="clear" w:fill="4F81BD"/>
            <w:tcW w:w="5496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2320"/>
              <w:spacing w:before="109" w:line="187" w:lineRule="auto"/>
              <w:rPr/>
            </w:pPr>
            <w:r>
              <w:rPr>
                <w:b/>
                <w:bCs/>
                <w:color w:val="FFFFFF"/>
                <w:spacing w:val="8"/>
              </w:rPr>
              <w:t>违规行为</w:t>
            </w:r>
          </w:p>
        </w:tc>
      </w:tr>
      <w:tr>
        <w:trPr>
          <w:trHeight w:val="369" w:hRule="atLeast"/>
        </w:trPr>
        <w:tc>
          <w:tcPr>
            <w:shd w:val="clear" w:fill="B8CCE4"/>
            <w:tcW w:w="1214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236"/>
              <w:spacing w:before="101" w:line="178" w:lineRule="auto"/>
              <w:rPr/>
            </w:pPr>
            <w:r>
              <w:rPr>
                <w:spacing w:val="3"/>
              </w:rPr>
              <w:t>000009</w:t>
            </w:r>
          </w:p>
        </w:tc>
        <w:tc>
          <w:tcPr>
            <w:shd w:val="clear" w:fill="B8CCE4"/>
            <w:tcW w:w="1343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257"/>
              <w:spacing w:before="85" w:line="190" w:lineRule="auto"/>
              <w:rPr/>
            </w:pPr>
            <w:r>
              <w:rPr>
                <w:spacing w:val="5"/>
              </w:rPr>
              <w:t>中国宝安</w:t>
            </w:r>
          </w:p>
        </w:tc>
        <w:tc>
          <w:tcPr>
            <w:shd w:val="clear" w:fill="B8CCE4"/>
            <w:tcW w:w="5496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99"/>
              <w:spacing w:before="85" w:line="190" w:lineRule="auto"/>
              <w:rPr/>
            </w:pPr>
            <w:r>
              <w:rPr>
                <w:spacing w:val="9"/>
              </w:rPr>
              <w:t>公司副总裁涉嫌证券市场</w:t>
            </w:r>
            <w:r>
              <w:rPr>
                <w:b/>
                <w:bCs/>
                <w:spacing w:val="9"/>
              </w:rPr>
              <w:t>内幕交易。</w:t>
            </w:r>
          </w:p>
        </w:tc>
      </w:tr>
      <w:tr>
        <w:trPr>
          <w:trHeight w:val="1802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22"/>
              <w:spacing w:before="41" w:line="233" w:lineRule="auto"/>
              <w:rPr/>
            </w:pPr>
            <w:r>
              <w:rPr>
                <w:b/>
                <w:bCs/>
                <w:spacing w:val="7"/>
              </w:rPr>
              <w:t>【行政处罚决定（拟）</w:t>
            </w:r>
            <w:r>
              <w:rPr>
                <w:b/>
                <w:bCs/>
                <w:spacing w:val="-25"/>
              </w:rPr>
              <w:t xml:space="preserve"> </w:t>
            </w:r>
            <w:r>
              <w:rPr>
                <w:b/>
                <w:bCs/>
                <w:spacing w:val="7"/>
              </w:rPr>
              <w:t>】</w:t>
            </w:r>
            <w:r>
              <w:rPr>
                <w:b/>
                <w:bCs/>
                <w:spacing w:val="-37"/>
              </w:rPr>
              <w:t xml:space="preserve"> </w:t>
            </w:r>
            <w:r>
              <w:rPr>
                <w:spacing w:val="7"/>
              </w:rPr>
              <w:t>中国证监会拟作出如下决定：</w:t>
            </w:r>
          </w:p>
          <w:p>
            <w:pPr>
              <w:pStyle w:val="TableText"/>
              <w:ind w:left="121" w:right="101"/>
              <w:spacing w:before="70" w:line="250" w:lineRule="auto"/>
              <w:rPr/>
            </w:pPr>
            <w:r>
              <w:rPr>
                <w:spacing w:val="2"/>
              </w:rPr>
              <w:t>1 、 对 副</w:t>
            </w:r>
            <w:r>
              <w:rPr>
                <w:spacing w:val="-13"/>
              </w:rPr>
              <w:t xml:space="preserve"> </w:t>
            </w:r>
            <w:r>
              <w:rPr>
                <w:spacing w:val="2"/>
              </w:rPr>
              <w:t>总</w:t>
            </w:r>
            <w:r>
              <w:rPr>
                <w:spacing w:val="-14"/>
              </w:rPr>
              <w:t xml:space="preserve"> </w:t>
            </w:r>
            <w:r>
              <w:rPr>
                <w:spacing w:val="2"/>
              </w:rPr>
              <w:t>裁</w:t>
            </w:r>
            <w:r>
              <w:rPr>
                <w:spacing w:val="-14"/>
              </w:rPr>
              <w:t xml:space="preserve"> </w:t>
            </w:r>
            <w:r>
              <w:rPr>
                <w:spacing w:val="2"/>
              </w:rPr>
              <w:t>贺</w:t>
            </w:r>
            <w:r>
              <w:rPr>
                <w:spacing w:val="-10"/>
              </w:rPr>
              <w:t xml:space="preserve"> </w:t>
            </w:r>
            <w:r>
              <w:rPr>
                <w:spacing w:val="2"/>
              </w:rPr>
              <w:t>某</w:t>
            </w:r>
            <w:r>
              <w:rPr>
                <w:spacing w:val="-14"/>
              </w:rPr>
              <w:t xml:space="preserve"> </w:t>
            </w:r>
            <w:r>
              <w:rPr>
                <w:spacing w:val="2"/>
              </w:rPr>
              <w:t>琴 内</w:t>
            </w:r>
            <w:r>
              <w:rPr>
                <w:spacing w:val="-14"/>
              </w:rPr>
              <w:t xml:space="preserve"> </w:t>
            </w:r>
            <w:r>
              <w:rPr>
                <w:spacing w:val="2"/>
              </w:rPr>
              <w:t>幕 交</w:t>
            </w:r>
            <w:r>
              <w:rPr>
                <w:spacing w:val="-13"/>
              </w:rPr>
              <w:t xml:space="preserve"> </w:t>
            </w:r>
            <w:r>
              <w:rPr>
                <w:spacing w:val="2"/>
              </w:rPr>
              <w:t>易</w:t>
            </w:r>
            <w:r>
              <w:rPr>
                <w:spacing w:val="-10"/>
              </w:rPr>
              <w:t xml:space="preserve"> </w:t>
            </w:r>
            <w:r>
              <w:rPr>
                <w:spacing w:val="2"/>
              </w:rPr>
              <w:t>行 为 ，</w:t>
            </w:r>
            <w:r>
              <w:rPr>
                <w:spacing w:val="-9"/>
              </w:rPr>
              <w:t xml:space="preserve"> </w:t>
            </w:r>
            <w:r>
              <w:rPr>
                <w:spacing w:val="2"/>
              </w:rPr>
              <w:t>没 收</w:t>
            </w:r>
            <w:r>
              <w:rPr>
                <w:spacing w:val="-14"/>
              </w:rPr>
              <w:t xml:space="preserve"> </w:t>
            </w:r>
            <w:r>
              <w:rPr>
                <w:spacing w:val="2"/>
              </w:rPr>
              <w:t>违</w:t>
            </w:r>
            <w:r>
              <w:rPr>
                <w:spacing w:val="-11"/>
              </w:rPr>
              <w:t xml:space="preserve"> </w:t>
            </w:r>
            <w:r>
              <w:rPr>
                <w:spacing w:val="2"/>
              </w:rPr>
              <w:t>法</w:t>
            </w:r>
            <w:r>
              <w:rPr>
                <w:spacing w:val="-14"/>
              </w:rPr>
              <w:t xml:space="preserve"> </w:t>
            </w:r>
            <w:r>
              <w:rPr>
                <w:spacing w:val="2"/>
              </w:rPr>
              <w:t>所</w:t>
            </w:r>
            <w:r>
              <w:rPr>
                <w:spacing w:val="-11"/>
              </w:rPr>
              <w:t xml:space="preserve"> </w:t>
            </w:r>
            <w:r>
              <w:rPr>
                <w:spacing w:val="2"/>
              </w:rPr>
              <w:t>得</w:t>
            </w:r>
            <w:r>
              <w:rPr>
                <w:spacing w:val="-14"/>
              </w:rPr>
              <w:t xml:space="preserve"> </w:t>
            </w:r>
            <w:r>
              <w:rPr>
                <w:spacing w:val="2"/>
              </w:rPr>
              <w:t>452</w:t>
            </w:r>
            <w:r>
              <w:rPr>
                <w:spacing w:val="1"/>
              </w:rPr>
              <w:t>,975.85</w:t>
            </w:r>
            <w:r>
              <w:rPr>
                <w:spacing w:val="-11"/>
              </w:rPr>
              <w:t xml:space="preserve"> </w:t>
            </w:r>
            <w:r>
              <w:rPr>
                <w:spacing w:val="1"/>
              </w:rPr>
              <w:t>元</w:t>
            </w:r>
            <w:r>
              <w:rPr>
                <w:spacing w:val="-11"/>
              </w:rPr>
              <w:t xml:space="preserve"> </w:t>
            </w:r>
            <w:r>
              <w:rPr>
                <w:spacing w:val="1"/>
              </w:rPr>
              <w:t>， 并</w:t>
            </w:r>
            <w:r>
              <w:rPr>
                <w:spacing w:val="-14"/>
              </w:rPr>
              <w:t xml:space="preserve"> </w:t>
            </w:r>
            <w:r>
              <w:rPr>
                <w:spacing w:val="1"/>
              </w:rPr>
              <w:t>处</w:t>
            </w:r>
            <w:r>
              <w:rPr>
                <w:spacing w:val="-4"/>
              </w:rPr>
              <w:t xml:space="preserve"> </w:t>
            </w:r>
            <w:r>
              <w:rPr>
                <w:spacing w:val="1"/>
              </w:rPr>
              <w:t>以</w:t>
            </w:r>
            <w:r>
              <w:rPr/>
              <w:t xml:space="preserve"> </w:t>
            </w:r>
            <w:r>
              <w:rPr>
                <w:spacing w:val="5"/>
              </w:rPr>
              <w:t>1,358,927.55元罚款；</w:t>
            </w:r>
          </w:p>
          <w:p>
            <w:pPr>
              <w:pStyle w:val="TableText"/>
              <w:ind w:left="120" w:right="98" w:hanging="7"/>
              <w:spacing w:before="6" w:line="219" w:lineRule="auto"/>
              <w:rPr/>
            </w:pPr>
            <w:r>
              <w:rPr>
                <w:spacing w:val="12"/>
              </w:rPr>
              <w:t>2、对副总裁贺某琴、罗某某的共同违法行为，没收违法所得6,069,1</w:t>
            </w:r>
            <w:r>
              <w:rPr>
                <w:spacing w:val="11"/>
              </w:rPr>
              <w:t>64.44元，处以</w:t>
            </w:r>
            <w:r>
              <w:rPr/>
              <w:t xml:space="preserve"> </w:t>
            </w:r>
            <w:r>
              <w:rPr>
                <w:spacing w:val="4"/>
              </w:rPr>
              <w:t>18,207,493.32元的罚款。</w:t>
            </w:r>
          </w:p>
        </w:tc>
      </w:tr>
      <w:tr>
        <w:trPr>
          <w:trHeight w:val="1443" w:hRule="atLeast"/>
        </w:trPr>
        <w:tc>
          <w:tcPr>
            <w:shd w:val="clear" w:fill="B8CCE4"/>
            <w:tcW w:w="1214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6"/>
              <w:spacing w:before="86" w:line="178" w:lineRule="auto"/>
              <w:rPr/>
            </w:pPr>
            <w:r>
              <w:rPr>
                <w:spacing w:val="3"/>
              </w:rPr>
              <w:t>000752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9"/>
              <w:spacing w:before="86" w:line="189" w:lineRule="auto"/>
              <w:rPr/>
            </w:pPr>
            <w:r>
              <w:rPr>
                <w:spacing w:val="8"/>
              </w:rPr>
              <w:t>*</w:t>
            </w:r>
            <w:r>
              <w:rPr/>
              <w:t>ST</w:t>
            </w:r>
            <w:r>
              <w:rPr>
                <w:spacing w:val="8"/>
              </w:rPr>
              <w:t>西发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99" w:right="103" w:firstLine="3"/>
              <w:spacing w:before="83" w:line="236" w:lineRule="auto"/>
              <w:jc w:val="both"/>
              <w:rPr/>
            </w:pPr>
            <w:r>
              <w:rPr>
                <w:spacing w:val="9"/>
              </w:rPr>
              <w:t>西藏发展2016年至2022年年度报告、2022年中</w:t>
            </w:r>
            <w:r>
              <w:rPr>
                <w:spacing w:val="8"/>
              </w:rPr>
              <w:t>期报告存</w:t>
            </w:r>
            <w:r>
              <w:rPr/>
              <w:t xml:space="preserve"> </w:t>
            </w:r>
            <w:r>
              <w:rPr>
                <w:spacing w:val="9"/>
              </w:rPr>
              <w:t>在</w:t>
            </w:r>
            <w:r>
              <w:rPr>
                <w:b/>
                <w:bCs/>
                <w:spacing w:val="9"/>
              </w:rPr>
              <w:t>重大遗漏</w:t>
            </w:r>
            <w:r>
              <w:rPr>
                <w:spacing w:val="9"/>
              </w:rPr>
              <w:t>；西藏发展2016年至2018年年度报告、2018</w:t>
            </w:r>
            <w:r>
              <w:rPr/>
              <w:t xml:space="preserve"> </w:t>
            </w:r>
            <w:r>
              <w:rPr>
                <w:spacing w:val="11"/>
              </w:rPr>
              <w:t>年中期报告存在</w:t>
            </w:r>
            <w:r>
              <w:rPr>
                <w:b/>
                <w:bCs/>
                <w:spacing w:val="11"/>
              </w:rPr>
              <w:t>虚假记载</w:t>
            </w:r>
            <w:r>
              <w:rPr>
                <w:spacing w:val="11"/>
              </w:rPr>
              <w:t>；西藏发展未及时披露重大对外</w:t>
            </w:r>
            <w:r>
              <w:rPr/>
              <w:t xml:space="preserve"> </w:t>
            </w:r>
            <w:r>
              <w:rPr>
                <w:spacing w:val="8"/>
              </w:rPr>
              <w:t>借款及天易隆兴所持西藏发展10.65%</w:t>
            </w:r>
            <w:r>
              <w:rPr>
                <w:b/>
                <w:bCs/>
                <w:spacing w:val="8"/>
              </w:rPr>
              <w:t>股权被冻结</w:t>
            </w:r>
            <w:r>
              <w:rPr>
                <w:spacing w:val="8"/>
              </w:rPr>
              <w:t>事项。</w:t>
            </w:r>
          </w:p>
        </w:tc>
      </w:tr>
      <w:tr>
        <w:trPr>
          <w:trHeight w:val="2908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22"/>
              <w:spacing w:before="47" w:line="233" w:lineRule="auto"/>
              <w:rPr/>
            </w:pPr>
            <w:r>
              <w:rPr>
                <w:b/>
                <w:bCs/>
                <w:spacing w:val="7"/>
              </w:rPr>
              <w:t>【行政处罚及市场禁入决定（拟）</w:t>
            </w:r>
            <w:r>
              <w:rPr>
                <w:b/>
                <w:bCs/>
                <w:spacing w:val="-23"/>
              </w:rPr>
              <w:t xml:space="preserve"> </w:t>
            </w:r>
            <w:r>
              <w:rPr>
                <w:b/>
                <w:bCs/>
                <w:spacing w:val="7"/>
              </w:rPr>
              <w:t>】</w:t>
            </w:r>
            <w:r>
              <w:rPr>
                <w:b/>
                <w:bCs/>
                <w:spacing w:val="-35"/>
              </w:rPr>
              <w:t xml:space="preserve"> </w:t>
            </w:r>
            <w:r>
              <w:rPr>
                <w:spacing w:val="7"/>
              </w:rPr>
              <w:t>中国证监会拟决定：</w:t>
            </w:r>
          </w:p>
          <w:p>
            <w:pPr>
              <w:pStyle w:val="TableText"/>
              <w:ind w:left="87"/>
              <w:spacing w:before="30" w:line="229" w:lineRule="auto"/>
              <w:rPr/>
            </w:pPr>
            <w:r>
              <w:rPr>
                <w:spacing w:val="10"/>
              </w:rPr>
              <w:t>（一）对西藏发展责令改正，给予警告，并处以800万元罚款；</w:t>
            </w:r>
          </w:p>
          <w:p>
            <w:pPr>
              <w:pStyle w:val="TableText"/>
              <w:ind w:left="87"/>
              <w:spacing w:before="32" w:line="229" w:lineRule="auto"/>
              <w:rPr/>
            </w:pPr>
            <w:r>
              <w:rPr>
                <w:spacing w:val="9"/>
              </w:rPr>
              <w:t>（</w:t>
            </w:r>
            <w:r>
              <w:rPr>
                <w:spacing w:val="-23"/>
              </w:rPr>
              <w:t xml:space="preserve"> </w:t>
            </w:r>
            <w:r>
              <w:rPr>
                <w:spacing w:val="9"/>
              </w:rPr>
              <w:t>二）对其他关系方王某给予警告，并处以400万元罚款；</w:t>
            </w:r>
          </w:p>
          <w:p>
            <w:pPr>
              <w:pStyle w:val="TableText"/>
              <w:ind w:left="105" w:right="101" w:hanging="18"/>
              <w:spacing w:before="32" w:line="234" w:lineRule="auto"/>
              <w:rPr/>
            </w:pPr>
            <w:r>
              <w:rPr>
                <w:spacing w:val="12"/>
              </w:rPr>
              <w:t>（</w:t>
            </w:r>
            <w:r>
              <w:rPr>
                <w:spacing w:val="-19"/>
              </w:rPr>
              <w:t xml:space="preserve"> </w:t>
            </w:r>
            <w:r>
              <w:rPr>
                <w:spacing w:val="12"/>
              </w:rPr>
              <w:t>三）对董事长罗某给予警告，并处以800万元罚款，其中作为直接负责的主管人员</w:t>
            </w:r>
            <w:r>
              <w:rPr/>
              <w:t xml:space="preserve"> </w:t>
            </w:r>
            <w:r>
              <w:rPr>
                <w:spacing w:val="7"/>
              </w:rPr>
              <w:t>和实际控制人分别罚款300万元、</w:t>
            </w:r>
            <w:r>
              <w:rPr>
                <w:spacing w:val="-35"/>
              </w:rPr>
              <w:t xml:space="preserve"> </w:t>
            </w:r>
            <w:r>
              <w:rPr>
                <w:spacing w:val="7"/>
              </w:rPr>
              <w:t>500万元。</w:t>
            </w:r>
          </w:p>
          <w:p>
            <w:pPr>
              <w:pStyle w:val="TableText"/>
              <w:ind w:left="105" w:right="103" w:hanging="18"/>
              <w:spacing w:before="51" w:line="234" w:lineRule="auto"/>
              <w:rPr/>
            </w:pPr>
            <w:r>
              <w:rPr>
                <w:spacing w:val="13"/>
              </w:rPr>
              <w:t>（</w:t>
            </w:r>
            <w:r>
              <w:rPr>
                <w:spacing w:val="-10"/>
              </w:rPr>
              <w:t xml:space="preserve"> </w:t>
            </w:r>
            <w:r>
              <w:rPr>
                <w:spacing w:val="13"/>
              </w:rPr>
              <w:t>四）对时任董事长,时任董事闫某江、</w:t>
            </w:r>
            <w:r>
              <w:rPr>
                <w:spacing w:val="-35"/>
              </w:rPr>
              <w:t xml:space="preserve"> </w:t>
            </w:r>
            <w:r>
              <w:rPr>
                <w:spacing w:val="13"/>
              </w:rPr>
              <w:t>时任</w:t>
            </w:r>
            <w:r>
              <w:rPr>
                <w:spacing w:val="12"/>
              </w:rPr>
              <w:t>董事,时任财务总监魏某刚给予警告，分</w:t>
            </w:r>
            <w:r>
              <w:rPr/>
              <w:t xml:space="preserve"> </w:t>
            </w:r>
            <w:r>
              <w:rPr>
                <w:spacing w:val="9"/>
              </w:rPr>
              <w:t>别并处以250万元罚款；</w:t>
            </w:r>
          </w:p>
          <w:p>
            <w:pPr>
              <w:pStyle w:val="TableText"/>
              <w:ind w:left="87"/>
              <w:spacing w:before="50" w:line="229" w:lineRule="auto"/>
              <w:rPr/>
            </w:pPr>
            <w:r>
              <w:rPr>
                <w:spacing w:val="10"/>
              </w:rPr>
              <w:t>（五）对其他关系方牟某华给予警告，并处以100万元罚款；</w:t>
            </w:r>
          </w:p>
        </w:tc>
      </w:tr>
    </w:tbl>
    <w:p>
      <w:pPr>
        <w:pStyle w:val="BodyText"/>
        <w:rPr/>
      </w:pPr>
      <w:r/>
    </w:p>
    <w:p>
      <w:pPr>
        <w:sectPr>
          <w:pgSz w:w="11910" w:h="16840"/>
          <w:pgMar w:top="374" w:right="497" w:bottom="0" w:left="418" w:header="0" w:footer="0" w:gutter="0"/>
        </w:sectPr>
        <w:rPr/>
      </w:pPr>
    </w:p>
    <w:tbl>
      <w:tblPr>
        <w:tblStyle w:val="TableNormal"/>
        <w:tblW w:w="8053" w:type="dxa"/>
        <w:tblInd w:w="1501" w:type="dxa"/>
        <w:tblLayout w:type="fixed"/>
        <w:tblBorders>
          <w:left w:val="single" w:color="4F81BD" w:sz="6" w:space="0"/>
          <w:bottom w:val="single" w:color="4F81BD" w:sz="6" w:space="0"/>
          <w:right w:val="single" w:color="4F81BD" w:sz="6" w:space="0"/>
          <w:top w:val="single" w:color="FFFFFF" w:sz="2" w:space="0"/>
        </w:tblBorders>
      </w:tblPr>
      <w:tblGrid>
        <w:gridCol w:w="8053"/>
      </w:tblGrid>
      <w:tr>
        <w:trPr>
          <w:trHeight w:val="11906" w:hRule="atLeast"/>
        </w:trPr>
        <w:tc>
          <w:tcPr>
            <w:tcW w:w="8053" w:type="dxa"/>
            <w:vAlign w:val="top"/>
          </w:tcPr>
          <w:p>
            <w:pPr>
              <w:pStyle w:val="TableText"/>
              <w:ind w:left="87"/>
              <w:spacing w:before="63" w:line="229" w:lineRule="auto"/>
              <w:rPr/>
            </w:pPr>
            <w:r>
              <w:rPr>
                <w:spacing w:val="10"/>
              </w:rPr>
              <w:t>（六）对董事,总经理陈某婷给予警告，并处以100万元罚款；</w:t>
            </w:r>
          </w:p>
          <w:p>
            <w:pPr>
              <w:pStyle w:val="TableText"/>
              <w:ind w:left="87"/>
              <w:spacing w:before="32" w:line="229" w:lineRule="auto"/>
              <w:rPr/>
            </w:pPr>
            <w:r>
              <w:rPr>
                <w:spacing w:val="9"/>
              </w:rPr>
              <w:t>（七）对财务总监,董事唐某给予警告，并处以50万元罚款。</w:t>
            </w:r>
          </w:p>
          <w:p>
            <w:pPr>
              <w:pStyle w:val="TableText"/>
              <w:ind w:left="105"/>
              <w:spacing w:before="33" w:line="233" w:lineRule="auto"/>
              <w:rPr/>
            </w:pPr>
            <w:r>
              <w:rPr>
                <w:spacing w:val="13"/>
              </w:rPr>
              <w:t>依据2005年《证券法》</w:t>
            </w:r>
            <w:r>
              <w:rPr>
                <w:spacing w:val="-23"/>
              </w:rPr>
              <w:t xml:space="preserve"> </w:t>
            </w:r>
            <w:r>
              <w:rPr>
                <w:spacing w:val="13"/>
              </w:rPr>
              <w:t>第一百九十三条第一款、第三款的规定，</w:t>
            </w:r>
            <w:r>
              <w:rPr>
                <w:spacing w:val="-31"/>
              </w:rPr>
              <w:t xml:space="preserve"> </w:t>
            </w:r>
            <w:r>
              <w:rPr>
                <w:spacing w:val="13"/>
              </w:rPr>
              <w:t>中国证监会拟决定</w:t>
            </w:r>
          </w:p>
          <w:p>
            <w:pPr>
              <w:pStyle w:val="TableText"/>
              <w:ind w:left="194"/>
              <w:spacing w:before="125" w:line="209" w:lineRule="exact"/>
              <w:rPr/>
            </w:pPr>
            <w:r>
              <w:rPr>
                <w:position w:val="1"/>
              </w:rPr>
              <w:t>:</w:t>
            </w:r>
          </w:p>
          <w:p>
            <w:pPr>
              <w:pStyle w:val="TableText"/>
              <w:ind w:left="106" w:right="103" w:hanging="19"/>
              <w:spacing w:before="51" w:line="234" w:lineRule="auto"/>
              <w:rPr/>
            </w:pPr>
            <w:r>
              <w:rPr>
                <w:spacing w:val="10"/>
              </w:rPr>
              <w:t>（</w:t>
            </w:r>
            <w:r>
              <w:rPr>
                <w:spacing w:val="-28"/>
              </w:rPr>
              <w:t xml:space="preserve"> </w:t>
            </w:r>
            <w:r>
              <w:rPr>
                <w:spacing w:val="10"/>
              </w:rPr>
              <w:t>一）对其他关系方储某晗给予警告，并处以90万元罚款，其中作为直接负责的主管</w:t>
            </w:r>
            <w:r>
              <w:rPr/>
              <w:t xml:space="preserve"> </w:t>
            </w:r>
            <w:r>
              <w:rPr>
                <w:spacing w:val="7"/>
              </w:rPr>
              <w:t>人员和实际控制人分别罚款30万元、</w:t>
            </w:r>
            <w:r>
              <w:rPr>
                <w:spacing w:val="-29"/>
              </w:rPr>
              <w:t xml:space="preserve"> </w:t>
            </w:r>
            <w:r>
              <w:rPr>
                <w:spacing w:val="7"/>
              </w:rPr>
              <w:t>60万元。</w:t>
            </w:r>
          </w:p>
          <w:p>
            <w:pPr>
              <w:pStyle w:val="TableText"/>
              <w:ind w:left="107" w:right="101" w:hanging="20"/>
              <w:spacing w:before="51" w:line="234" w:lineRule="auto"/>
              <w:rPr/>
            </w:pPr>
            <w:r>
              <w:rPr>
                <w:spacing w:val="14"/>
              </w:rPr>
              <w:t>（</w:t>
            </w:r>
            <w:r>
              <w:rPr>
                <w:spacing w:val="-23"/>
              </w:rPr>
              <w:t xml:space="preserve"> </w:t>
            </w:r>
            <w:r>
              <w:rPr>
                <w:spacing w:val="14"/>
              </w:rPr>
              <w:t>二）对时任董事长,时任董事,时任总经理王某</w:t>
            </w:r>
            <w:r>
              <w:rPr>
                <w:spacing w:val="13"/>
              </w:rPr>
              <w:t>波、其他关系方谭某彬、其他关系方</w:t>
            </w:r>
            <w:r>
              <w:rPr/>
              <w:t xml:space="preserve"> </w:t>
            </w:r>
            <w:r>
              <w:rPr>
                <w:spacing w:val="8"/>
              </w:rPr>
              <w:t>吴某给予警告，分别并处以30万元罚款。</w:t>
            </w:r>
          </w:p>
          <w:p>
            <w:pPr>
              <w:pStyle w:val="TableText"/>
              <w:ind w:left="104" w:right="103"/>
              <w:spacing w:before="86" w:line="250" w:lineRule="auto"/>
              <w:jc w:val="both"/>
              <w:rPr/>
            </w:pPr>
            <w:r>
              <w:rPr>
                <w:spacing w:val="12"/>
              </w:rPr>
              <w:t>储某晗隐瞒其上市公司实际控制人身份，组织策</w:t>
            </w:r>
            <w:r>
              <w:rPr>
                <w:spacing w:val="11"/>
              </w:rPr>
              <w:t>划并领导实施西藏发展相关信息披露</w:t>
            </w:r>
            <w:r>
              <w:rPr/>
              <w:t xml:space="preserve"> </w:t>
            </w:r>
            <w:r>
              <w:rPr>
                <w:spacing w:val="11"/>
              </w:rPr>
              <w:t>违法行为，非经营性占用上市公司资金数额特别巨大。</w:t>
            </w:r>
            <w:r>
              <w:rPr>
                <w:spacing w:val="-38"/>
              </w:rPr>
              <w:t xml:space="preserve"> </w:t>
            </w:r>
            <w:r>
              <w:rPr>
                <w:spacing w:val="11"/>
              </w:rPr>
              <w:t>王某波直接参与实施西藏发展</w:t>
            </w:r>
            <w:r>
              <w:rPr/>
              <w:t xml:space="preserve"> </w:t>
            </w:r>
            <w:r>
              <w:rPr>
                <w:spacing w:val="12"/>
              </w:rPr>
              <w:t>相关信息披露违法行为，且因严重违法构成犯罪</w:t>
            </w:r>
            <w:r>
              <w:rPr>
                <w:spacing w:val="11"/>
              </w:rPr>
              <w:t>。储某晗、王某波违法行为情节特别</w:t>
            </w:r>
            <w:r>
              <w:rPr/>
              <w:t xml:space="preserve"> </w:t>
            </w:r>
            <w:r>
              <w:rPr>
                <w:spacing w:val="12"/>
              </w:rPr>
              <w:t>严重，依据2005年《证券法》第二百三十三条和《证券市场禁</w:t>
            </w:r>
            <w:r>
              <w:rPr>
                <w:spacing w:val="11"/>
              </w:rPr>
              <w:t>入规定》</w:t>
            </w:r>
            <w:r>
              <w:rPr>
                <w:spacing w:val="-25"/>
              </w:rPr>
              <w:t xml:space="preserve"> </w:t>
            </w:r>
            <w:r>
              <w:rPr>
                <w:spacing w:val="11"/>
              </w:rPr>
              <w:t>(证监会令第</w:t>
            </w:r>
            <w:r>
              <w:rPr/>
              <w:t xml:space="preserve"> </w:t>
            </w:r>
            <w:r>
              <w:rPr>
                <w:spacing w:val="11"/>
              </w:rPr>
              <w:t>115号)第三条第一项和第二项、第四条</w:t>
            </w:r>
            <w:r>
              <w:rPr>
                <w:spacing w:val="10"/>
              </w:rPr>
              <w:t>、第五条第一项、第三项和第七项的规定，中</w:t>
            </w:r>
            <w:r>
              <w:rPr/>
              <w:t xml:space="preserve"> </w:t>
            </w:r>
            <w:r>
              <w:rPr>
                <w:spacing w:val="11"/>
              </w:rPr>
              <w:t>国证监会拟决定：对储某晗、王某波采取终身市场禁入措施</w:t>
            </w:r>
            <w:r>
              <w:rPr>
                <w:spacing w:val="10"/>
              </w:rPr>
              <w:t>，</w:t>
            </w:r>
            <w:r>
              <w:rPr>
                <w:spacing w:val="-27"/>
              </w:rPr>
              <w:t xml:space="preserve"> </w:t>
            </w:r>
            <w:r>
              <w:rPr>
                <w:spacing w:val="10"/>
              </w:rPr>
              <w:t>自中国证监会宣布决定</w:t>
            </w:r>
            <w:r>
              <w:rPr/>
              <w:t xml:space="preserve"> </w:t>
            </w:r>
            <w:r>
              <w:rPr>
                <w:spacing w:val="12"/>
              </w:rPr>
              <w:t>之日起，在禁入期间内，除不得继续在原机构从</w:t>
            </w:r>
            <w:r>
              <w:rPr>
                <w:spacing w:val="11"/>
              </w:rPr>
              <w:t>事证券业务或者担任原上市公司、非</w:t>
            </w:r>
            <w:r>
              <w:rPr/>
              <w:t xml:space="preserve"> </w:t>
            </w:r>
            <w:r>
              <w:rPr>
                <w:spacing w:val="12"/>
              </w:rPr>
              <w:t>上市公众公司董事、监事、高级管理人员职务外</w:t>
            </w:r>
            <w:r>
              <w:rPr>
                <w:spacing w:val="11"/>
              </w:rPr>
              <w:t>，也不得在其他任何机构中从事证券</w:t>
            </w:r>
            <w:r>
              <w:rPr/>
              <w:t xml:space="preserve"> </w:t>
            </w:r>
            <w:r>
              <w:rPr>
                <w:spacing w:val="10"/>
              </w:rPr>
              <w:t>业务或者担任其他上市公司、非上市公众公</w:t>
            </w:r>
            <w:r>
              <w:rPr>
                <w:spacing w:val="9"/>
              </w:rPr>
              <w:t>司董事、监事、高级管理人员职务。</w:t>
            </w:r>
          </w:p>
          <w:p>
            <w:pPr>
              <w:pStyle w:val="TableText"/>
              <w:ind w:left="104" w:right="103" w:firstLine="5"/>
              <w:spacing w:before="26" w:line="250" w:lineRule="auto"/>
              <w:jc w:val="both"/>
              <w:rPr/>
            </w:pPr>
            <w:r>
              <w:rPr>
                <w:spacing w:val="11"/>
              </w:rPr>
              <w:t>王某在西藏发展相关信息披露违法行为中起决策、组织、指使作用，闫某江、魏某刚</w:t>
            </w:r>
            <w:r>
              <w:rPr>
                <w:spacing w:val="16"/>
              </w:rPr>
              <w:t xml:space="preserve"> </w:t>
            </w:r>
            <w:r>
              <w:rPr>
                <w:spacing w:val="12"/>
              </w:rPr>
              <w:t>、谭某彬、吴某直接参与实施西藏发展相关信息</w:t>
            </w:r>
            <w:r>
              <w:rPr>
                <w:spacing w:val="11"/>
              </w:rPr>
              <w:t>披露违法行为，情节较为严重，依据</w:t>
            </w:r>
            <w:r>
              <w:rPr/>
              <w:t xml:space="preserve"> </w:t>
            </w:r>
            <w:r>
              <w:rPr>
                <w:spacing w:val="13"/>
              </w:rPr>
              <w:t>2005年《证券法》</w:t>
            </w:r>
            <w:r>
              <w:rPr>
                <w:spacing w:val="-19"/>
              </w:rPr>
              <w:t xml:space="preserve"> </w:t>
            </w:r>
            <w:r>
              <w:rPr>
                <w:spacing w:val="13"/>
              </w:rPr>
              <w:t>第二百三十三条、《证券法》</w:t>
            </w:r>
            <w:r>
              <w:rPr>
                <w:spacing w:val="-34"/>
              </w:rPr>
              <w:t xml:space="preserve"> </w:t>
            </w:r>
            <w:r>
              <w:rPr>
                <w:spacing w:val="13"/>
              </w:rPr>
              <w:t>第二百二十一条和《证券市场禁入</w:t>
            </w:r>
            <w:r>
              <w:rPr/>
              <w:t xml:space="preserve"> </w:t>
            </w:r>
            <w:r>
              <w:rPr>
                <w:spacing w:val="13"/>
              </w:rPr>
              <w:t>规定》</w:t>
            </w:r>
            <w:r>
              <w:rPr>
                <w:spacing w:val="-23"/>
              </w:rPr>
              <w:t xml:space="preserve"> </w:t>
            </w:r>
            <w:r>
              <w:rPr>
                <w:spacing w:val="13"/>
              </w:rPr>
              <w:t>(证监会令第115号)第三条第一项、第二项和第七项、第四条、第五条第三项</w:t>
            </w:r>
            <w:r>
              <w:rPr/>
              <w:t xml:space="preserve"> </w:t>
            </w:r>
            <w:r>
              <w:rPr>
                <w:spacing w:val="10"/>
              </w:rPr>
              <w:t>、第七项的规定，中国证监会拟决定：对王某采取10年市场禁入措施，对闫某江、魏</w:t>
            </w:r>
            <w:r>
              <w:rPr>
                <w:spacing w:val="14"/>
              </w:rPr>
              <w:t xml:space="preserve"> </w:t>
            </w:r>
            <w:r>
              <w:rPr>
                <w:spacing w:val="13"/>
              </w:rPr>
              <w:t>某刚、谭某彬、吴某采取5年市场禁入措施，</w:t>
            </w:r>
            <w:r>
              <w:rPr>
                <w:spacing w:val="-25"/>
              </w:rPr>
              <w:t xml:space="preserve"> </w:t>
            </w:r>
            <w:r>
              <w:rPr>
                <w:spacing w:val="13"/>
              </w:rPr>
              <w:t>自中国证监会宣布决定之日起</w:t>
            </w:r>
            <w:r>
              <w:rPr>
                <w:spacing w:val="12"/>
              </w:rPr>
              <w:t>，在禁入</w:t>
            </w:r>
            <w:r>
              <w:rPr/>
              <w:t xml:space="preserve"> </w:t>
            </w:r>
            <w:r>
              <w:rPr>
                <w:spacing w:val="11"/>
              </w:rPr>
              <w:t>期间内</w:t>
            </w:r>
            <w:r>
              <w:rPr>
                <w:spacing w:val="-30"/>
              </w:rPr>
              <w:t xml:space="preserve"> </w:t>
            </w:r>
            <w:r>
              <w:rPr>
                <w:spacing w:val="11"/>
              </w:rPr>
              <w:t>，除不得继续在原机构从事证券业务或者担任原上市公司、</w:t>
            </w:r>
            <w:r>
              <w:rPr>
                <w:spacing w:val="10"/>
              </w:rPr>
              <w:t>非上市公众公司董</w:t>
            </w:r>
            <w:r>
              <w:rPr/>
              <w:t xml:space="preserve"> </w:t>
            </w:r>
            <w:r>
              <w:rPr>
                <w:spacing w:val="12"/>
              </w:rPr>
              <w:t>事、监事、高级管理人员职务外，也不得在其他</w:t>
            </w:r>
            <w:r>
              <w:rPr>
                <w:spacing w:val="11"/>
              </w:rPr>
              <w:t>任何机构中从事证券业务或者担任其</w:t>
            </w:r>
            <w:r>
              <w:rPr/>
              <w:t xml:space="preserve"> </w:t>
            </w:r>
            <w:r>
              <w:rPr>
                <w:spacing w:val="9"/>
              </w:rPr>
              <w:t>他上市公司、非上市公众公司董事、监事、高级管理人员职务。</w:t>
            </w:r>
          </w:p>
          <w:p>
            <w:pPr>
              <w:pStyle w:val="TableText"/>
              <w:ind w:left="104" w:right="95" w:firstLine="2"/>
              <w:spacing w:before="25" w:line="243" w:lineRule="auto"/>
              <w:rPr/>
            </w:pPr>
            <w:r>
              <w:rPr>
                <w:spacing w:val="12"/>
              </w:rPr>
              <w:t>罗某在西藏发展相关信息披露违法行为中起决策、组织、指使</w:t>
            </w:r>
            <w:r>
              <w:rPr>
                <w:spacing w:val="11"/>
              </w:rPr>
              <w:t>作用，情节较为严重，</w:t>
            </w:r>
            <w:r>
              <w:rPr/>
              <w:t xml:space="preserve"> </w:t>
            </w:r>
            <w:r>
              <w:rPr>
                <w:spacing w:val="13"/>
              </w:rPr>
              <w:t>依据《证券法》第二百二十一条和《证券市场禁入规定》</w:t>
            </w:r>
            <w:r>
              <w:rPr>
                <w:spacing w:val="-23"/>
              </w:rPr>
              <w:t xml:space="preserve"> </w:t>
            </w:r>
            <w:r>
              <w:rPr>
                <w:spacing w:val="13"/>
              </w:rPr>
              <w:t>(证监会令第185号)第三条</w:t>
            </w:r>
            <w:r>
              <w:rPr/>
              <w:t xml:space="preserve"> </w:t>
            </w:r>
            <w:r>
              <w:rPr>
                <w:spacing w:val="12"/>
              </w:rPr>
              <w:t>第一项、第四条第一款第一项、第五条和第七条第一款的规定，中国</w:t>
            </w:r>
            <w:r>
              <w:rPr>
                <w:spacing w:val="11"/>
              </w:rPr>
              <w:t>证监会拟决定：</w:t>
            </w:r>
            <w:r>
              <w:rPr/>
              <w:t xml:space="preserve"> </w:t>
            </w:r>
            <w:r>
              <w:rPr>
                <w:spacing w:val="9"/>
              </w:rPr>
              <w:t>对罗某采取10年市场禁入措施，</w:t>
            </w:r>
            <w:r>
              <w:rPr>
                <w:spacing w:val="-31"/>
              </w:rPr>
              <w:t xml:space="preserve"> </w:t>
            </w:r>
            <w:r>
              <w:rPr>
                <w:spacing w:val="9"/>
              </w:rPr>
              <w:t>自中国证监会宣布决定之日起，在禁入</w:t>
            </w:r>
            <w:r>
              <w:rPr>
                <w:spacing w:val="8"/>
              </w:rPr>
              <w:t>期间内</w:t>
            </w:r>
            <w:r>
              <w:rPr>
                <w:spacing w:val="-32"/>
              </w:rPr>
              <w:t xml:space="preserve"> </w:t>
            </w:r>
            <w:r>
              <w:rPr>
                <w:spacing w:val="8"/>
              </w:rPr>
              <w:t>，除不</w:t>
            </w:r>
            <w:r>
              <w:rPr/>
              <w:t xml:space="preserve"> </w:t>
            </w:r>
            <w:r>
              <w:rPr>
                <w:spacing w:val="12"/>
              </w:rPr>
              <w:t>得继续在原机构从事证券业务、证券服务业务或者担任原</w:t>
            </w:r>
            <w:r>
              <w:rPr>
                <w:spacing w:val="11"/>
              </w:rPr>
              <w:t>证券发行人的董事、监事、</w:t>
            </w:r>
            <w:r>
              <w:rPr/>
              <w:t xml:space="preserve"> </w:t>
            </w:r>
            <w:r>
              <w:rPr>
                <w:spacing w:val="12"/>
              </w:rPr>
              <w:t>高级管理人员职务外，也不得在其他任何机构中</w:t>
            </w:r>
            <w:r>
              <w:rPr>
                <w:spacing w:val="11"/>
              </w:rPr>
              <w:t>从事证券业务、证券服务业务或者担</w:t>
            </w:r>
            <w:r>
              <w:rPr/>
              <w:t xml:space="preserve"> </w:t>
            </w:r>
            <w:r>
              <w:rPr>
                <w:spacing w:val="9"/>
              </w:rPr>
              <w:t>任其他证券发行人的董事、监事、高级管理人员职务。</w:t>
            </w:r>
          </w:p>
        </w:tc>
      </w:tr>
    </w:tbl>
    <w:p>
      <w:pPr>
        <w:pStyle w:val="BodyText"/>
        <w:spacing w:line="448" w:lineRule="auto"/>
        <w:rPr/>
      </w:pPr>
      <w:r/>
    </w:p>
    <w:p>
      <w:pPr>
        <w:spacing w:before="103" w:line="210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2"/>
        </w:rPr>
        <w:t>（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31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2"/>
        </w:rPr>
        <w:t>3）行政监管措施</w:t>
      </w:r>
    </w:p>
    <w:tbl>
      <w:tblPr>
        <w:tblStyle w:val="TableNormal"/>
        <w:tblW w:w="8053" w:type="dxa"/>
        <w:tblInd w:w="1501" w:type="dxa"/>
        <w:tblLayout w:type="fixed"/>
        <w:tblBorders>
          <w:top w:val="single" w:color="4F81BD" w:sz="6" w:space="0"/>
          <w:left w:val="single" w:color="4F81BD" w:sz="6" w:space="0"/>
          <w:bottom w:val="single" w:color="4F81BD" w:sz="6" w:space="0"/>
          <w:right w:val="single" w:color="4F81BD" w:sz="6" w:space="0"/>
          <w:insideH w:val="single" w:color="4F81BD" w:sz="6" w:space="0"/>
          <w:insideV w:val="single" w:color="4F81BD" w:sz="6" w:space="0"/>
        </w:tblBorders>
      </w:tblPr>
      <w:tblGrid>
        <w:gridCol w:w="1214"/>
        <w:gridCol w:w="1343"/>
        <w:gridCol w:w="5496"/>
      </w:tblGrid>
      <w:tr>
        <w:trPr>
          <w:trHeight w:val="386" w:hRule="atLeast"/>
        </w:trPr>
        <w:tc>
          <w:tcPr>
            <w:shd w:val="clear" w:fill="4F81BD"/>
            <w:tcW w:w="1214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181"/>
              <w:spacing w:before="108" w:line="187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公司代码</w:t>
            </w:r>
          </w:p>
        </w:tc>
        <w:tc>
          <w:tcPr>
            <w:shd w:val="clear" w:fill="4F81BD"/>
            <w:tcW w:w="1343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244"/>
              <w:spacing w:before="108" w:line="187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公司简称</w:t>
            </w:r>
          </w:p>
        </w:tc>
        <w:tc>
          <w:tcPr>
            <w:shd w:val="clear" w:fill="4F81BD"/>
            <w:tcW w:w="5496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2320"/>
              <w:spacing w:before="108" w:line="187" w:lineRule="auto"/>
              <w:rPr/>
            </w:pPr>
            <w:r>
              <w:rPr>
                <w:b/>
                <w:bCs/>
                <w:color w:val="FFFFFF"/>
                <w:spacing w:val="8"/>
              </w:rPr>
              <w:t>违规行为</w:t>
            </w:r>
          </w:p>
        </w:tc>
      </w:tr>
      <w:tr>
        <w:trPr>
          <w:trHeight w:val="440" w:hRule="atLeast"/>
        </w:trPr>
        <w:tc>
          <w:tcPr>
            <w:shd w:val="clear" w:fill="B8CCE4"/>
            <w:tcW w:w="1214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239"/>
              <w:spacing w:before="137" w:line="178" w:lineRule="auto"/>
              <w:rPr/>
            </w:pPr>
            <w:r>
              <w:rPr>
                <w:spacing w:val="3"/>
              </w:rPr>
              <w:t>603665</w:t>
            </w:r>
          </w:p>
        </w:tc>
        <w:tc>
          <w:tcPr>
            <w:shd w:val="clear" w:fill="B8CCE4"/>
            <w:tcW w:w="1343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346"/>
              <w:spacing w:before="121" w:line="190" w:lineRule="auto"/>
              <w:rPr/>
            </w:pPr>
            <w:r>
              <w:rPr>
                <w:spacing w:val="8"/>
              </w:rPr>
              <w:t>康隆达</w:t>
            </w:r>
          </w:p>
        </w:tc>
        <w:tc>
          <w:tcPr>
            <w:shd w:val="clear" w:fill="B8CCE4"/>
            <w:tcW w:w="5496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99"/>
              <w:spacing w:before="157" w:line="190" w:lineRule="auto"/>
              <w:rPr/>
            </w:pPr>
            <w:r>
              <w:rPr>
                <w:spacing w:val="9"/>
              </w:rPr>
              <w:t>公司</w:t>
            </w:r>
            <w:r>
              <w:rPr>
                <w:b/>
                <w:bCs/>
                <w:spacing w:val="9"/>
              </w:rPr>
              <w:t>业绩预告</w:t>
            </w:r>
            <w:r>
              <w:rPr>
                <w:spacing w:val="9"/>
              </w:rPr>
              <w:t>相关信息披露不准确、更正不及时。</w:t>
            </w:r>
          </w:p>
        </w:tc>
      </w:tr>
      <w:tr>
        <w:trPr>
          <w:trHeight w:val="1081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5" w:right="103" w:firstLine="17"/>
              <w:spacing w:before="41"/>
              <w:jc w:val="both"/>
              <w:rPr/>
            </w:pPr>
            <w:r>
              <w:rPr>
                <w:b/>
                <w:bCs/>
                <w:spacing w:val="10"/>
              </w:rPr>
              <w:t>【行政监管措施】</w:t>
            </w:r>
            <w:r>
              <w:rPr>
                <w:b/>
                <w:bCs/>
                <w:spacing w:val="-20"/>
              </w:rPr>
              <w:t xml:space="preserve"> </w:t>
            </w:r>
            <w:r>
              <w:rPr>
                <w:spacing w:val="10"/>
              </w:rPr>
              <w:t>中国证券监督管理委员会浙江监管局决定对浙江康隆达特种防护科</w:t>
            </w:r>
            <w:r>
              <w:rPr/>
              <w:t xml:space="preserve"> </w:t>
            </w:r>
            <w:r>
              <w:rPr>
                <w:spacing w:val="10"/>
              </w:rPr>
              <w:t>技股份有限公司、董事长,总经理张某地、财务总监王某英、董事会秘书唐某分别采取</w:t>
            </w:r>
            <w:r>
              <w:rPr/>
              <w:t xml:space="preserve"> </w:t>
            </w:r>
            <w:r>
              <w:rPr>
                <w:spacing w:val="9"/>
              </w:rPr>
              <w:t>出具警示函的监督管理措施，并记入证券期货市场诚信档案。</w:t>
            </w:r>
          </w:p>
        </w:tc>
      </w:tr>
      <w:tr>
        <w:trPr>
          <w:trHeight w:val="363" w:hRule="atLeast"/>
        </w:trPr>
        <w:tc>
          <w:tcPr>
            <w:shd w:val="clear" w:fill="B8CCE4"/>
            <w:tcW w:w="1214" w:type="dxa"/>
            <w:vAlign w:val="top"/>
          </w:tcPr>
          <w:p>
            <w:pPr>
              <w:pStyle w:val="TableText"/>
              <w:ind w:left="239"/>
              <w:spacing w:before="102" w:line="175" w:lineRule="auto"/>
              <w:rPr/>
            </w:pPr>
            <w:r>
              <w:rPr>
                <w:spacing w:val="3"/>
              </w:rPr>
              <w:t>603272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pStyle w:val="TableText"/>
              <w:ind w:left="242"/>
              <w:spacing w:before="89" w:line="184" w:lineRule="auto"/>
              <w:rPr/>
            </w:pPr>
            <w:r>
              <w:rPr>
                <w:spacing w:val="8"/>
              </w:rPr>
              <w:t>联翔股份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99"/>
              <w:spacing w:before="88" w:line="185" w:lineRule="auto"/>
              <w:rPr/>
            </w:pPr>
            <w:r>
              <w:rPr>
                <w:spacing w:val="9"/>
              </w:rPr>
              <w:t>公司</w:t>
            </w:r>
            <w:r>
              <w:rPr>
                <w:b/>
                <w:bCs/>
                <w:spacing w:val="9"/>
              </w:rPr>
              <w:t>业绩预告</w:t>
            </w:r>
            <w:r>
              <w:rPr>
                <w:spacing w:val="9"/>
              </w:rPr>
              <w:t>相关信息披露不准确、更正不及时。</w:t>
            </w:r>
          </w:p>
        </w:tc>
      </w:tr>
      <w:tr>
        <w:trPr>
          <w:trHeight w:val="1088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5" w:right="103" w:firstLine="17"/>
              <w:spacing w:before="48"/>
              <w:jc w:val="both"/>
              <w:rPr/>
            </w:pPr>
            <w:r>
              <w:rPr>
                <w:b/>
                <w:bCs/>
                <w:spacing w:val="10"/>
              </w:rPr>
              <w:t>【行政监管措施】</w:t>
            </w:r>
            <w:r>
              <w:rPr>
                <w:b/>
                <w:bCs/>
                <w:spacing w:val="-20"/>
              </w:rPr>
              <w:t xml:space="preserve"> </w:t>
            </w:r>
            <w:r>
              <w:rPr>
                <w:spacing w:val="10"/>
              </w:rPr>
              <w:t>中国证券监督管理委员会浙江监管局决定对浙江联翔智能家居股份</w:t>
            </w:r>
            <w:r>
              <w:rPr/>
              <w:t xml:space="preserve"> </w:t>
            </w:r>
            <w:r>
              <w:rPr>
                <w:spacing w:val="8"/>
              </w:rPr>
              <w:t>有限公司、董事长,总经理</w:t>
            </w:r>
            <w:r>
              <w:rPr>
                <w:spacing w:val="20"/>
                <w:w w:val="101"/>
              </w:rPr>
              <w:t xml:space="preserve"> </w:t>
            </w:r>
            <w:r>
              <w:rPr>
                <w:spacing w:val="8"/>
              </w:rPr>
              <w:t>卜某华、高管彭某红、董事会秘书唐某芬分别采取</w:t>
            </w:r>
            <w:r>
              <w:rPr>
                <w:spacing w:val="7"/>
              </w:rPr>
              <w:t>出具警示</w:t>
            </w:r>
            <w:r>
              <w:rPr/>
              <w:t xml:space="preserve"> </w:t>
            </w:r>
            <w:r>
              <w:rPr>
                <w:spacing w:val="9"/>
              </w:rPr>
              <w:t>函的监督管理措施，并记入证券期货市场诚信档案。</w:t>
            </w:r>
          </w:p>
        </w:tc>
      </w:tr>
    </w:tbl>
    <w:p>
      <w:pPr>
        <w:pStyle w:val="BodyText"/>
        <w:spacing w:line="149" w:lineRule="exact"/>
        <w:rPr>
          <w:sz w:val="12"/>
        </w:rPr>
      </w:pPr>
      <w:r/>
    </w:p>
    <w:p>
      <w:pPr>
        <w:spacing w:line="149" w:lineRule="exact"/>
        <w:sectPr>
          <w:footerReference w:type="default" r:id="rId12"/>
          <w:pgSz w:w="11910" w:h="16840"/>
          <w:pgMar w:top="400" w:right="1786" w:bottom="1" w:left="418" w:header="0" w:footer="0" w:gutter="0"/>
        </w:sectPr>
        <w:rPr>
          <w:sz w:val="12"/>
          <w:szCs w:val="12"/>
        </w:rPr>
      </w:pPr>
    </w:p>
    <w:tbl>
      <w:tblPr>
        <w:tblStyle w:val="TableNormal"/>
        <w:tblW w:w="8053" w:type="dxa"/>
        <w:tblInd w:w="133" w:type="dxa"/>
        <w:tblLayout w:type="fixed"/>
        <w:tblBorders>
          <w:top w:val="single" w:color="4F81BD" w:sz="6" w:space="0"/>
          <w:left w:val="single" w:color="4F81BD" w:sz="6" w:space="0"/>
          <w:bottom w:val="single" w:color="4F81BD" w:sz="6" w:space="0"/>
          <w:right w:val="single" w:color="4F81BD" w:sz="6" w:space="0"/>
          <w:insideH w:val="single" w:color="4F81BD" w:sz="6" w:space="0"/>
          <w:insideV w:val="single" w:color="4F81BD" w:sz="6" w:space="0"/>
        </w:tblBorders>
      </w:tblPr>
      <w:tblGrid>
        <w:gridCol w:w="1214"/>
        <w:gridCol w:w="1343"/>
        <w:gridCol w:w="5496"/>
      </w:tblGrid>
      <w:tr>
        <w:trPr>
          <w:trHeight w:val="384" w:hRule="atLeast"/>
        </w:trPr>
        <w:tc>
          <w:tcPr>
            <w:shd w:val="clear" w:fill="B8CCE4"/>
            <w:tcW w:w="1214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239"/>
              <w:spacing w:before="117" w:line="178" w:lineRule="auto"/>
              <w:rPr/>
            </w:pPr>
            <w:r>
              <w:rPr>
                <w:spacing w:val="3"/>
              </w:rPr>
              <w:t>603557</w:t>
            </w:r>
          </w:p>
        </w:tc>
        <w:tc>
          <w:tcPr>
            <w:shd w:val="clear" w:fill="B8CCE4"/>
            <w:tcW w:w="1343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342"/>
              <w:spacing w:before="102" w:line="189" w:lineRule="auto"/>
              <w:rPr/>
            </w:pPr>
            <w:r>
              <w:rPr/>
              <w:t>ST</w:t>
            </w:r>
            <w:r>
              <w:rPr>
                <w:spacing w:val="8"/>
              </w:rPr>
              <w:t>起步</w:t>
            </w:r>
          </w:p>
        </w:tc>
        <w:tc>
          <w:tcPr>
            <w:shd w:val="clear" w:fill="B8CCE4"/>
            <w:tcW w:w="5496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99"/>
              <w:spacing w:before="102" w:line="189" w:lineRule="auto"/>
              <w:rPr/>
            </w:pPr>
            <w:r>
              <w:rPr>
                <w:spacing w:val="9"/>
              </w:rPr>
              <w:t>公司</w:t>
            </w:r>
            <w:r>
              <w:rPr>
                <w:b/>
                <w:bCs/>
                <w:spacing w:val="9"/>
              </w:rPr>
              <w:t>业绩预告</w:t>
            </w:r>
            <w:r>
              <w:rPr>
                <w:spacing w:val="9"/>
              </w:rPr>
              <w:t>相关信息披露不准确、更正不及时。</w:t>
            </w:r>
          </w:p>
        </w:tc>
      </w:tr>
      <w:tr>
        <w:trPr>
          <w:trHeight w:val="1084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7" w:right="103" w:firstLine="15"/>
              <w:spacing w:before="40" w:line="241" w:lineRule="auto"/>
              <w:jc w:val="both"/>
              <w:rPr/>
            </w:pPr>
            <w:r>
              <w:rPr>
                <w:b/>
                <w:bCs/>
                <w:spacing w:val="10"/>
              </w:rPr>
              <w:t>【行政监管措施】</w:t>
            </w:r>
            <w:r>
              <w:rPr>
                <w:b/>
                <w:bCs/>
                <w:spacing w:val="-20"/>
              </w:rPr>
              <w:t xml:space="preserve"> </w:t>
            </w:r>
            <w:r>
              <w:rPr>
                <w:spacing w:val="10"/>
              </w:rPr>
              <w:t>中国证券监督管理委员会浙江监管局决定对起步股份有限公司、董</w:t>
            </w:r>
            <w:r>
              <w:rPr/>
              <w:t xml:space="preserve"> </w:t>
            </w:r>
            <w:r>
              <w:rPr>
                <w:spacing w:val="11"/>
              </w:rPr>
              <w:t>事长陈某红、总经理孙某、财务总监饶某美、董事会秘书张某旺分别采取出具警示函</w:t>
            </w:r>
            <w:r>
              <w:rPr>
                <w:spacing w:val="18"/>
              </w:rPr>
              <w:t xml:space="preserve"> </w:t>
            </w:r>
            <w:r>
              <w:rPr>
                <w:spacing w:val="9"/>
              </w:rPr>
              <w:t>的监督管理措施，并记入证券期货市场诚信档案。</w:t>
            </w:r>
          </w:p>
        </w:tc>
      </w:tr>
      <w:tr>
        <w:trPr>
          <w:trHeight w:val="364" w:hRule="atLeast"/>
        </w:trPr>
        <w:tc>
          <w:tcPr>
            <w:shd w:val="clear" w:fill="B8CCE4"/>
            <w:tcW w:w="1214" w:type="dxa"/>
            <w:vAlign w:val="top"/>
          </w:tcPr>
          <w:p>
            <w:pPr>
              <w:pStyle w:val="TableText"/>
              <w:ind w:left="242"/>
              <w:spacing w:before="95" w:line="179" w:lineRule="auto"/>
              <w:rPr/>
            </w:pPr>
            <w:r>
              <w:rPr>
                <w:spacing w:val="3"/>
              </w:rPr>
              <w:t>301213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pStyle w:val="TableText"/>
              <w:ind w:left="242"/>
              <w:spacing w:before="83" w:line="188" w:lineRule="auto"/>
              <w:rPr/>
            </w:pPr>
            <w:r>
              <w:rPr>
                <w:spacing w:val="8"/>
              </w:rPr>
              <w:t>观想科技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99"/>
              <w:spacing w:before="80" w:line="190" w:lineRule="auto"/>
              <w:rPr/>
            </w:pPr>
            <w:r>
              <w:rPr>
                <w:spacing w:val="8"/>
              </w:rPr>
              <w:t>公司未披露2023年度</w:t>
            </w:r>
            <w:r>
              <w:rPr>
                <w:b/>
                <w:bCs/>
                <w:spacing w:val="8"/>
              </w:rPr>
              <w:t>业绩预告</w:t>
            </w:r>
            <w:r>
              <w:rPr>
                <w:spacing w:val="8"/>
              </w:rPr>
              <w:t>。</w:t>
            </w:r>
          </w:p>
        </w:tc>
      </w:tr>
      <w:tr>
        <w:trPr>
          <w:trHeight w:val="1084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4" w:right="103" w:firstLine="18"/>
              <w:spacing w:before="40" w:line="241" w:lineRule="auto"/>
              <w:jc w:val="both"/>
              <w:rPr/>
            </w:pPr>
            <w:r>
              <w:rPr>
                <w:b/>
                <w:bCs/>
                <w:spacing w:val="10"/>
              </w:rPr>
              <w:t>【行政监管措施】</w:t>
            </w:r>
            <w:r>
              <w:rPr>
                <w:b/>
                <w:bCs/>
                <w:spacing w:val="-20"/>
              </w:rPr>
              <w:t xml:space="preserve"> </w:t>
            </w:r>
            <w:r>
              <w:rPr>
                <w:spacing w:val="10"/>
              </w:rPr>
              <w:t>中国证券监督管理委员会四川监管局决定对四川观想科技股份有限</w:t>
            </w:r>
            <w:r>
              <w:rPr/>
              <w:t xml:space="preserve"> </w:t>
            </w:r>
            <w:r>
              <w:rPr>
                <w:spacing w:val="11"/>
              </w:rPr>
              <w:t>公司及董事长,实际控制人,总经理魏某、财务总监,董事,高管王某节、董事会</w:t>
            </w:r>
            <w:r>
              <w:rPr>
                <w:spacing w:val="10"/>
              </w:rPr>
              <w:t>秘书易某</w:t>
            </w:r>
            <w:r>
              <w:rPr/>
              <w:t xml:space="preserve"> </w:t>
            </w:r>
            <w:r>
              <w:rPr>
                <w:spacing w:val="9"/>
              </w:rPr>
              <w:t>禾采取出具警示函行政监管措施，并记入证券期货市场诚信档案。</w:t>
            </w:r>
          </w:p>
        </w:tc>
      </w:tr>
      <w:tr>
        <w:trPr>
          <w:trHeight w:val="724" w:hRule="atLeast"/>
        </w:trPr>
        <w:tc>
          <w:tcPr>
            <w:shd w:val="clear" w:fill="B8CCE4"/>
            <w:tcW w:w="1214" w:type="dxa"/>
            <w:vAlign w:val="top"/>
          </w:tcPr>
          <w:p>
            <w:pPr>
              <w:pStyle w:val="TableText"/>
              <w:ind w:left="239"/>
              <w:spacing w:before="278" w:line="178" w:lineRule="auto"/>
              <w:rPr/>
            </w:pPr>
            <w:r>
              <w:rPr>
                <w:spacing w:val="3"/>
              </w:rPr>
              <w:t>603869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pStyle w:val="TableText"/>
              <w:ind w:left="342"/>
              <w:spacing w:before="263" w:line="189" w:lineRule="auto"/>
              <w:rPr/>
            </w:pPr>
            <w:r>
              <w:rPr/>
              <w:t>ST</w:t>
            </w:r>
            <w:r>
              <w:rPr>
                <w:spacing w:val="8"/>
              </w:rPr>
              <w:t>智知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99" w:right="103"/>
              <w:spacing w:before="82" w:line="221" w:lineRule="auto"/>
              <w:rPr/>
            </w:pPr>
            <w:r>
              <w:rPr>
                <w:spacing w:val="15"/>
              </w:rPr>
              <w:t>未按规定披露2023年度</w:t>
            </w:r>
            <w:r>
              <w:rPr>
                <w:b/>
                <w:bCs/>
                <w:spacing w:val="15"/>
              </w:rPr>
              <w:t>业绩预告</w:t>
            </w:r>
            <w:r>
              <w:rPr>
                <w:spacing w:val="15"/>
              </w:rPr>
              <w:t>；以前年度</w:t>
            </w:r>
            <w:r>
              <w:rPr>
                <w:b/>
                <w:bCs/>
                <w:spacing w:val="15"/>
              </w:rPr>
              <w:t>财务报告信</w:t>
            </w:r>
            <w:r>
              <w:rPr>
                <w:b/>
                <w:bCs/>
                <w:spacing w:val="17"/>
              </w:rPr>
              <w:t xml:space="preserve"> </w:t>
            </w:r>
            <w:r>
              <w:rPr>
                <w:b/>
                <w:bCs/>
                <w:spacing w:val="8"/>
              </w:rPr>
              <w:t>息</w:t>
            </w:r>
            <w:r>
              <w:rPr>
                <w:spacing w:val="8"/>
              </w:rPr>
              <w:t>披露不准确。</w:t>
            </w:r>
          </w:p>
        </w:tc>
      </w:tr>
      <w:tr>
        <w:trPr>
          <w:trHeight w:val="1444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4" w:right="103" w:firstLine="18"/>
              <w:spacing w:before="44" w:line="243" w:lineRule="auto"/>
              <w:jc w:val="both"/>
              <w:rPr/>
            </w:pPr>
            <w:r>
              <w:rPr>
                <w:b/>
                <w:bCs/>
                <w:spacing w:val="10"/>
              </w:rPr>
              <w:t>【行政监管措施】</w:t>
            </w:r>
            <w:r>
              <w:rPr>
                <w:b/>
                <w:bCs/>
                <w:spacing w:val="-20"/>
              </w:rPr>
              <w:t xml:space="preserve"> </w:t>
            </w:r>
            <w:r>
              <w:rPr>
                <w:spacing w:val="10"/>
              </w:rPr>
              <w:t>中国证券监督管理委员会广西监管局决定对新智认知数字科技股份</w:t>
            </w:r>
            <w:r>
              <w:rPr/>
              <w:t xml:space="preserve"> </w:t>
            </w:r>
            <w:r>
              <w:rPr>
                <w:spacing w:val="10"/>
              </w:rPr>
              <w:t>有限公司、董事长,总经理史某江、时任董事长张某东、时任董事长张某迎、时任总经</w:t>
            </w:r>
            <w:r>
              <w:rPr/>
              <w:t xml:space="preserve"> </w:t>
            </w:r>
            <w:r>
              <w:rPr>
                <w:spacing w:val="10"/>
              </w:rPr>
              <w:t>理杨某、时任总经理胡某、董事会秘书,时任财务总监张某锋、财务总监王某波采取出</w:t>
            </w:r>
            <w:r>
              <w:rPr/>
              <w:t xml:space="preserve"> </w:t>
            </w:r>
            <w:r>
              <w:rPr>
                <w:spacing w:val="9"/>
              </w:rPr>
              <w:t>具警示函的行政监管措施，并记入证券期货市场诚信档案。</w:t>
            </w:r>
          </w:p>
        </w:tc>
      </w:tr>
      <w:tr>
        <w:trPr>
          <w:trHeight w:val="1156" w:hRule="atLeast"/>
        </w:trPr>
        <w:tc>
          <w:tcPr>
            <w:shd w:val="clear" w:fill="B8CCE4"/>
            <w:tcW w:w="1214" w:type="dxa"/>
            <w:vAlign w:val="top"/>
          </w:tcPr>
          <w:p>
            <w:pPr>
              <w:spacing w:line="40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6"/>
              <w:spacing w:before="86" w:line="179" w:lineRule="auto"/>
              <w:rPr/>
            </w:pPr>
            <w:r>
              <w:rPr>
                <w:spacing w:val="3"/>
              </w:rPr>
              <w:t>001236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spacing w:line="39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7"/>
              <w:spacing w:before="86" w:line="189" w:lineRule="auto"/>
              <w:rPr/>
            </w:pPr>
            <w:r>
              <w:rPr>
                <w:spacing w:val="7"/>
              </w:rPr>
              <w:t>弘业期货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99" w:right="134"/>
              <w:spacing w:before="159" w:line="230" w:lineRule="auto"/>
              <w:rPr/>
            </w:pPr>
            <w:r>
              <w:rPr>
                <w:spacing w:val="9"/>
              </w:rPr>
              <w:t>从业人员在弘业期货股份有限公司任职期间,私自通过个</w:t>
            </w:r>
            <w:r>
              <w:rPr>
                <w:spacing w:val="3"/>
              </w:rPr>
              <w:t xml:space="preserve">    </w:t>
            </w:r>
            <w:r>
              <w:rPr>
                <w:spacing w:val="10"/>
              </w:rPr>
              <w:t>人微信向客户提供有关期货的交易品种、交易</w:t>
            </w:r>
            <w:r>
              <w:rPr>
                <w:spacing w:val="9"/>
              </w:rPr>
              <w:t>价格、交易</w:t>
            </w:r>
            <w:r>
              <w:rPr/>
              <w:t xml:space="preserve"> </w:t>
            </w:r>
            <w:r>
              <w:rPr>
                <w:spacing w:val="9"/>
              </w:rPr>
              <w:t>方向的建议与指导,未充分揭示期货交易风险。</w:t>
            </w:r>
          </w:p>
        </w:tc>
      </w:tr>
      <w:tr>
        <w:trPr>
          <w:trHeight w:val="724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8" w:right="103" w:firstLine="14"/>
              <w:spacing w:before="41" w:line="235" w:lineRule="auto"/>
              <w:rPr/>
            </w:pPr>
            <w:r>
              <w:rPr>
                <w:b/>
                <w:bCs/>
                <w:spacing w:val="10"/>
              </w:rPr>
              <w:t>【行政监管措施】</w:t>
            </w:r>
            <w:r>
              <w:rPr>
                <w:b/>
                <w:bCs/>
                <w:spacing w:val="-20"/>
              </w:rPr>
              <w:t xml:space="preserve"> </w:t>
            </w:r>
            <w:r>
              <w:rPr>
                <w:spacing w:val="10"/>
              </w:rPr>
              <w:t>中国证券监督管理委员会江苏监管局决定对从业人员蒋某采取出具</w:t>
            </w:r>
            <w:r>
              <w:rPr/>
              <w:t xml:space="preserve"> </w:t>
            </w:r>
            <w:r>
              <w:rPr>
                <w:spacing w:val="9"/>
              </w:rPr>
              <w:t>警示函行政监管措施,并记入证券期货市场诚信</w:t>
            </w:r>
            <w:r>
              <w:rPr>
                <w:spacing w:val="8"/>
              </w:rPr>
              <w:t>档案。</w:t>
            </w:r>
          </w:p>
        </w:tc>
      </w:tr>
      <w:tr>
        <w:trPr>
          <w:trHeight w:val="2882" w:hRule="atLeast"/>
        </w:trPr>
        <w:tc>
          <w:tcPr>
            <w:shd w:val="clear" w:fill="B8CCE4"/>
            <w:tcW w:w="1214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9"/>
              <w:spacing w:before="86" w:line="179" w:lineRule="auto"/>
              <w:rPr/>
            </w:pPr>
            <w:r>
              <w:rPr>
                <w:spacing w:val="3"/>
              </w:rPr>
              <w:t>688141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6"/>
              <w:spacing w:before="86" w:line="189" w:lineRule="auto"/>
              <w:rPr/>
            </w:pPr>
            <w:r>
              <w:rPr>
                <w:spacing w:val="8"/>
              </w:rPr>
              <w:t>杰华特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98" w:right="101" w:firstLine="9"/>
              <w:spacing w:before="92" w:line="243" w:lineRule="auto"/>
              <w:jc w:val="both"/>
              <w:rPr/>
            </w:pPr>
            <w:r>
              <w:rPr>
                <w:spacing w:val="15"/>
              </w:rPr>
              <w:t>2023年杰华特微电子股份有限公司在募集资金管理和信</w:t>
            </w:r>
            <w:r>
              <w:rPr>
                <w:spacing w:val="9"/>
              </w:rPr>
              <w:t xml:space="preserve"> </w:t>
            </w:r>
            <w:r>
              <w:rPr>
                <w:spacing w:val="11"/>
              </w:rPr>
              <w:t>息披露中存在以下问题：一是</w:t>
            </w:r>
            <w:r>
              <w:rPr>
                <w:b/>
                <w:bCs/>
                <w:spacing w:val="11"/>
              </w:rPr>
              <w:t>未开设理财专户</w:t>
            </w:r>
            <w:r>
              <w:rPr>
                <w:spacing w:val="11"/>
              </w:rPr>
              <w:t>，将募集资</w:t>
            </w:r>
            <w:r>
              <w:rPr>
                <w:spacing w:val="2"/>
              </w:rPr>
              <w:t xml:space="preserve"> </w:t>
            </w:r>
            <w:r>
              <w:rPr>
                <w:spacing w:val="11"/>
              </w:rPr>
              <w:t>金转入一般户进行现金管理。公司在募集资金现金管理时</w:t>
            </w:r>
            <w:r>
              <w:rPr>
                <w:spacing w:val="2"/>
              </w:rPr>
              <w:t xml:space="preserve"> </w:t>
            </w:r>
            <w:r>
              <w:rPr>
                <w:spacing w:val="12"/>
              </w:rPr>
              <w:t>存在将募集资金合计35,084.51万元转入一般户购买结构</w:t>
            </w:r>
            <w:r>
              <w:rPr>
                <w:spacing w:val="14"/>
              </w:rPr>
              <w:t xml:space="preserve"> </w:t>
            </w:r>
            <w:r>
              <w:rPr>
                <w:spacing w:val="11"/>
              </w:rPr>
              <w:t>性存款和大额存单的情形。二是</w:t>
            </w:r>
            <w:r>
              <w:rPr>
                <w:b/>
                <w:bCs/>
                <w:spacing w:val="11"/>
              </w:rPr>
              <w:t>募集资金专户与一般户混</w:t>
            </w:r>
            <w:r>
              <w:rPr>
                <w:b/>
                <w:bCs/>
                <w:spacing w:val="2"/>
              </w:rPr>
              <w:t xml:space="preserve"> </w:t>
            </w:r>
            <w:r>
              <w:rPr>
                <w:b/>
                <w:bCs/>
                <w:spacing w:val="12"/>
              </w:rPr>
              <w:t>同</w:t>
            </w:r>
            <w:r>
              <w:rPr>
                <w:b/>
                <w:bCs/>
                <w:spacing w:val="-29"/>
              </w:rPr>
              <w:t xml:space="preserve"> </w:t>
            </w:r>
            <w:r>
              <w:rPr>
                <w:b/>
                <w:bCs/>
                <w:spacing w:val="12"/>
              </w:rPr>
              <w:t>现金</w:t>
            </w:r>
            <w:r>
              <w:rPr>
                <w:b/>
                <w:bCs/>
                <w:spacing w:val="-30"/>
              </w:rPr>
              <w:t xml:space="preserve"> </w:t>
            </w:r>
            <w:r>
              <w:rPr>
                <w:b/>
                <w:bCs/>
                <w:spacing w:val="12"/>
              </w:rPr>
              <w:t>管</w:t>
            </w:r>
            <w:r>
              <w:rPr>
                <w:b/>
                <w:bCs/>
                <w:spacing w:val="-30"/>
              </w:rPr>
              <w:t xml:space="preserve"> </w:t>
            </w:r>
            <w:r>
              <w:rPr>
                <w:b/>
                <w:bCs/>
                <w:spacing w:val="12"/>
              </w:rPr>
              <w:t>理</w:t>
            </w:r>
            <w:r>
              <w:rPr>
                <w:b/>
                <w:bCs/>
                <w:spacing w:val="-23"/>
              </w:rPr>
              <w:t xml:space="preserve"> </w:t>
            </w:r>
            <w:r>
              <w:rPr>
                <w:spacing w:val="12"/>
              </w:rPr>
              <w:t>。</w:t>
            </w:r>
            <w:r>
              <w:rPr>
                <w:spacing w:val="-24"/>
              </w:rPr>
              <w:t xml:space="preserve"> </w:t>
            </w:r>
            <w:r>
              <w:rPr>
                <w:spacing w:val="12"/>
              </w:rPr>
              <w:t>公司</w:t>
            </w:r>
            <w:r>
              <w:rPr>
                <w:spacing w:val="-30"/>
              </w:rPr>
              <w:t xml:space="preserve"> </w:t>
            </w:r>
            <w:r>
              <w:rPr>
                <w:spacing w:val="12"/>
              </w:rPr>
              <w:t>在</w:t>
            </w:r>
            <w:r>
              <w:rPr>
                <w:spacing w:val="-32"/>
              </w:rPr>
              <w:t xml:space="preserve"> </w:t>
            </w:r>
            <w:r>
              <w:rPr>
                <w:spacing w:val="12"/>
              </w:rPr>
              <w:t>募集</w:t>
            </w:r>
            <w:r>
              <w:rPr>
                <w:spacing w:val="-29"/>
              </w:rPr>
              <w:t xml:space="preserve"> </w:t>
            </w:r>
            <w:r>
              <w:rPr>
                <w:spacing w:val="12"/>
              </w:rPr>
              <w:t>资</w:t>
            </w:r>
            <w:r>
              <w:rPr>
                <w:spacing w:val="-31"/>
              </w:rPr>
              <w:t xml:space="preserve"> </w:t>
            </w:r>
            <w:r>
              <w:rPr>
                <w:spacing w:val="12"/>
              </w:rPr>
              <w:t>金</w:t>
            </w:r>
            <w:r>
              <w:rPr>
                <w:spacing w:val="-30"/>
              </w:rPr>
              <w:t xml:space="preserve"> </w:t>
            </w:r>
            <w:r>
              <w:rPr>
                <w:spacing w:val="12"/>
              </w:rPr>
              <w:t>现金</w:t>
            </w:r>
            <w:r>
              <w:rPr>
                <w:spacing w:val="-30"/>
              </w:rPr>
              <w:t xml:space="preserve"> </w:t>
            </w:r>
            <w:r>
              <w:rPr>
                <w:spacing w:val="12"/>
              </w:rPr>
              <w:t>管</w:t>
            </w:r>
            <w:r>
              <w:rPr>
                <w:spacing w:val="-32"/>
              </w:rPr>
              <w:t xml:space="preserve"> </w:t>
            </w:r>
            <w:r>
              <w:rPr>
                <w:spacing w:val="12"/>
              </w:rPr>
              <w:t>理时</w:t>
            </w:r>
            <w:r>
              <w:rPr>
                <w:spacing w:val="-32"/>
              </w:rPr>
              <w:t xml:space="preserve"> </w:t>
            </w:r>
            <w:r>
              <w:rPr>
                <w:spacing w:val="12"/>
              </w:rPr>
              <w:t>将</w:t>
            </w:r>
            <w:r>
              <w:rPr>
                <w:spacing w:val="-22"/>
              </w:rPr>
              <w:t xml:space="preserve"> </w:t>
            </w:r>
            <w:r>
              <w:rPr>
                <w:spacing w:val="12"/>
              </w:rPr>
              <w:t>2</w:t>
            </w:r>
            <w:r>
              <w:rPr>
                <w:spacing w:val="-30"/>
              </w:rPr>
              <w:t xml:space="preserve"> </w:t>
            </w:r>
            <w:r>
              <w:rPr>
                <w:spacing w:val="12"/>
              </w:rPr>
              <w:t>笔</w:t>
            </w:r>
            <w:r>
              <w:rPr>
                <w:spacing w:val="-31"/>
              </w:rPr>
              <w:t xml:space="preserve"> </w:t>
            </w:r>
            <w:r>
              <w:rPr>
                <w:spacing w:val="12"/>
              </w:rPr>
              <w:t>合计</w:t>
            </w:r>
            <w:r>
              <w:rPr/>
              <w:t xml:space="preserve"> </w:t>
            </w:r>
            <w:r>
              <w:rPr>
                <w:spacing w:val="13"/>
              </w:rPr>
              <w:t>4,000万元募集资金与自有资金混同购买结构性存款和大</w:t>
            </w:r>
            <w:r>
              <w:rPr>
                <w:spacing w:val="9"/>
              </w:rPr>
              <w:t xml:space="preserve"> </w:t>
            </w:r>
            <w:r>
              <w:rPr>
                <w:spacing w:val="6"/>
              </w:rPr>
              <w:t>额存单。</w:t>
            </w:r>
          </w:p>
        </w:tc>
      </w:tr>
      <w:tr>
        <w:trPr>
          <w:trHeight w:val="1084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5" w:right="98" w:firstLine="17"/>
              <w:spacing w:before="48" w:line="239" w:lineRule="auto"/>
              <w:jc w:val="both"/>
              <w:rPr/>
            </w:pPr>
            <w:r>
              <w:rPr>
                <w:b/>
                <w:bCs/>
                <w:spacing w:val="10"/>
              </w:rPr>
              <w:t>【行政监管措施】</w:t>
            </w:r>
            <w:r>
              <w:rPr>
                <w:b/>
                <w:bCs/>
                <w:spacing w:val="-20"/>
              </w:rPr>
              <w:t xml:space="preserve"> </w:t>
            </w:r>
            <w:r>
              <w:rPr>
                <w:spacing w:val="10"/>
              </w:rPr>
              <w:t>中国证券监督管理委员会浙江监管局决定对杰华特微电子股份有限</w:t>
            </w:r>
            <w:r>
              <w:rPr/>
              <w:t xml:space="preserve"> </w:t>
            </w:r>
            <w:r>
              <w:rPr>
                <w:spacing w:val="12"/>
              </w:rPr>
              <w:t>公司、董事长</w:t>
            </w:r>
            <w:r>
              <w:rPr/>
              <w:t>ZHOU</w:t>
            </w:r>
            <w:r>
              <w:rPr>
                <w:spacing w:val="12"/>
              </w:rPr>
              <w:t xml:space="preserve"> * </w:t>
            </w:r>
            <w:r>
              <w:rPr/>
              <w:t>WEI</w:t>
            </w:r>
            <w:r>
              <w:rPr>
                <w:spacing w:val="12"/>
              </w:rPr>
              <w:t>、时任总经理黄某亮、董事会秘书,总</w:t>
            </w:r>
            <w:r>
              <w:rPr>
                <w:spacing w:val="11"/>
              </w:rPr>
              <w:t>经理马某问、财务总</w:t>
            </w:r>
            <w:r>
              <w:rPr/>
              <w:t xml:space="preserve"> </w:t>
            </w:r>
            <w:r>
              <w:rPr>
                <w:spacing w:val="10"/>
              </w:rPr>
              <w:t>监谢某恒分别采取出具警示函的监督管理措</w:t>
            </w:r>
            <w:r>
              <w:rPr>
                <w:spacing w:val="9"/>
              </w:rPr>
              <w:t>施，并记入证券期货市场诚信档案。</w:t>
            </w:r>
          </w:p>
        </w:tc>
      </w:tr>
      <w:tr>
        <w:trPr>
          <w:trHeight w:val="724" w:hRule="atLeast"/>
        </w:trPr>
        <w:tc>
          <w:tcPr>
            <w:shd w:val="clear" w:fill="B8CCE4"/>
            <w:tcW w:w="1214" w:type="dxa"/>
            <w:vAlign w:val="top"/>
          </w:tcPr>
          <w:p>
            <w:pPr>
              <w:pStyle w:val="TableText"/>
              <w:ind w:left="239"/>
              <w:spacing w:before="283" w:line="179" w:lineRule="auto"/>
              <w:rPr/>
            </w:pPr>
            <w:r>
              <w:rPr>
                <w:spacing w:val="3"/>
              </w:rPr>
              <w:t>688184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pStyle w:val="TableText"/>
              <w:ind w:left="250"/>
              <w:spacing w:before="270" w:line="189" w:lineRule="auto"/>
              <w:rPr/>
            </w:pPr>
            <w:r>
              <w:rPr>
                <w:spacing w:val="6"/>
              </w:rPr>
              <w:t>帕瓦股份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99" w:right="103"/>
              <w:spacing w:before="90" w:line="218" w:lineRule="auto"/>
              <w:rPr/>
            </w:pPr>
            <w:r>
              <w:rPr>
                <w:spacing w:val="11"/>
              </w:rPr>
              <w:t>公司</w:t>
            </w:r>
            <w:r>
              <w:rPr>
                <w:b/>
                <w:bCs/>
                <w:spacing w:val="11"/>
              </w:rPr>
              <w:t>业绩预告</w:t>
            </w:r>
            <w:r>
              <w:rPr>
                <w:spacing w:val="11"/>
              </w:rPr>
              <w:t>相关信息披露不准确，</w:t>
            </w:r>
            <w:r>
              <w:rPr>
                <w:b/>
                <w:bCs/>
                <w:spacing w:val="11"/>
              </w:rPr>
              <w:t>业绩快报</w:t>
            </w:r>
            <w:r>
              <w:rPr>
                <w:spacing w:val="11"/>
              </w:rPr>
              <w:t>相关信息披</w:t>
            </w:r>
            <w:r>
              <w:rPr>
                <w:spacing w:val="1"/>
              </w:rPr>
              <w:t xml:space="preserve"> </w:t>
            </w:r>
            <w:r>
              <w:rPr>
                <w:spacing w:val="8"/>
              </w:rPr>
              <w:t>露不准确、更正不及时。</w:t>
            </w:r>
          </w:p>
        </w:tc>
      </w:tr>
      <w:tr>
        <w:trPr>
          <w:trHeight w:val="1084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14" w:right="103" w:firstLine="8"/>
              <w:spacing w:before="48" w:line="239" w:lineRule="auto"/>
              <w:jc w:val="both"/>
              <w:rPr/>
            </w:pPr>
            <w:r>
              <w:rPr>
                <w:b/>
                <w:bCs/>
                <w:spacing w:val="10"/>
              </w:rPr>
              <w:t>【行政监管措施】</w:t>
            </w:r>
            <w:r>
              <w:rPr>
                <w:b/>
                <w:bCs/>
                <w:spacing w:val="-20"/>
              </w:rPr>
              <w:t xml:space="preserve"> </w:t>
            </w:r>
            <w:r>
              <w:rPr>
                <w:spacing w:val="10"/>
              </w:rPr>
              <w:t>中国证券监督管理委员会浙江监管局决定对浙江帕瓦新能源股份有</w:t>
            </w:r>
            <w:r>
              <w:rPr/>
              <w:t xml:space="preserve"> </w:t>
            </w:r>
            <w:r>
              <w:rPr>
                <w:spacing w:val="10"/>
              </w:rPr>
              <w:t>限公司、董事长,总经理张某、财务总监袁某军、董事会秘书徐</w:t>
            </w:r>
            <w:r>
              <w:rPr>
                <w:spacing w:val="9"/>
              </w:rPr>
              <w:t>某分别采取出具警示函</w:t>
            </w:r>
            <w:r>
              <w:rPr/>
              <w:t xml:space="preserve"> </w:t>
            </w:r>
            <w:r>
              <w:rPr>
                <w:spacing w:val="9"/>
              </w:rPr>
              <w:t>的监督管理措施，并记入证券期货市场诚信档</w:t>
            </w:r>
            <w:r>
              <w:rPr>
                <w:spacing w:val="8"/>
              </w:rPr>
              <w:t>案。</w:t>
            </w:r>
          </w:p>
        </w:tc>
      </w:tr>
      <w:tr>
        <w:trPr>
          <w:trHeight w:val="1083" w:hRule="atLeast"/>
        </w:trPr>
        <w:tc>
          <w:tcPr>
            <w:shd w:val="clear" w:fill="B8CCE4"/>
            <w:tcW w:w="1214" w:type="dxa"/>
            <w:vAlign w:val="top"/>
          </w:tcPr>
          <w:p>
            <w:pPr>
              <w:spacing w:line="37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2"/>
              <w:spacing w:before="86" w:line="178" w:lineRule="auto"/>
              <w:rPr/>
            </w:pPr>
            <w:r>
              <w:rPr>
                <w:spacing w:val="3"/>
              </w:rPr>
              <w:t>300526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spacing w:line="3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0"/>
              <w:spacing w:before="86" w:line="189" w:lineRule="auto"/>
              <w:rPr/>
            </w:pPr>
            <w:r>
              <w:rPr>
                <w:spacing w:val="3"/>
              </w:rPr>
              <w:t>中潜退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99" w:right="96" w:firstLine="8"/>
              <w:spacing w:before="90" w:line="229" w:lineRule="auto"/>
              <w:jc w:val="both"/>
              <w:rPr/>
            </w:pPr>
            <w:r>
              <w:rPr>
                <w:spacing w:val="3"/>
              </w:rPr>
              <w:t>2020</w:t>
            </w:r>
            <w:r>
              <w:rPr>
                <w:spacing w:val="-9"/>
              </w:rPr>
              <w:t xml:space="preserve"> </w:t>
            </w:r>
            <w:r>
              <w:rPr>
                <w:spacing w:val="3"/>
              </w:rPr>
              <w:t>年</w:t>
            </w:r>
            <w:r>
              <w:rPr>
                <w:spacing w:val="-11"/>
              </w:rPr>
              <w:t xml:space="preserve"> </w:t>
            </w:r>
            <w:r>
              <w:rPr>
                <w:spacing w:val="3"/>
              </w:rPr>
              <w:t>上</w:t>
            </w:r>
            <w:r>
              <w:rPr>
                <w:spacing w:val="-12"/>
              </w:rPr>
              <w:t xml:space="preserve"> </w:t>
            </w:r>
            <w:r>
              <w:rPr>
                <w:spacing w:val="3"/>
              </w:rPr>
              <w:t>半</w:t>
            </w:r>
            <w:r>
              <w:rPr>
                <w:spacing w:val="-12"/>
              </w:rPr>
              <w:t xml:space="preserve"> </w:t>
            </w:r>
            <w:r>
              <w:rPr>
                <w:spacing w:val="3"/>
              </w:rPr>
              <w:t>年</w:t>
            </w:r>
            <w:r>
              <w:rPr>
                <w:spacing w:val="-11"/>
              </w:rPr>
              <w:t xml:space="preserve"> </w:t>
            </w:r>
            <w:r>
              <w:rPr>
                <w:spacing w:val="3"/>
              </w:rPr>
              <w:t>， 中</w:t>
            </w:r>
            <w:r>
              <w:rPr>
                <w:spacing w:val="-14"/>
              </w:rPr>
              <w:t xml:space="preserve"> </w:t>
            </w:r>
            <w:r>
              <w:rPr>
                <w:spacing w:val="3"/>
              </w:rPr>
              <w:t>潜</w:t>
            </w:r>
            <w:r>
              <w:rPr>
                <w:spacing w:val="-13"/>
              </w:rPr>
              <w:t xml:space="preserve"> </w:t>
            </w:r>
            <w:r>
              <w:rPr>
                <w:spacing w:val="3"/>
              </w:rPr>
              <w:t>股</w:t>
            </w:r>
            <w:r>
              <w:rPr>
                <w:spacing w:val="-14"/>
              </w:rPr>
              <w:t xml:space="preserve"> </w:t>
            </w:r>
            <w:r>
              <w:rPr>
                <w:spacing w:val="3"/>
              </w:rPr>
              <w:t>份</w:t>
            </w:r>
            <w:r>
              <w:rPr>
                <w:spacing w:val="-14"/>
              </w:rPr>
              <w:t xml:space="preserve"> </w:t>
            </w:r>
            <w:r>
              <w:rPr>
                <w:spacing w:val="3"/>
              </w:rPr>
              <w:t>有 限</w:t>
            </w:r>
            <w:r>
              <w:rPr>
                <w:spacing w:val="-14"/>
              </w:rPr>
              <w:t xml:space="preserve"> </w:t>
            </w:r>
            <w:r>
              <w:rPr>
                <w:spacing w:val="3"/>
              </w:rPr>
              <w:t>公</w:t>
            </w:r>
            <w:r>
              <w:rPr>
                <w:spacing w:val="-10"/>
              </w:rPr>
              <w:t xml:space="preserve"> </w:t>
            </w:r>
            <w:r>
              <w:rPr>
                <w:spacing w:val="3"/>
              </w:rPr>
              <w:t>司</w:t>
            </w:r>
            <w:r>
              <w:rPr>
                <w:spacing w:val="-13"/>
              </w:rPr>
              <w:t xml:space="preserve"> </w:t>
            </w:r>
            <w:r>
              <w:rPr>
                <w:b/>
                <w:bCs/>
                <w:spacing w:val="3"/>
              </w:rPr>
              <w:t>虚</w:t>
            </w:r>
            <w:r>
              <w:rPr>
                <w:b/>
                <w:bCs/>
                <w:spacing w:val="-14"/>
              </w:rPr>
              <w:t xml:space="preserve"> </w:t>
            </w:r>
            <w:r>
              <w:rPr>
                <w:spacing w:val="2"/>
              </w:rPr>
              <w:t>增</w:t>
            </w:r>
            <w:r>
              <w:rPr>
                <w:spacing w:val="-12"/>
              </w:rPr>
              <w:t xml:space="preserve"> </w:t>
            </w:r>
            <w:r>
              <w:rPr>
                <w:spacing w:val="2"/>
              </w:rPr>
              <w:t>营</w:t>
            </w:r>
            <w:r>
              <w:rPr>
                <w:spacing w:val="-12"/>
              </w:rPr>
              <w:t xml:space="preserve"> </w:t>
            </w:r>
            <w:r>
              <w:rPr>
                <w:spacing w:val="2"/>
              </w:rPr>
              <w:t>业 收</w:t>
            </w:r>
            <w:r>
              <w:rPr>
                <w:spacing w:val="-13"/>
              </w:rPr>
              <w:t xml:space="preserve"> </w:t>
            </w:r>
            <w:r>
              <w:rPr>
                <w:spacing w:val="2"/>
              </w:rPr>
              <w:t>入</w:t>
            </w:r>
            <w:r>
              <w:rPr/>
              <w:t xml:space="preserve"> </w:t>
            </w:r>
            <w:r>
              <w:rPr>
                <w:spacing w:val="10"/>
              </w:rPr>
              <w:t>26,808,357.58元,</w:t>
            </w:r>
            <w:r>
              <w:rPr>
                <w:b/>
                <w:bCs/>
                <w:spacing w:val="10"/>
              </w:rPr>
              <w:t>虚增</w:t>
            </w:r>
            <w:r>
              <w:rPr>
                <w:spacing w:val="10"/>
              </w:rPr>
              <w:t>营业成本</w:t>
            </w:r>
            <w:r>
              <w:rPr>
                <w:spacing w:val="9"/>
              </w:rPr>
              <w:t>26,704,423.04元</w:t>
            </w:r>
            <w:r>
              <w:rPr>
                <w:spacing w:val="-22"/>
              </w:rPr>
              <w:t xml:space="preserve"> </w:t>
            </w:r>
            <w:r>
              <w:rPr>
                <w:spacing w:val="9"/>
              </w:rPr>
              <w:t>，</w:t>
            </w:r>
            <w:r>
              <w:rPr>
                <w:b/>
                <w:bCs/>
                <w:spacing w:val="9"/>
              </w:rPr>
              <w:t>虚增</w:t>
            </w:r>
            <w:r>
              <w:rPr>
                <w:b/>
                <w:bCs/>
              </w:rPr>
              <w:t xml:space="preserve"> </w:t>
            </w:r>
            <w:r>
              <w:rPr>
                <w:spacing w:val="5"/>
              </w:rPr>
              <w:t>利润103,934.54元。</w:t>
            </w:r>
          </w:p>
        </w:tc>
      </w:tr>
      <w:tr>
        <w:trPr>
          <w:trHeight w:val="725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22" w:right="103"/>
              <w:spacing w:before="51" w:line="232" w:lineRule="auto"/>
              <w:rPr/>
            </w:pPr>
            <w:r>
              <w:rPr>
                <w:b/>
                <w:bCs/>
                <w:spacing w:val="10"/>
              </w:rPr>
              <w:t>【行政监管措施】</w:t>
            </w:r>
            <w:r>
              <w:rPr>
                <w:b/>
                <w:bCs/>
                <w:spacing w:val="-20"/>
              </w:rPr>
              <w:t xml:space="preserve"> </w:t>
            </w:r>
            <w:r>
              <w:rPr>
                <w:spacing w:val="10"/>
              </w:rPr>
              <w:t>中国证券监督管理委员会广东监管局决定对董事会秘书尹某莹采取</w:t>
            </w:r>
            <w:r>
              <w:rPr/>
              <w:t xml:space="preserve"> </w:t>
            </w:r>
            <w:r>
              <w:rPr>
                <w:spacing w:val="7"/>
              </w:rPr>
              <w:t>出具警示函的行政监管措施。</w:t>
            </w:r>
          </w:p>
        </w:tc>
      </w:tr>
      <w:tr>
        <w:trPr>
          <w:trHeight w:val="364" w:hRule="atLeast"/>
        </w:trPr>
        <w:tc>
          <w:tcPr>
            <w:shd w:val="clear" w:fill="B8CCE4"/>
            <w:tcW w:w="1214" w:type="dxa"/>
            <w:vAlign w:val="top"/>
          </w:tcPr>
          <w:p>
            <w:pPr>
              <w:pStyle w:val="TableText"/>
              <w:ind w:left="242"/>
              <w:spacing w:before="109" w:line="171" w:lineRule="auto"/>
              <w:rPr/>
            </w:pPr>
            <w:r>
              <w:rPr>
                <w:spacing w:val="3"/>
              </w:rPr>
              <w:t>301022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pStyle w:val="TableText"/>
              <w:ind w:left="346"/>
              <w:spacing w:before="96" w:line="180" w:lineRule="auto"/>
              <w:rPr/>
            </w:pPr>
            <w:r>
              <w:rPr>
                <w:spacing w:val="8"/>
              </w:rPr>
              <w:t>海泰科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103"/>
              <w:spacing w:before="96" w:line="180" w:lineRule="auto"/>
              <w:rPr/>
            </w:pPr>
            <w:r>
              <w:rPr>
                <w:spacing w:val="9"/>
              </w:rPr>
              <w:t>青岛海泰科模塑科技股份有限公司</w:t>
            </w:r>
            <w:r>
              <w:rPr>
                <w:b/>
                <w:bCs/>
                <w:spacing w:val="9"/>
              </w:rPr>
              <w:t>业绩预告</w:t>
            </w:r>
            <w:r>
              <w:rPr>
                <w:spacing w:val="9"/>
              </w:rPr>
              <w:t>披露不及时。</w:t>
            </w:r>
          </w:p>
        </w:tc>
      </w:tr>
      <w:tr>
        <w:trPr>
          <w:trHeight w:val="1092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5" w:right="103" w:firstLine="17"/>
              <w:spacing w:before="52"/>
              <w:jc w:val="both"/>
              <w:rPr/>
            </w:pPr>
            <w:r>
              <w:rPr>
                <w:b/>
                <w:bCs/>
                <w:spacing w:val="10"/>
              </w:rPr>
              <w:t>【行政监管措施】</w:t>
            </w:r>
            <w:r>
              <w:rPr>
                <w:b/>
                <w:bCs/>
                <w:spacing w:val="-20"/>
              </w:rPr>
              <w:t xml:space="preserve"> </w:t>
            </w:r>
            <w:r>
              <w:rPr>
                <w:spacing w:val="10"/>
              </w:rPr>
              <w:t>中国证券监督管理委员会青岛监管局决定对青岛海泰科模塑科技股</w:t>
            </w:r>
            <w:r>
              <w:rPr/>
              <w:t xml:space="preserve"> </w:t>
            </w:r>
            <w:r>
              <w:rPr>
                <w:spacing w:val="12"/>
              </w:rPr>
              <w:t>份有限公司、董事长孙某强、总经理王某学、</w:t>
            </w:r>
            <w:r>
              <w:rPr>
                <w:spacing w:val="11"/>
              </w:rPr>
              <w:t>财务总监梁某波采取出具警示函的监管</w:t>
            </w:r>
            <w:r>
              <w:rPr/>
              <w:t xml:space="preserve"> </w:t>
            </w:r>
            <w:r>
              <w:rPr>
                <w:spacing w:val="9"/>
              </w:rPr>
              <w:t>措施，并记入证券期货市场诚信档案。</w:t>
            </w:r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pgSz w:w="11910" w:h="16840"/>
          <w:pgMar w:top="400" w:right="1786" w:bottom="180" w:left="1786" w:header="0" w:footer="0" w:gutter="0"/>
        </w:sectPr>
        <w:rPr>
          <w:sz w:val="2"/>
          <w:szCs w:val="2"/>
        </w:rPr>
      </w:pPr>
    </w:p>
    <w:tbl>
      <w:tblPr>
        <w:tblStyle w:val="TableNormal"/>
        <w:tblW w:w="8053" w:type="dxa"/>
        <w:tblInd w:w="133" w:type="dxa"/>
        <w:tblLayout w:type="fixed"/>
        <w:tblBorders>
          <w:top w:val="single" w:color="4F81BD" w:sz="6" w:space="0"/>
          <w:left w:val="single" w:color="4F81BD" w:sz="6" w:space="0"/>
          <w:bottom w:val="single" w:color="4F81BD" w:sz="6" w:space="0"/>
          <w:right w:val="single" w:color="4F81BD" w:sz="6" w:space="0"/>
          <w:insideH w:val="single" w:color="4F81BD" w:sz="6" w:space="0"/>
          <w:insideV w:val="single" w:color="4F81BD" w:sz="6" w:space="0"/>
        </w:tblBorders>
      </w:tblPr>
      <w:tblGrid>
        <w:gridCol w:w="1214"/>
        <w:gridCol w:w="1343"/>
        <w:gridCol w:w="5496"/>
      </w:tblGrid>
      <w:tr>
        <w:trPr>
          <w:trHeight w:val="456" w:hRule="atLeast"/>
        </w:trPr>
        <w:tc>
          <w:tcPr>
            <w:shd w:val="clear" w:fill="B8CCE4"/>
            <w:tcW w:w="1214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239"/>
              <w:spacing w:before="149" w:line="179" w:lineRule="auto"/>
              <w:rPr/>
            </w:pPr>
            <w:r>
              <w:rPr>
                <w:spacing w:val="3"/>
              </w:rPr>
              <w:t>600112</w:t>
            </w:r>
          </w:p>
        </w:tc>
        <w:tc>
          <w:tcPr>
            <w:shd w:val="clear" w:fill="B8CCE4"/>
            <w:tcW w:w="1343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289"/>
              <w:spacing w:before="137" w:line="188" w:lineRule="auto"/>
              <w:rPr/>
            </w:pPr>
            <w:r>
              <w:rPr>
                <w:spacing w:val="8"/>
              </w:rPr>
              <w:t>*</w:t>
            </w:r>
            <w:r>
              <w:rPr/>
              <w:t>ST</w:t>
            </w:r>
            <w:r>
              <w:rPr>
                <w:spacing w:val="8"/>
              </w:rPr>
              <w:t>天成</w:t>
            </w:r>
          </w:p>
        </w:tc>
        <w:tc>
          <w:tcPr>
            <w:shd w:val="clear" w:fill="B8CCE4"/>
            <w:tcW w:w="5496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109"/>
              <w:spacing w:before="174" w:line="189" w:lineRule="auto"/>
              <w:rPr/>
            </w:pPr>
            <w:r>
              <w:rPr>
                <w:b/>
                <w:bCs/>
                <w:spacing w:val="7"/>
              </w:rPr>
              <w:t>2020年年度报告</w:t>
            </w:r>
            <w:r>
              <w:rPr>
                <w:spacing w:val="7"/>
              </w:rPr>
              <w:t>披露不准确。</w:t>
            </w:r>
          </w:p>
        </w:tc>
      </w:tr>
      <w:tr>
        <w:trPr>
          <w:trHeight w:val="1443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5" w:right="103" w:firstLine="17"/>
              <w:spacing w:before="37" w:line="244" w:lineRule="auto"/>
              <w:jc w:val="both"/>
              <w:rPr/>
            </w:pPr>
            <w:r>
              <w:rPr>
                <w:b/>
                <w:bCs/>
                <w:spacing w:val="10"/>
              </w:rPr>
              <w:t>【行政监管措施】</w:t>
            </w:r>
            <w:r>
              <w:rPr>
                <w:b/>
                <w:bCs/>
                <w:spacing w:val="-20"/>
              </w:rPr>
              <w:t xml:space="preserve"> </w:t>
            </w:r>
            <w:r>
              <w:rPr>
                <w:spacing w:val="10"/>
              </w:rPr>
              <w:t>中国证券监督管理委员会贵州监管局决定对贵州长征天成控股股份</w:t>
            </w:r>
            <w:r>
              <w:rPr/>
              <w:t xml:space="preserve"> </w:t>
            </w:r>
            <w:r>
              <w:rPr>
                <w:spacing w:val="13"/>
              </w:rPr>
              <w:t>有限公司、</w:t>
            </w:r>
            <w:r>
              <w:rPr>
                <w:spacing w:val="-37"/>
              </w:rPr>
              <w:t xml:space="preserve"> </w:t>
            </w:r>
            <w:r>
              <w:rPr>
                <w:spacing w:val="13"/>
              </w:rPr>
              <w:t>时任董事长,时任董秘,时任总经理高某、</w:t>
            </w:r>
            <w:r>
              <w:rPr>
                <w:spacing w:val="-35"/>
              </w:rPr>
              <w:t xml:space="preserve"> </w:t>
            </w:r>
            <w:r>
              <w:rPr>
                <w:spacing w:val="13"/>
              </w:rPr>
              <w:t>时任财务总</w:t>
            </w:r>
            <w:r>
              <w:rPr>
                <w:spacing w:val="12"/>
              </w:rPr>
              <w:t>监黄某芳采取出具警</w:t>
            </w:r>
            <w:r>
              <w:rPr/>
              <w:t xml:space="preserve"> </w:t>
            </w:r>
            <w:r>
              <w:rPr>
                <w:spacing w:val="14"/>
              </w:rPr>
              <w:t>示函的监管措施,并记入证券期货市场诚信档案,后续将根据核查情况采取下一步监管</w:t>
            </w:r>
            <w:r>
              <w:rPr/>
              <w:t xml:space="preserve"> </w:t>
            </w:r>
            <w:r>
              <w:rPr>
                <w:spacing w:val="5"/>
              </w:rPr>
              <w:t>安排。</w:t>
            </w:r>
          </w:p>
        </w:tc>
      </w:tr>
      <w:tr>
        <w:trPr>
          <w:trHeight w:val="2882" w:hRule="atLeast"/>
        </w:trPr>
        <w:tc>
          <w:tcPr>
            <w:shd w:val="clear" w:fill="B8CCE4"/>
            <w:tcW w:w="1214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6"/>
              <w:spacing w:before="86" w:line="179" w:lineRule="auto"/>
              <w:rPr/>
            </w:pPr>
            <w:r>
              <w:rPr>
                <w:spacing w:val="3"/>
              </w:rPr>
              <w:t>000961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2"/>
              <w:spacing w:before="86" w:line="189" w:lineRule="auto"/>
              <w:rPr/>
            </w:pPr>
            <w:r>
              <w:rPr/>
              <w:t>ST</w:t>
            </w:r>
            <w:r>
              <w:rPr>
                <w:spacing w:val="8"/>
              </w:rPr>
              <w:t>中南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98" w:right="101" w:firstLine="15"/>
              <w:spacing w:before="81" w:line="244" w:lineRule="auto"/>
              <w:jc w:val="both"/>
              <w:rPr/>
            </w:pPr>
            <w:r>
              <w:rPr>
                <w:spacing w:val="10"/>
              </w:rPr>
              <w:t>中南城市建设投资有限公司与太盟投资集团、江苏资产管</w:t>
            </w:r>
            <w:r>
              <w:rPr>
                <w:spacing w:val="11"/>
              </w:rPr>
              <w:t xml:space="preserve"> </w:t>
            </w:r>
            <w:r>
              <w:rPr>
                <w:spacing w:val="9"/>
              </w:rPr>
              <w:t>理有限公司就债务化解、</w:t>
            </w:r>
            <w:r>
              <w:rPr>
                <w:spacing w:val="-36"/>
              </w:rPr>
              <w:t xml:space="preserve"> </w:t>
            </w:r>
            <w:r>
              <w:rPr>
                <w:spacing w:val="9"/>
              </w:rPr>
              <w:t>引进战略投资举行座谈会。</w:t>
            </w:r>
            <w:r>
              <w:rPr>
                <w:spacing w:val="-28"/>
              </w:rPr>
              <w:t xml:space="preserve"> </w:t>
            </w:r>
            <w:r>
              <w:rPr>
                <w:spacing w:val="8"/>
              </w:rPr>
              <w:t>中南</w:t>
            </w:r>
            <w:r>
              <w:rPr/>
              <w:t xml:space="preserve"> </w:t>
            </w:r>
            <w:r>
              <w:rPr>
                <w:spacing w:val="11"/>
              </w:rPr>
              <w:t>城市建设投资有限公司在座谈会后将与太盟集团洽谈债务</w:t>
            </w:r>
            <w:r>
              <w:rPr>
                <w:spacing w:val="2"/>
              </w:rPr>
              <w:t xml:space="preserve"> </w:t>
            </w:r>
            <w:r>
              <w:rPr>
                <w:spacing w:val="17"/>
              </w:rPr>
              <w:t>化解、股权交易合作事项告知相关媒体,媒体对此进行报</w:t>
            </w:r>
            <w:r>
              <w:rPr>
                <w:spacing w:val="4"/>
              </w:rPr>
              <w:t xml:space="preserve"> </w:t>
            </w:r>
            <w:r>
              <w:rPr>
                <w:spacing w:val="16"/>
              </w:rPr>
              <w:t>道。在</w:t>
            </w:r>
            <w:r>
              <w:rPr/>
              <w:t>ST</w:t>
            </w:r>
            <w:r>
              <w:rPr>
                <w:spacing w:val="16"/>
              </w:rPr>
              <w:t>中南股票价格连续11个交易日低于1元/股的敏</w:t>
            </w:r>
            <w:r>
              <w:rPr>
                <w:spacing w:val="12"/>
              </w:rPr>
              <w:t xml:space="preserve"> </w:t>
            </w:r>
            <w:r>
              <w:rPr>
                <w:spacing w:val="16"/>
              </w:rPr>
              <w:t>感时点,</w:t>
            </w:r>
            <w:r>
              <w:rPr>
                <w:spacing w:val="-30"/>
              </w:rPr>
              <w:t xml:space="preserve"> </w:t>
            </w:r>
            <w:r>
              <w:rPr>
                <w:spacing w:val="16"/>
              </w:rPr>
              <w:t>中南城市建设投资有限公司向媒体提供与太盟集</w:t>
            </w:r>
            <w:r>
              <w:rPr/>
              <w:t xml:space="preserve"> </w:t>
            </w:r>
            <w:r>
              <w:rPr>
                <w:spacing w:val="17"/>
              </w:rPr>
              <w:t>团洽谈的信息,但未完整说明双方仅就合作的可能性进行</w:t>
            </w:r>
            <w:r>
              <w:rPr>
                <w:spacing w:val="4"/>
              </w:rPr>
              <w:t xml:space="preserve"> </w:t>
            </w:r>
            <w:r>
              <w:rPr>
                <w:spacing w:val="9"/>
              </w:rPr>
              <w:t>探讨,尚无具体的方案或推进计划,对投资者造成</w:t>
            </w:r>
            <w:r>
              <w:rPr>
                <w:spacing w:val="8"/>
              </w:rPr>
              <w:t>了误导。</w:t>
            </w:r>
          </w:p>
        </w:tc>
      </w:tr>
      <w:tr>
        <w:trPr>
          <w:trHeight w:val="724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5" w:right="103" w:firstLine="17"/>
              <w:spacing w:before="41" w:line="235" w:lineRule="auto"/>
              <w:rPr/>
            </w:pPr>
            <w:r>
              <w:rPr>
                <w:b/>
                <w:bCs/>
                <w:spacing w:val="10"/>
              </w:rPr>
              <w:t>【行政监管措施】</w:t>
            </w:r>
            <w:r>
              <w:rPr>
                <w:b/>
                <w:bCs/>
                <w:spacing w:val="-20"/>
              </w:rPr>
              <w:t xml:space="preserve"> </w:t>
            </w:r>
            <w:r>
              <w:rPr>
                <w:spacing w:val="10"/>
              </w:rPr>
              <w:t>中国证券监督管理委员会江苏监管局决定对中南城市建设投资有限</w:t>
            </w:r>
            <w:r>
              <w:rPr/>
              <w:t xml:space="preserve"> </w:t>
            </w:r>
            <w:r>
              <w:rPr>
                <w:spacing w:val="9"/>
              </w:rPr>
              <w:t>公司采取出具警示函的行政监管措施。</w:t>
            </w:r>
          </w:p>
        </w:tc>
      </w:tr>
      <w:tr>
        <w:trPr>
          <w:trHeight w:val="365" w:hRule="atLeast"/>
        </w:trPr>
        <w:tc>
          <w:tcPr>
            <w:shd w:val="clear" w:fill="B8CCE4"/>
            <w:tcW w:w="1214" w:type="dxa"/>
            <w:vAlign w:val="top"/>
          </w:tcPr>
          <w:p>
            <w:pPr>
              <w:pStyle w:val="TableText"/>
              <w:ind w:left="236"/>
              <w:spacing w:before="100" w:line="178" w:lineRule="auto"/>
              <w:rPr/>
            </w:pPr>
            <w:r>
              <w:rPr>
                <w:spacing w:val="3"/>
              </w:rPr>
              <w:t>002150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pStyle w:val="TableText"/>
              <w:ind w:left="242"/>
              <w:spacing w:before="86" w:line="188" w:lineRule="auto"/>
              <w:rPr/>
            </w:pPr>
            <w:r>
              <w:rPr>
                <w:spacing w:val="8"/>
              </w:rPr>
              <w:t>通润装备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99"/>
              <w:spacing w:before="86" w:line="188" w:lineRule="auto"/>
              <w:rPr/>
            </w:pPr>
            <w:r>
              <w:rPr>
                <w:spacing w:val="9"/>
              </w:rPr>
              <w:t>公司未按规定及时审议并披露</w:t>
            </w:r>
            <w:r>
              <w:rPr>
                <w:b/>
                <w:bCs/>
                <w:spacing w:val="9"/>
              </w:rPr>
              <w:t>关联交易</w:t>
            </w:r>
            <w:r>
              <w:rPr>
                <w:spacing w:val="9"/>
              </w:rPr>
              <w:t>。</w:t>
            </w:r>
          </w:p>
        </w:tc>
      </w:tr>
      <w:tr>
        <w:trPr>
          <w:trHeight w:val="1083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5" w:right="103" w:firstLine="17"/>
              <w:spacing w:before="43"/>
              <w:jc w:val="both"/>
              <w:rPr/>
            </w:pPr>
            <w:r>
              <w:rPr>
                <w:b/>
                <w:bCs/>
                <w:spacing w:val="10"/>
              </w:rPr>
              <w:t>【行政监管措施】</w:t>
            </w:r>
            <w:r>
              <w:rPr>
                <w:b/>
                <w:bCs/>
                <w:spacing w:val="-20"/>
              </w:rPr>
              <w:t xml:space="preserve"> </w:t>
            </w:r>
            <w:r>
              <w:rPr>
                <w:spacing w:val="10"/>
              </w:rPr>
              <w:t>中国证券监督管理委员会江苏监管局决定对江苏通润装备科技股份</w:t>
            </w:r>
            <w:r>
              <w:rPr/>
              <w:t xml:space="preserve"> </w:t>
            </w:r>
            <w:r>
              <w:rPr>
                <w:spacing w:val="10"/>
              </w:rPr>
              <w:t>有限公司、时任董秘魏某、财务总监樊某真采取出具警示函的行政监管措施,并计入证</w:t>
            </w:r>
            <w:r>
              <w:rPr/>
              <w:t xml:space="preserve"> </w:t>
            </w:r>
            <w:r>
              <w:rPr>
                <w:spacing w:val="8"/>
              </w:rPr>
              <w:t>券期货市场诚信档案。</w:t>
            </w:r>
          </w:p>
        </w:tc>
      </w:tr>
      <w:tr>
        <w:trPr>
          <w:trHeight w:val="1803" w:hRule="atLeast"/>
        </w:trPr>
        <w:tc>
          <w:tcPr>
            <w:shd w:val="clear" w:fill="B8CCE4"/>
            <w:tcW w:w="1214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6"/>
              <w:spacing w:before="86" w:line="179" w:lineRule="auto"/>
              <w:rPr/>
            </w:pPr>
            <w:r>
              <w:rPr>
                <w:spacing w:val="3"/>
              </w:rPr>
              <w:t>002610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  <w:r/>
          </w:p>
          <w:p>
            <w:pPr>
              <w:spacing w:line="3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2"/>
              <w:spacing w:before="85" w:line="189" w:lineRule="auto"/>
              <w:rPr/>
            </w:pPr>
            <w:r>
              <w:rPr/>
              <w:t>ST</w:t>
            </w:r>
            <w:r>
              <w:rPr>
                <w:spacing w:val="8"/>
              </w:rPr>
              <w:t>爱康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99" w:right="103"/>
              <w:spacing w:before="84" w:line="239" w:lineRule="auto"/>
              <w:jc w:val="both"/>
              <w:rPr/>
            </w:pPr>
            <w:r>
              <w:rPr>
                <w:spacing w:val="11"/>
              </w:rPr>
              <w:t>浙江爱康新能源科技股份有限公司在深圳证券交易所</w:t>
            </w:r>
            <w:r>
              <w:rPr>
                <w:b/>
                <w:bCs/>
                <w:spacing w:val="11"/>
              </w:rPr>
              <w:t>互动</w:t>
            </w:r>
            <w:r>
              <w:rPr>
                <w:b/>
                <w:bCs/>
                <w:spacing w:val="1"/>
              </w:rPr>
              <w:t xml:space="preserve"> </w:t>
            </w:r>
            <w:r>
              <w:rPr>
                <w:b/>
                <w:bCs/>
                <w:spacing w:val="16"/>
              </w:rPr>
              <w:t>易回答</w:t>
            </w:r>
            <w:r>
              <w:rPr>
                <w:spacing w:val="16"/>
              </w:rPr>
              <w:t>投资者关于</w:t>
            </w:r>
            <w:r>
              <w:rPr>
                <w:spacing w:val="-34"/>
              </w:rPr>
              <w:t xml:space="preserve"> </w:t>
            </w:r>
            <w:r>
              <w:rPr>
                <w:spacing w:val="16"/>
              </w:rPr>
              <w:t>“公司是否有</w:t>
            </w:r>
            <w:r>
              <w:rPr/>
              <w:t>ST</w:t>
            </w:r>
            <w:r>
              <w:rPr>
                <w:spacing w:val="16"/>
              </w:rPr>
              <w:t>风险</w:t>
            </w:r>
            <w:r>
              <w:rPr>
                <w:spacing w:val="-38"/>
              </w:rPr>
              <w:t xml:space="preserve"> </w:t>
            </w:r>
            <w:r>
              <w:rPr>
                <w:spacing w:val="16"/>
              </w:rPr>
              <w:t>”提问时</w:t>
            </w:r>
            <w:r>
              <w:rPr>
                <w:spacing w:val="-27"/>
              </w:rPr>
              <w:t xml:space="preserve"> </w:t>
            </w:r>
            <w:r>
              <w:rPr>
                <w:spacing w:val="16"/>
              </w:rPr>
              <w:t>，直接</w:t>
            </w:r>
            <w:r>
              <w:rPr/>
              <w:t xml:space="preserve"> </w:t>
            </w:r>
            <w:r>
              <w:rPr>
                <w:spacing w:val="14"/>
              </w:rPr>
              <w:t>回复</w:t>
            </w:r>
            <w:r>
              <w:rPr>
                <w:spacing w:val="-24"/>
              </w:rPr>
              <w:t xml:space="preserve"> </w:t>
            </w:r>
            <w:r>
              <w:rPr>
                <w:spacing w:val="14"/>
              </w:rPr>
              <w:t>“</w:t>
            </w:r>
            <w:r>
              <w:rPr>
                <w:spacing w:val="-19"/>
              </w:rPr>
              <w:t xml:space="preserve"> </w:t>
            </w:r>
            <w:r>
              <w:rPr>
                <w:spacing w:val="14"/>
              </w:rPr>
              <w:t>目前公司不存在被</w:t>
            </w:r>
            <w:r>
              <w:rPr/>
              <w:t>ST</w:t>
            </w:r>
            <w:r>
              <w:rPr>
                <w:spacing w:val="14"/>
              </w:rPr>
              <w:t>的风险</w:t>
            </w:r>
            <w:r>
              <w:rPr>
                <w:spacing w:val="-38"/>
              </w:rPr>
              <w:t xml:space="preserve"> </w:t>
            </w:r>
            <w:r>
              <w:rPr>
                <w:spacing w:val="14"/>
              </w:rPr>
              <w:t>”</w:t>
            </w:r>
            <w:r>
              <w:rPr>
                <w:spacing w:val="-31"/>
              </w:rPr>
              <w:t xml:space="preserve"> </w:t>
            </w:r>
            <w:r>
              <w:rPr>
                <w:spacing w:val="14"/>
              </w:rPr>
              <w:t>，未充分向投资者</w:t>
            </w:r>
            <w:r>
              <w:rPr/>
              <w:t xml:space="preserve"> </w:t>
            </w:r>
            <w:r>
              <w:rPr>
                <w:spacing w:val="11"/>
              </w:rPr>
              <w:t>披露公司生产经营风险和内部控制风险，相关回复不准确</w:t>
            </w:r>
            <w:r>
              <w:rPr>
                <w:spacing w:val="1"/>
              </w:rPr>
              <w:t xml:space="preserve"> </w:t>
            </w:r>
            <w:r>
              <w:rPr>
                <w:spacing w:val="7"/>
              </w:rPr>
              <w:t>、不完整。</w:t>
            </w:r>
          </w:p>
        </w:tc>
      </w:tr>
      <w:tr>
        <w:trPr>
          <w:trHeight w:val="1084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5" w:right="103" w:firstLine="17"/>
              <w:spacing w:before="48" w:line="239" w:lineRule="auto"/>
              <w:jc w:val="both"/>
              <w:rPr/>
            </w:pPr>
            <w:r>
              <w:rPr>
                <w:b/>
                <w:bCs/>
                <w:spacing w:val="10"/>
              </w:rPr>
              <w:t>【行政监管措施】</w:t>
            </w:r>
            <w:r>
              <w:rPr>
                <w:b/>
                <w:bCs/>
                <w:spacing w:val="-20"/>
              </w:rPr>
              <w:t xml:space="preserve"> </w:t>
            </w:r>
            <w:r>
              <w:rPr>
                <w:spacing w:val="10"/>
              </w:rPr>
              <w:t>中国证券监督管理委员会浙江监管局决定对浙江爱康新能源科技股</w:t>
            </w:r>
            <w:r>
              <w:rPr/>
              <w:t xml:space="preserve"> </w:t>
            </w:r>
            <w:r>
              <w:rPr>
                <w:spacing w:val="14"/>
              </w:rPr>
              <w:t>份有限公司、董事会秘书,董事长邹某慧、董事,高管田某分别采取出具警示函的监督</w:t>
            </w:r>
            <w:r>
              <w:rPr/>
              <w:t xml:space="preserve"> </w:t>
            </w:r>
            <w:r>
              <w:rPr>
                <w:spacing w:val="9"/>
              </w:rPr>
              <w:t>管理措施，并记入证券期货市场诚信档案。</w:t>
            </w:r>
          </w:p>
        </w:tc>
      </w:tr>
      <w:tr>
        <w:trPr>
          <w:trHeight w:val="364" w:hRule="atLeast"/>
        </w:trPr>
        <w:tc>
          <w:tcPr>
            <w:shd w:val="clear" w:fill="B8CCE4"/>
            <w:tcW w:w="1214" w:type="dxa"/>
            <w:vAlign w:val="top"/>
          </w:tcPr>
          <w:p>
            <w:pPr>
              <w:pStyle w:val="TableText"/>
              <w:ind w:left="236"/>
              <w:spacing w:before="103" w:line="175" w:lineRule="auto"/>
              <w:rPr/>
            </w:pPr>
            <w:r>
              <w:rPr>
                <w:spacing w:val="3"/>
              </w:rPr>
              <w:t>002196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pStyle w:val="TableText"/>
              <w:ind w:left="242"/>
              <w:spacing w:before="90" w:line="184" w:lineRule="auto"/>
              <w:rPr/>
            </w:pPr>
            <w:r>
              <w:rPr>
                <w:spacing w:val="8"/>
              </w:rPr>
              <w:t>方正电机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99"/>
              <w:spacing w:before="89" w:line="185" w:lineRule="auto"/>
              <w:rPr/>
            </w:pPr>
            <w:r>
              <w:rPr>
                <w:spacing w:val="9"/>
              </w:rPr>
              <w:t>公司</w:t>
            </w:r>
            <w:r>
              <w:rPr>
                <w:b/>
                <w:bCs/>
                <w:spacing w:val="9"/>
              </w:rPr>
              <w:t>业绩预告</w:t>
            </w:r>
            <w:r>
              <w:rPr>
                <w:spacing w:val="9"/>
              </w:rPr>
              <w:t>相关信息披露不准确。</w:t>
            </w:r>
          </w:p>
        </w:tc>
      </w:tr>
      <w:tr>
        <w:trPr>
          <w:trHeight w:val="1084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5" w:right="101" w:firstLine="17"/>
              <w:spacing w:before="48" w:line="239" w:lineRule="auto"/>
              <w:jc w:val="both"/>
              <w:rPr/>
            </w:pPr>
            <w:r>
              <w:rPr>
                <w:b/>
                <w:bCs/>
                <w:spacing w:val="10"/>
              </w:rPr>
              <w:t>【行政监管措施】</w:t>
            </w:r>
            <w:r>
              <w:rPr>
                <w:b/>
                <w:bCs/>
                <w:spacing w:val="-20"/>
              </w:rPr>
              <w:t xml:space="preserve"> </w:t>
            </w:r>
            <w:r>
              <w:rPr>
                <w:spacing w:val="10"/>
              </w:rPr>
              <w:t>中国证券监督管理委员会浙江监管局决定对浙江方正电机股份有限</w:t>
            </w:r>
            <w:r>
              <w:rPr/>
              <w:t xml:space="preserve"> </w:t>
            </w:r>
            <w:r>
              <w:rPr>
                <w:spacing w:val="14"/>
              </w:rPr>
              <w:t>公司、董事长,总经理牛某奎、董事会秘书,财务总监牟某分别采取出具警示函的监督</w:t>
            </w:r>
            <w:r>
              <w:rPr>
                <w:spacing w:val="1"/>
              </w:rPr>
              <w:t xml:space="preserve"> </w:t>
            </w:r>
            <w:r>
              <w:rPr>
                <w:spacing w:val="9"/>
              </w:rPr>
              <w:t>管理措施，并记入证券期货市场诚信档案。</w:t>
            </w:r>
          </w:p>
        </w:tc>
      </w:tr>
      <w:tr>
        <w:trPr>
          <w:trHeight w:val="796" w:hRule="atLeast"/>
        </w:trPr>
        <w:tc>
          <w:tcPr>
            <w:shd w:val="clear" w:fill="B8CCE4"/>
            <w:tcW w:w="1214" w:type="dxa"/>
            <w:vAlign w:val="top"/>
          </w:tcPr>
          <w:p>
            <w:pPr>
              <w:pStyle w:val="TableText"/>
              <w:ind w:left="239"/>
              <w:spacing w:before="323" w:line="178" w:lineRule="auto"/>
              <w:rPr/>
            </w:pPr>
            <w:r>
              <w:rPr>
                <w:spacing w:val="3"/>
              </w:rPr>
              <w:t>603828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pStyle w:val="TableText"/>
              <w:ind w:left="236"/>
              <w:spacing w:before="311" w:line="187" w:lineRule="auto"/>
              <w:rPr/>
            </w:pPr>
            <w:r>
              <w:rPr/>
              <w:t>ST</w:t>
            </w:r>
            <w:r>
              <w:rPr>
                <w:spacing w:val="9"/>
              </w:rPr>
              <w:t>柯利达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99" w:right="262" w:firstLine="10"/>
              <w:spacing w:before="162" w:line="218" w:lineRule="auto"/>
              <w:rPr/>
            </w:pPr>
            <w:r>
              <w:rPr/>
              <w:t>ST</w:t>
            </w:r>
            <w:r>
              <w:rPr>
                <w:spacing w:val="9"/>
              </w:rPr>
              <w:t>柯利达首次</w:t>
            </w:r>
            <w:r>
              <w:rPr>
                <w:b/>
                <w:bCs/>
                <w:spacing w:val="9"/>
              </w:rPr>
              <w:t>业绩预告</w:t>
            </w:r>
            <w:r>
              <w:rPr>
                <w:spacing w:val="9"/>
              </w:rPr>
              <w:t>与实际业绩差异金额较大,且盈亏</w:t>
            </w:r>
            <w:r>
              <w:rPr>
                <w:spacing w:val="13"/>
              </w:rPr>
              <w:t xml:space="preserve"> </w:t>
            </w:r>
            <w:r>
              <w:rPr>
                <w:spacing w:val="8"/>
              </w:rPr>
              <w:t>性质发生变化,业绩预告信息披露不准确。</w:t>
            </w:r>
          </w:p>
        </w:tc>
      </w:tr>
      <w:tr>
        <w:trPr>
          <w:trHeight w:val="725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16" w:right="103" w:firstLine="6"/>
              <w:spacing w:before="51" w:line="232" w:lineRule="auto"/>
              <w:rPr/>
            </w:pPr>
            <w:r>
              <w:rPr>
                <w:b/>
                <w:bCs/>
                <w:spacing w:val="10"/>
              </w:rPr>
              <w:t>【行政监管措施】</w:t>
            </w:r>
            <w:r>
              <w:rPr>
                <w:b/>
                <w:bCs/>
                <w:spacing w:val="-20"/>
              </w:rPr>
              <w:t xml:space="preserve"> </w:t>
            </w:r>
            <w:r>
              <w:rPr>
                <w:spacing w:val="10"/>
              </w:rPr>
              <w:t>中国证券监督管理委员会江苏监管局决定对苏州柯利达装饰股份有</w:t>
            </w:r>
            <w:r>
              <w:rPr/>
              <w:t xml:space="preserve"> </w:t>
            </w:r>
            <w:r>
              <w:rPr>
                <w:spacing w:val="9"/>
              </w:rPr>
              <w:t>限公司、高管孙某华采取出具警示函的行政监管措</w:t>
            </w:r>
            <w:r>
              <w:rPr>
                <w:spacing w:val="8"/>
              </w:rPr>
              <w:t>施。</w:t>
            </w:r>
          </w:p>
        </w:tc>
      </w:tr>
      <w:tr>
        <w:trPr>
          <w:trHeight w:val="724" w:hRule="atLeast"/>
        </w:trPr>
        <w:tc>
          <w:tcPr>
            <w:shd w:val="clear" w:fill="B8CCE4"/>
            <w:tcW w:w="1214" w:type="dxa"/>
            <w:vAlign w:val="top"/>
          </w:tcPr>
          <w:p>
            <w:pPr>
              <w:pStyle w:val="TableText"/>
              <w:ind w:left="236"/>
              <w:spacing w:before="287" w:line="178" w:lineRule="auto"/>
              <w:rPr/>
            </w:pPr>
            <w:r>
              <w:rPr>
                <w:spacing w:val="3"/>
              </w:rPr>
              <w:t>002453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pStyle w:val="TableText"/>
              <w:ind w:left="244"/>
              <w:spacing w:before="273" w:line="189" w:lineRule="auto"/>
              <w:rPr/>
            </w:pPr>
            <w:r>
              <w:rPr>
                <w:spacing w:val="8"/>
              </w:rPr>
              <w:t>华软科技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99" w:right="103" w:firstLine="1"/>
              <w:spacing w:before="93" w:line="217" w:lineRule="auto"/>
              <w:rPr/>
            </w:pPr>
            <w:r>
              <w:rPr>
                <w:spacing w:val="11"/>
              </w:rPr>
              <w:t>重大资产重组的交易对方之一卖出华软科技股票的行为</w:t>
            </w:r>
            <w:r>
              <w:rPr>
                <w:b/>
                <w:bCs/>
                <w:spacing w:val="11"/>
              </w:rPr>
              <w:t>违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spacing w:val="7"/>
              </w:rPr>
              <w:t>反公开承诺。</w:t>
            </w:r>
          </w:p>
        </w:tc>
      </w:tr>
      <w:tr>
        <w:trPr>
          <w:trHeight w:val="725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14" w:right="103" w:firstLine="8"/>
              <w:spacing w:before="51" w:line="232" w:lineRule="auto"/>
              <w:rPr/>
            </w:pPr>
            <w:r>
              <w:rPr>
                <w:b/>
                <w:bCs/>
                <w:spacing w:val="10"/>
              </w:rPr>
              <w:t>【行政监管措施】</w:t>
            </w:r>
            <w:r>
              <w:rPr>
                <w:b/>
                <w:bCs/>
                <w:spacing w:val="-20"/>
              </w:rPr>
              <w:t xml:space="preserve"> </w:t>
            </w:r>
            <w:r>
              <w:rPr>
                <w:spacing w:val="10"/>
              </w:rPr>
              <w:t>中国证券监督管理委员会江苏监管局决定对刘某然采取出具警示函</w:t>
            </w:r>
            <w:r>
              <w:rPr/>
              <w:t xml:space="preserve"> </w:t>
            </w:r>
            <w:r>
              <w:rPr>
                <w:spacing w:val="8"/>
              </w:rPr>
              <w:t>的行政监管措施,并记入证券期货市场诚信档案。</w:t>
            </w:r>
          </w:p>
        </w:tc>
      </w:tr>
      <w:tr>
        <w:trPr>
          <w:trHeight w:val="724" w:hRule="atLeast"/>
        </w:trPr>
        <w:tc>
          <w:tcPr>
            <w:shd w:val="clear" w:fill="B8CCE4"/>
            <w:tcW w:w="1214" w:type="dxa"/>
            <w:vAlign w:val="top"/>
          </w:tcPr>
          <w:p>
            <w:pPr>
              <w:pStyle w:val="TableText"/>
              <w:ind w:left="236"/>
              <w:spacing w:before="288" w:line="178" w:lineRule="auto"/>
              <w:rPr/>
            </w:pPr>
            <w:r>
              <w:rPr>
                <w:spacing w:val="3"/>
              </w:rPr>
              <w:t>002453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pStyle w:val="TableText"/>
              <w:ind w:left="244"/>
              <w:spacing w:before="273" w:line="189" w:lineRule="auto"/>
              <w:rPr/>
            </w:pPr>
            <w:r>
              <w:rPr>
                <w:spacing w:val="8"/>
              </w:rPr>
              <w:t>华软科技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99" w:right="103" w:firstLine="1"/>
              <w:spacing w:before="96" w:line="216" w:lineRule="auto"/>
              <w:rPr/>
            </w:pPr>
            <w:r>
              <w:rPr>
                <w:spacing w:val="11"/>
              </w:rPr>
              <w:t>重大资产重组的交易对方之一卖出华软科技股票的行为</w:t>
            </w:r>
            <w:r>
              <w:rPr>
                <w:b/>
                <w:bCs/>
                <w:spacing w:val="11"/>
              </w:rPr>
              <w:t>违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spacing w:val="7"/>
              </w:rPr>
              <w:t>反公开承诺。</w:t>
            </w:r>
          </w:p>
        </w:tc>
      </w:tr>
      <w:tr>
        <w:trPr>
          <w:trHeight w:val="1011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6" w:right="103" w:firstLine="16"/>
              <w:spacing w:before="51" w:line="248" w:lineRule="auto"/>
              <w:rPr/>
            </w:pPr>
            <w:r>
              <w:rPr>
                <w:b/>
                <w:bCs/>
                <w:spacing w:val="10"/>
              </w:rPr>
              <w:t>【行政监管措施】</w:t>
            </w:r>
            <w:r>
              <w:rPr>
                <w:b/>
                <w:bCs/>
                <w:spacing w:val="-20"/>
              </w:rPr>
              <w:t xml:space="preserve"> </w:t>
            </w:r>
            <w:r>
              <w:rPr>
                <w:spacing w:val="10"/>
              </w:rPr>
              <w:t>中国证券监督管理委员会江苏监管局决定对王某采取出具警示函的</w:t>
            </w:r>
            <w:r>
              <w:rPr/>
              <w:t xml:space="preserve"> </w:t>
            </w:r>
            <w:r>
              <w:rPr>
                <w:spacing w:val="8"/>
              </w:rPr>
              <w:t>行政监管措施,并记入证券期货市场诚信档案。</w:t>
            </w:r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pgSz w:w="11910" w:h="16840"/>
          <w:pgMar w:top="400" w:right="1786" w:bottom="189" w:left="1786" w:header="0" w:footer="0" w:gutter="0"/>
        </w:sectPr>
        <w:rPr>
          <w:sz w:val="2"/>
          <w:szCs w:val="2"/>
        </w:rPr>
      </w:pPr>
    </w:p>
    <w:tbl>
      <w:tblPr>
        <w:tblStyle w:val="TableNormal"/>
        <w:tblW w:w="8053" w:type="dxa"/>
        <w:tblInd w:w="133" w:type="dxa"/>
        <w:tblLayout w:type="fixed"/>
        <w:tblBorders>
          <w:top w:val="single" w:color="4F81BD" w:sz="6" w:space="0"/>
          <w:left w:val="single" w:color="4F81BD" w:sz="6" w:space="0"/>
          <w:bottom w:val="single" w:color="4F81BD" w:sz="6" w:space="0"/>
          <w:right w:val="single" w:color="4F81BD" w:sz="6" w:space="0"/>
          <w:insideH w:val="single" w:color="4F81BD" w:sz="6" w:space="0"/>
          <w:insideV w:val="single" w:color="4F81BD" w:sz="6" w:space="0"/>
        </w:tblBorders>
      </w:tblPr>
      <w:tblGrid>
        <w:gridCol w:w="1214"/>
        <w:gridCol w:w="1343"/>
        <w:gridCol w:w="5496"/>
      </w:tblGrid>
      <w:tr>
        <w:trPr>
          <w:trHeight w:val="384" w:hRule="atLeast"/>
        </w:trPr>
        <w:tc>
          <w:tcPr>
            <w:tcW w:w="8053" w:type="dxa"/>
            <w:vAlign w:val="top"/>
            <w:gridSpan w:val="3"/>
            <w:tcBorders>
              <w:top w:val="single" w:color="FFFFFF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444" w:hRule="atLeast"/>
        </w:trPr>
        <w:tc>
          <w:tcPr>
            <w:shd w:val="clear" w:fill="B8CCE4"/>
            <w:tcW w:w="1214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9"/>
              <w:spacing w:before="86" w:line="178" w:lineRule="auto"/>
              <w:rPr/>
            </w:pPr>
            <w:r>
              <w:rPr>
                <w:spacing w:val="3"/>
              </w:rPr>
              <w:t>603580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4"/>
              <w:spacing w:before="86" w:line="188" w:lineRule="auto"/>
              <w:rPr/>
            </w:pPr>
            <w:r>
              <w:rPr>
                <w:spacing w:val="8"/>
              </w:rPr>
              <w:t>艾艾精工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98" w:right="103" w:firstLine="1"/>
              <w:spacing w:before="78" w:line="237" w:lineRule="auto"/>
              <w:jc w:val="both"/>
              <w:rPr/>
            </w:pPr>
            <w:r>
              <w:rPr>
                <w:spacing w:val="9"/>
              </w:rPr>
              <w:t>公司在2024年1月31日的</w:t>
            </w:r>
            <w:r>
              <w:rPr>
                <w:b/>
                <w:bCs/>
                <w:spacing w:val="9"/>
              </w:rPr>
              <w:t>业绩预告</w:t>
            </w:r>
            <w:r>
              <w:rPr>
                <w:spacing w:val="9"/>
              </w:rPr>
              <w:t>中，未能充分、审慎考</w:t>
            </w:r>
            <w:r>
              <w:rPr>
                <w:spacing w:val="3"/>
              </w:rPr>
              <w:t xml:space="preserve"> </w:t>
            </w:r>
            <w:r>
              <w:rPr>
                <w:spacing w:val="11"/>
              </w:rPr>
              <w:t>虑政府补助类型、资产减值等各项因素，与定期报告披露</w:t>
            </w:r>
            <w:r>
              <w:rPr>
                <w:spacing w:val="2"/>
              </w:rPr>
              <w:t xml:space="preserve"> </w:t>
            </w:r>
            <w:r>
              <w:rPr>
                <w:spacing w:val="11"/>
              </w:rPr>
              <w:t>的归属于上市公司股东的净利润差异金额较大，信息披露</w:t>
            </w:r>
            <w:r>
              <w:rPr>
                <w:spacing w:val="2"/>
              </w:rPr>
              <w:t xml:space="preserve"> </w:t>
            </w:r>
            <w:r>
              <w:rPr>
                <w:spacing w:val="6"/>
              </w:rPr>
              <w:t>不准确。</w:t>
            </w:r>
          </w:p>
        </w:tc>
      </w:tr>
      <w:tr>
        <w:trPr>
          <w:trHeight w:val="742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22" w:right="103"/>
              <w:spacing w:before="48" w:line="239" w:lineRule="auto"/>
              <w:rPr/>
            </w:pPr>
            <w:r>
              <w:rPr>
                <w:b/>
                <w:bCs/>
                <w:spacing w:val="10"/>
              </w:rPr>
              <w:t>【行政监管措施】</w:t>
            </w:r>
            <w:r>
              <w:rPr>
                <w:b/>
                <w:bCs/>
                <w:spacing w:val="-20"/>
              </w:rPr>
              <w:t xml:space="preserve"> </w:t>
            </w:r>
            <w:r>
              <w:rPr>
                <w:spacing w:val="10"/>
              </w:rPr>
              <w:t>中国证券监督管理委员会上海监管局决定对财务负责人林某丹采取</w:t>
            </w:r>
            <w:r>
              <w:rPr/>
              <w:t xml:space="preserve"> </w:t>
            </w:r>
            <w:r>
              <w:rPr>
                <w:spacing w:val="7"/>
              </w:rPr>
              <w:t>出具警示函的监督管理措施。</w:t>
            </w:r>
          </w:p>
        </w:tc>
      </w:tr>
      <w:tr>
        <w:trPr>
          <w:trHeight w:val="1443" w:hRule="atLeast"/>
        </w:trPr>
        <w:tc>
          <w:tcPr>
            <w:shd w:val="clear" w:fill="B8CCE4"/>
            <w:tcW w:w="1214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9"/>
              <w:spacing w:before="86" w:line="178" w:lineRule="auto"/>
              <w:rPr/>
            </w:pPr>
            <w:r>
              <w:rPr>
                <w:spacing w:val="3"/>
              </w:rPr>
              <w:t>603580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4"/>
              <w:spacing w:before="86" w:line="188" w:lineRule="auto"/>
              <w:rPr/>
            </w:pPr>
            <w:r>
              <w:rPr>
                <w:spacing w:val="8"/>
              </w:rPr>
              <w:t>艾艾精工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98" w:right="103" w:firstLine="1"/>
              <w:spacing w:before="83" w:line="236" w:lineRule="auto"/>
              <w:jc w:val="both"/>
              <w:rPr/>
            </w:pPr>
            <w:r>
              <w:rPr>
                <w:spacing w:val="9"/>
              </w:rPr>
              <w:t>公司在2024年1月31日的</w:t>
            </w:r>
            <w:r>
              <w:rPr>
                <w:b/>
                <w:bCs/>
                <w:spacing w:val="9"/>
              </w:rPr>
              <w:t>业绩预告</w:t>
            </w:r>
            <w:r>
              <w:rPr>
                <w:spacing w:val="9"/>
              </w:rPr>
              <w:t>中，未能充分、审慎考</w:t>
            </w:r>
            <w:r>
              <w:rPr>
                <w:spacing w:val="3"/>
              </w:rPr>
              <w:t xml:space="preserve"> </w:t>
            </w:r>
            <w:r>
              <w:rPr>
                <w:spacing w:val="11"/>
              </w:rPr>
              <w:t>虑政府补助类型、资产减值等各项因素，与定期报告披露</w:t>
            </w:r>
            <w:r>
              <w:rPr>
                <w:spacing w:val="2"/>
              </w:rPr>
              <w:t xml:space="preserve"> </w:t>
            </w:r>
            <w:r>
              <w:rPr>
                <w:spacing w:val="11"/>
              </w:rPr>
              <w:t>的归属于上市公司股东的净利润差异金额较大，信息披露</w:t>
            </w:r>
            <w:r>
              <w:rPr>
                <w:spacing w:val="2"/>
              </w:rPr>
              <w:t xml:space="preserve"> </w:t>
            </w:r>
            <w:r>
              <w:rPr>
                <w:spacing w:val="6"/>
              </w:rPr>
              <w:t>不准确。</w:t>
            </w:r>
          </w:p>
        </w:tc>
      </w:tr>
      <w:tr>
        <w:trPr>
          <w:trHeight w:val="724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87" w:right="103" w:firstLine="35"/>
              <w:spacing w:before="41" w:line="235" w:lineRule="auto"/>
              <w:rPr/>
            </w:pPr>
            <w:r>
              <w:rPr>
                <w:b/>
                <w:bCs/>
                <w:spacing w:val="10"/>
              </w:rPr>
              <w:t>【行政监管措施】</w:t>
            </w:r>
            <w:r>
              <w:rPr>
                <w:b/>
                <w:bCs/>
                <w:spacing w:val="-20"/>
              </w:rPr>
              <w:t xml:space="preserve"> </w:t>
            </w:r>
            <w:r>
              <w:rPr>
                <w:spacing w:val="10"/>
              </w:rPr>
              <w:t>中国证券监督管理委员会上海监管局决定对艾艾精密工业输送系统</w:t>
            </w:r>
            <w:r>
              <w:rPr/>
              <w:t xml:space="preserve"> </w:t>
            </w:r>
            <w:r>
              <w:rPr>
                <w:spacing w:val="10"/>
              </w:rPr>
              <w:t>（上海）股份有限公司采取出具警示函的监督管理措施。</w:t>
            </w:r>
          </w:p>
        </w:tc>
      </w:tr>
      <w:tr>
        <w:trPr>
          <w:trHeight w:val="1156" w:hRule="atLeast"/>
        </w:trPr>
        <w:tc>
          <w:tcPr>
            <w:shd w:val="clear" w:fill="B8CCE4"/>
            <w:tcW w:w="1214" w:type="dxa"/>
            <w:vAlign w:val="top"/>
          </w:tcPr>
          <w:p>
            <w:pPr>
              <w:spacing w:line="40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2"/>
              <w:spacing w:before="86" w:line="178" w:lineRule="auto"/>
              <w:rPr/>
            </w:pPr>
            <w:r>
              <w:rPr>
                <w:spacing w:val="3"/>
              </w:rPr>
              <w:t>300379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spacing w:line="39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45"/>
              <w:spacing w:before="86" w:line="189" w:lineRule="auto"/>
              <w:rPr/>
            </w:pPr>
            <w:r>
              <w:rPr>
                <w:spacing w:val="9"/>
              </w:rPr>
              <w:t>东方通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101" w:right="128" w:hanging="2"/>
              <w:spacing w:before="120" w:line="239" w:lineRule="auto"/>
              <w:rPr/>
            </w:pPr>
            <w:r>
              <w:rPr>
                <w:spacing w:val="8"/>
              </w:rPr>
              <w:t>北京东方通科技股份有限公司于2024年4月30日披露了《</w:t>
            </w:r>
            <w:r>
              <w:rPr>
                <w:spacing w:val="6"/>
              </w:rPr>
              <w:t xml:space="preserve"> </w:t>
            </w:r>
            <w:r>
              <w:rPr>
                <w:spacing w:val="8"/>
              </w:rPr>
              <w:t>2022年年度报告(更正后)》。其中,关于</w:t>
            </w:r>
            <w:r>
              <w:rPr>
                <w:b/>
                <w:bCs/>
                <w:spacing w:val="8"/>
              </w:rPr>
              <w:t>重新出具审计报</w:t>
            </w:r>
            <w:r>
              <w:rPr>
                <w:b/>
                <w:bCs/>
                <w:spacing w:val="2"/>
              </w:rPr>
              <w:t xml:space="preserve">    </w:t>
            </w:r>
            <w:r>
              <w:rPr>
                <w:b/>
                <w:bCs/>
                <w:spacing w:val="9"/>
              </w:rPr>
              <w:t>告的年份、本期合同资产计提减值准备情况等内容</w:t>
            </w:r>
            <w:r>
              <w:rPr>
                <w:spacing w:val="9"/>
              </w:rPr>
              <w:t>有误。</w:t>
            </w:r>
          </w:p>
        </w:tc>
      </w:tr>
      <w:tr>
        <w:trPr>
          <w:trHeight w:val="1084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8" w:right="103" w:firstLine="14"/>
              <w:spacing w:before="44"/>
              <w:jc w:val="both"/>
              <w:rPr/>
            </w:pPr>
            <w:r>
              <w:rPr>
                <w:b/>
                <w:bCs/>
                <w:spacing w:val="10"/>
              </w:rPr>
              <w:t>【行政监管措施】</w:t>
            </w:r>
            <w:r>
              <w:rPr>
                <w:b/>
                <w:bCs/>
                <w:spacing w:val="-20"/>
              </w:rPr>
              <w:t xml:space="preserve"> </w:t>
            </w:r>
            <w:r>
              <w:rPr>
                <w:spacing w:val="10"/>
              </w:rPr>
              <w:t>中国证券监督管理委员会北京监管局决定对北京东方通科技股份有</w:t>
            </w:r>
            <w:r>
              <w:rPr/>
              <w:t xml:space="preserve"> </w:t>
            </w:r>
            <w:r>
              <w:rPr>
                <w:spacing w:val="10"/>
              </w:rPr>
              <w:t>限公司、董事会秘书、财务总监徐某璞采取出具警示函的行政监管措施,并记</w:t>
            </w:r>
            <w:r>
              <w:rPr>
                <w:spacing w:val="9"/>
              </w:rPr>
              <w:t>入证券期</w:t>
            </w:r>
            <w:r>
              <w:rPr/>
              <w:t xml:space="preserve"> </w:t>
            </w:r>
            <w:r>
              <w:rPr>
                <w:spacing w:val="7"/>
              </w:rPr>
              <w:t>货市场诚信档案。</w:t>
            </w:r>
          </w:p>
        </w:tc>
      </w:tr>
      <w:tr>
        <w:trPr>
          <w:trHeight w:val="364" w:hRule="atLeast"/>
        </w:trPr>
        <w:tc>
          <w:tcPr>
            <w:shd w:val="clear" w:fill="B8CCE4"/>
            <w:tcW w:w="1214" w:type="dxa"/>
            <w:vAlign w:val="top"/>
          </w:tcPr>
          <w:p>
            <w:pPr>
              <w:pStyle w:val="TableText"/>
              <w:ind w:left="239"/>
              <w:spacing w:before="102" w:line="176" w:lineRule="auto"/>
              <w:rPr/>
            </w:pPr>
            <w:r>
              <w:rPr>
                <w:spacing w:val="3"/>
              </w:rPr>
              <w:t>601118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pStyle w:val="TableText"/>
              <w:ind w:left="243"/>
              <w:spacing w:before="88" w:line="186" w:lineRule="auto"/>
              <w:rPr/>
            </w:pPr>
            <w:r>
              <w:rPr>
                <w:spacing w:val="8"/>
              </w:rPr>
              <w:t>海南橡胶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100"/>
              <w:spacing w:before="86" w:line="187" w:lineRule="auto"/>
              <w:rPr/>
            </w:pPr>
            <w:r>
              <w:rPr>
                <w:spacing w:val="8"/>
              </w:rPr>
              <w:t>相关年报</w:t>
            </w:r>
            <w:r>
              <w:rPr>
                <w:b/>
                <w:bCs/>
                <w:spacing w:val="8"/>
              </w:rPr>
              <w:t>信息披露不准确</w:t>
            </w:r>
            <w:r>
              <w:rPr>
                <w:spacing w:val="8"/>
              </w:rPr>
              <w:t>。</w:t>
            </w:r>
          </w:p>
        </w:tc>
      </w:tr>
      <w:tr>
        <w:trPr>
          <w:trHeight w:val="1084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5" w:right="103" w:firstLine="17"/>
              <w:spacing w:before="44"/>
              <w:jc w:val="both"/>
              <w:rPr/>
            </w:pPr>
            <w:r>
              <w:rPr>
                <w:b/>
                <w:bCs/>
                <w:spacing w:val="10"/>
              </w:rPr>
              <w:t>【行政监管措施】</w:t>
            </w:r>
            <w:r>
              <w:rPr>
                <w:b/>
                <w:bCs/>
                <w:spacing w:val="-20"/>
              </w:rPr>
              <w:t xml:space="preserve"> </w:t>
            </w:r>
            <w:r>
              <w:rPr>
                <w:spacing w:val="10"/>
              </w:rPr>
              <w:t>中国证券监督管理委员会海南监管局决定对公司时任董事长王某飞</w:t>
            </w:r>
            <w:r>
              <w:rPr/>
              <w:t xml:space="preserve"> </w:t>
            </w:r>
            <w:r>
              <w:rPr>
                <w:spacing w:val="10"/>
              </w:rPr>
              <w:t>、艾某伦</w:t>
            </w:r>
            <w:r>
              <w:rPr>
                <w:spacing w:val="-29"/>
              </w:rPr>
              <w:t xml:space="preserve"> </w:t>
            </w:r>
            <w:r>
              <w:rPr>
                <w:spacing w:val="10"/>
              </w:rPr>
              <w:t>，时任总经理李某胜、李某、姜某涛、王某明</w:t>
            </w:r>
            <w:r>
              <w:rPr>
                <w:spacing w:val="-33"/>
              </w:rPr>
              <w:t xml:space="preserve"> </w:t>
            </w:r>
            <w:r>
              <w:rPr>
                <w:spacing w:val="10"/>
              </w:rPr>
              <w:t>，时任财务总监王某、孙某良</w:t>
            </w:r>
            <w:r>
              <w:rPr/>
              <w:t xml:space="preserve"> </w:t>
            </w:r>
            <w:r>
              <w:rPr>
                <w:spacing w:val="9"/>
              </w:rPr>
              <w:t>采取出具警示函的行政监管措施，并记入资本市场诚信档案数据库。</w:t>
            </w:r>
          </w:p>
        </w:tc>
      </w:tr>
      <w:tr>
        <w:trPr>
          <w:trHeight w:val="1803" w:hRule="atLeast"/>
        </w:trPr>
        <w:tc>
          <w:tcPr>
            <w:shd w:val="clear" w:fill="B8CCE4"/>
            <w:tcW w:w="1214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9"/>
              <w:spacing w:before="86" w:line="179" w:lineRule="auto"/>
              <w:rPr/>
            </w:pPr>
            <w:r>
              <w:rPr>
                <w:spacing w:val="3"/>
              </w:rPr>
              <w:t>600112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9"/>
              <w:spacing w:before="86" w:line="188" w:lineRule="auto"/>
              <w:rPr/>
            </w:pPr>
            <w:r>
              <w:rPr>
                <w:spacing w:val="8"/>
              </w:rPr>
              <w:t>*</w:t>
            </w:r>
            <w:r>
              <w:rPr/>
              <w:t>ST</w:t>
            </w:r>
            <w:r>
              <w:rPr>
                <w:spacing w:val="8"/>
              </w:rPr>
              <w:t>天成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99" w:right="103" w:firstLine="1"/>
              <w:spacing w:before="91" w:line="238" w:lineRule="auto"/>
              <w:jc w:val="both"/>
              <w:rPr/>
            </w:pPr>
            <w:r>
              <w:rPr>
                <w:spacing w:val="9"/>
              </w:rPr>
              <w:t>贵州长征天成控股股份有限公司于2024年4月30日披露的</w:t>
            </w:r>
            <w:r>
              <w:rPr>
                <w:spacing w:val="2"/>
              </w:rPr>
              <w:t xml:space="preserve"> </w:t>
            </w:r>
            <w:r>
              <w:rPr>
                <w:spacing w:val="10"/>
              </w:rPr>
              <w:t>《关于前期会计差错更正的公告》</w:t>
            </w:r>
            <w:r>
              <w:rPr>
                <w:spacing w:val="-27"/>
              </w:rPr>
              <w:t xml:space="preserve"> </w:t>
            </w:r>
            <w:r>
              <w:rPr>
                <w:spacing w:val="10"/>
              </w:rPr>
              <w:t>中多处财</w:t>
            </w:r>
            <w:r>
              <w:rPr>
                <w:spacing w:val="9"/>
              </w:rPr>
              <w:t>务数据不准确</w:t>
            </w:r>
            <w:r>
              <w:rPr/>
              <w:t xml:space="preserve"> </w:t>
            </w:r>
            <w:r>
              <w:rPr>
                <w:spacing w:val="12"/>
              </w:rPr>
              <w:t>。此外,贵州长征天成控股股份有限公司披露的《</w:t>
            </w:r>
            <w:r>
              <w:rPr>
                <w:spacing w:val="-24"/>
              </w:rPr>
              <w:t xml:space="preserve"> </w:t>
            </w:r>
            <w:r>
              <w:rPr>
                <w:spacing w:val="12"/>
              </w:rPr>
              <w:t>2023年</w:t>
            </w:r>
            <w:r>
              <w:rPr/>
              <w:t xml:space="preserve"> </w:t>
            </w:r>
            <w:r>
              <w:rPr>
                <w:spacing w:val="11"/>
              </w:rPr>
              <w:t>年度报告》《关于股票交易实施退市风险警示及其他风险</w:t>
            </w:r>
            <w:r>
              <w:rPr>
                <w:spacing w:val="1"/>
              </w:rPr>
              <w:t xml:space="preserve"> </w:t>
            </w:r>
            <w:r>
              <w:rPr>
                <w:spacing w:val="7"/>
              </w:rPr>
              <w:t>警示暨停牌的提示性公告》</w:t>
            </w:r>
            <w:r>
              <w:rPr>
                <w:spacing w:val="-24"/>
              </w:rPr>
              <w:t xml:space="preserve"> </w:t>
            </w:r>
            <w:r>
              <w:rPr>
                <w:spacing w:val="7"/>
              </w:rPr>
              <w:t>中相关</w:t>
            </w:r>
            <w:r>
              <w:rPr>
                <w:b/>
                <w:bCs/>
                <w:spacing w:val="7"/>
              </w:rPr>
              <w:t>年份、</w:t>
            </w:r>
            <w:r>
              <w:rPr>
                <w:b/>
                <w:bCs/>
                <w:spacing w:val="-33"/>
              </w:rPr>
              <w:t xml:space="preserve"> </w:t>
            </w:r>
            <w:r>
              <w:rPr>
                <w:b/>
                <w:bCs/>
                <w:spacing w:val="7"/>
              </w:rPr>
              <w:t>内容存在差错</w:t>
            </w:r>
            <w:r>
              <w:rPr>
                <w:spacing w:val="7"/>
              </w:rPr>
              <w:t>。</w:t>
            </w:r>
          </w:p>
        </w:tc>
      </w:tr>
      <w:tr>
        <w:trPr>
          <w:trHeight w:val="1083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5" w:right="101" w:firstLine="17"/>
              <w:spacing w:before="47" w:line="239" w:lineRule="auto"/>
              <w:jc w:val="both"/>
              <w:rPr/>
            </w:pPr>
            <w:r>
              <w:rPr>
                <w:b/>
                <w:bCs/>
                <w:spacing w:val="10"/>
              </w:rPr>
              <w:t>【行政监管措施】</w:t>
            </w:r>
            <w:r>
              <w:rPr>
                <w:b/>
                <w:bCs/>
                <w:spacing w:val="-20"/>
              </w:rPr>
              <w:t xml:space="preserve"> </w:t>
            </w:r>
            <w:r>
              <w:rPr>
                <w:spacing w:val="10"/>
              </w:rPr>
              <w:t>中国证券监督管理委员会贵州监管局决定对贵州长征天成控股股份</w:t>
            </w:r>
            <w:r>
              <w:rPr/>
              <w:t xml:space="preserve"> </w:t>
            </w:r>
            <w:r>
              <w:rPr>
                <w:spacing w:val="14"/>
              </w:rPr>
              <w:t>有限公司采取出具警示函措施,对董事长高某、董事会秘书黄某为采取监管谈话措施,</w:t>
            </w:r>
            <w:r>
              <w:rPr>
                <w:spacing w:val="1"/>
              </w:rPr>
              <w:t xml:space="preserve"> </w:t>
            </w:r>
            <w:r>
              <w:rPr>
                <w:spacing w:val="9"/>
              </w:rPr>
              <w:t>并记入证券期货市场诚信档案。</w:t>
            </w:r>
          </w:p>
        </w:tc>
      </w:tr>
      <w:tr>
        <w:trPr>
          <w:trHeight w:val="725" w:hRule="atLeast"/>
        </w:trPr>
        <w:tc>
          <w:tcPr>
            <w:shd w:val="clear" w:fill="B8CCE4"/>
            <w:tcW w:w="1214" w:type="dxa"/>
            <w:vAlign w:val="top"/>
          </w:tcPr>
          <w:p>
            <w:pPr>
              <w:pStyle w:val="TableText"/>
              <w:ind w:left="242"/>
              <w:spacing w:before="286" w:line="179" w:lineRule="auto"/>
              <w:rPr/>
            </w:pPr>
            <w:r>
              <w:rPr>
                <w:spacing w:val="3"/>
              </w:rPr>
              <w:t>300313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pStyle w:val="TableText"/>
              <w:ind w:left="342"/>
              <w:spacing w:before="276" w:line="186" w:lineRule="auto"/>
              <w:rPr/>
            </w:pPr>
            <w:r>
              <w:rPr/>
              <w:t>ST</w:t>
            </w:r>
            <w:r>
              <w:rPr>
                <w:spacing w:val="8"/>
              </w:rPr>
              <w:t>天山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99" w:right="101"/>
              <w:spacing w:before="91" w:line="218" w:lineRule="auto"/>
              <w:rPr/>
            </w:pPr>
            <w:r>
              <w:rPr>
                <w:spacing w:val="16"/>
              </w:rPr>
              <w:t>新疆天山畜牧生物工程股份有限公司202</w:t>
            </w:r>
            <w:r>
              <w:rPr>
                <w:spacing w:val="15"/>
              </w:rPr>
              <w:t>3年半年度报告</w:t>
            </w:r>
            <w:r>
              <w:rPr/>
              <w:t xml:space="preserve"> </w:t>
            </w:r>
            <w:r>
              <w:rPr>
                <w:spacing w:val="8"/>
              </w:rPr>
              <w:t>和2023年第三季度报告中的</w:t>
            </w:r>
            <w:r>
              <w:rPr>
                <w:b/>
                <w:bCs/>
                <w:spacing w:val="8"/>
              </w:rPr>
              <w:t>营业收入错报。</w:t>
            </w:r>
          </w:p>
        </w:tc>
      </w:tr>
      <w:tr>
        <w:trPr>
          <w:trHeight w:val="724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5" w:right="103" w:firstLine="17"/>
              <w:spacing w:before="50" w:line="232" w:lineRule="auto"/>
              <w:rPr/>
            </w:pPr>
            <w:r>
              <w:rPr>
                <w:b/>
                <w:bCs/>
                <w:spacing w:val="10"/>
              </w:rPr>
              <w:t>【行政监管措施】</w:t>
            </w:r>
            <w:r>
              <w:rPr>
                <w:b/>
                <w:bCs/>
                <w:spacing w:val="-20"/>
              </w:rPr>
              <w:t xml:space="preserve"> </w:t>
            </w:r>
            <w:r>
              <w:rPr>
                <w:spacing w:val="10"/>
              </w:rPr>
              <w:t>中国证券监督管理委员会新疆监管局决定对新疆天山畜牧生物工程</w:t>
            </w:r>
            <w:r>
              <w:rPr/>
              <w:t xml:space="preserve"> </w:t>
            </w:r>
            <w:r>
              <w:rPr>
                <w:spacing w:val="9"/>
              </w:rPr>
              <w:t>股份有限公司采取责令改正的监督管理措施，并记入资本市场诚信档案。</w:t>
            </w:r>
          </w:p>
        </w:tc>
      </w:tr>
      <w:tr>
        <w:trPr>
          <w:trHeight w:val="1084" w:hRule="atLeast"/>
        </w:trPr>
        <w:tc>
          <w:tcPr>
            <w:shd w:val="clear" w:fill="B8CCE4"/>
            <w:tcW w:w="1214" w:type="dxa"/>
            <w:vAlign w:val="top"/>
          </w:tcPr>
          <w:p>
            <w:pPr>
              <w:spacing w:line="37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9"/>
              <w:spacing w:before="86" w:line="179" w:lineRule="auto"/>
              <w:rPr/>
            </w:pPr>
            <w:r>
              <w:rPr>
                <w:spacing w:val="3"/>
              </w:rPr>
              <w:t>600112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spacing w:line="36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89"/>
              <w:spacing w:before="86" w:line="188" w:lineRule="auto"/>
              <w:rPr/>
            </w:pPr>
            <w:r>
              <w:rPr>
                <w:spacing w:val="8"/>
              </w:rPr>
              <w:t>*</w:t>
            </w:r>
            <w:r>
              <w:rPr/>
              <w:t>ST</w:t>
            </w:r>
            <w:r>
              <w:rPr>
                <w:spacing w:val="8"/>
              </w:rPr>
              <w:t>天成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99" w:right="101" w:hanging="1"/>
              <w:spacing w:before="91" w:line="229" w:lineRule="auto"/>
              <w:rPr/>
            </w:pPr>
            <w:r>
              <w:rPr>
                <w:spacing w:val="11"/>
              </w:rPr>
              <w:t>原控股股东在*</w:t>
            </w:r>
            <w:r>
              <w:rPr/>
              <w:t>ST</w:t>
            </w:r>
            <w:r>
              <w:rPr>
                <w:spacing w:val="11"/>
              </w:rPr>
              <w:t>天成2017年转让北京国华汇银科技有限</w:t>
            </w:r>
            <w:r>
              <w:rPr>
                <w:spacing w:val="3"/>
              </w:rPr>
              <w:t xml:space="preserve"> </w:t>
            </w:r>
            <w:r>
              <w:rPr>
                <w:spacing w:val="10"/>
              </w:rPr>
              <w:t>公司股权事项中存在</w:t>
            </w:r>
            <w:r>
              <w:rPr>
                <w:b/>
                <w:bCs/>
                <w:spacing w:val="10"/>
              </w:rPr>
              <w:t>非经营性占用上市公司资金</w:t>
            </w:r>
            <w:r>
              <w:rPr>
                <w:spacing w:val="10"/>
              </w:rPr>
              <w:t>的行为。</w:t>
            </w:r>
            <w:r>
              <w:rPr>
                <w:spacing w:val="15"/>
              </w:rPr>
              <w:t xml:space="preserve"> </w:t>
            </w:r>
            <w:r>
              <w:rPr>
                <w:spacing w:val="9"/>
              </w:rPr>
              <w:t>该事项未按规定告知上市公司予以披露。</w:t>
            </w:r>
          </w:p>
        </w:tc>
      </w:tr>
      <w:tr>
        <w:trPr>
          <w:trHeight w:val="1084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5" w:right="103" w:firstLine="17"/>
              <w:spacing w:before="53" w:line="238" w:lineRule="auto"/>
              <w:jc w:val="both"/>
              <w:rPr/>
            </w:pPr>
            <w:r>
              <w:rPr>
                <w:b/>
                <w:bCs/>
                <w:spacing w:val="10"/>
              </w:rPr>
              <w:t>【行政监管措施】</w:t>
            </w:r>
            <w:r>
              <w:rPr>
                <w:b/>
                <w:bCs/>
                <w:spacing w:val="-20"/>
              </w:rPr>
              <w:t xml:space="preserve"> </w:t>
            </w:r>
            <w:r>
              <w:rPr>
                <w:spacing w:val="10"/>
              </w:rPr>
              <w:t>中国证券监督管理委员会贵州监管局决定对银河天成集团有限公司</w:t>
            </w:r>
            <w:r>
              <w:rPr/>
              <w:t xml:space="preserve"> </w:t>
            </w:r>
            <w:r>
              <w:rPr>
                <w:spacing w:val="14"/>
              </w:rPr>
              <w:t>采取责令改正的行政监管措施,并记入证券期货市场诚信档案,后续将根据核查情况采</w:t>
            </w:r>
            <w:r>
              <w:rPr/>
              <w:t xml:space="preserve"> </w:t>
            </w:r>
            <w:r>
              <w:rPr>
                <w:spacing w:val="8"/>
              </w:rPr>
              <w:t>取下一步监管安排。</w:t>
            </w:r>
          </w:p>
        </w:tc>
      </w:tr>
      <w:tr>
        <w:trPr>
          <w:trHeight w:val="796" w:hRule="atLeast"/>
        </w:trPr>
        <w:tc>
          <w:tcPr>
            <w:shd w:val="clear" w:fill="B8CCE4"/>
            <w:tcW w:w="1214" w:type="dxa"/>
            <w:vAlign w:val="top"/>
          </w:tcPr>
          <w:p>
            <w:pPr>
              <w:pStyle w:val="TableText"/>
              <w:ind w:left="239"/>
              <w:spacing w:before="324" w:line="179" w:lineRule="auto"/>
              <w:rPr/>
            </w:pPr>
            <w:r>
              <w:rPr>
                <w:spacing w:val="3"/>
              </w:rPr>
              <w:t>600103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pStyle w:val="TableText"/>
              <w:ind w:left="246"/>
              <w:spacing w:before="310" w:line="189" w:lineRule="auto"/>
              <w:rPr/>
            </w:pPr>
            <w:r>
              <w:rPr>
                <w:spacing w:val="7"/>
              </w:rPr>
              <w:t>青山纸业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110"/>
              <w:spacing w:before="166" w:line="189" w:lineRule="auto"/>
              <w:rPr/>
            </w:pPr>
            <w:r>
              <w:rPr>
                <w:spacing w:val="9"/>
              </w:rPr>
              <w:t>限制性股票激励计划的内幕信息知情人</w:t>
            </w:r>
            <w:r>
              <w:rPr>
                <w:b/>
                <w:bCs/>
                <w:spacing w:val="9"/>
              </w:rPr>
              <w:t>内幕交易</w:t>
            </w:r>
            <w:r>
              <w:rPr>
                <w:spacing w:val="9"/>
              </w:rPr>
              <w:t>公司股份</w:t>
            </w:r>
          </w:p>
          <w:p>
            <w:pPr>
              <w:pStyle w:val="TableText"/>
              <w:ind w:left="110"/>
              <w:spacing w:before="238" w:line="110" w:lineRule="exact"/>
              <w:rPr/>
            </w:pPr>
            <w:r>
              <w:rPr>
                <w:position w:val="3"/>
              </w:rPr>
              <w:t>。</w:t>
            </w:r>
          </w:p>
        </w:tc>
      </w:tr>
      <w:tr>
        <w:trPr>
          <w:trHeight w:val="372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22"/>
              <w:spacing w:before="53" w:line="216" w:lineRule="auto"/>
              <w:rPr/>
            </w:pPr>
            <w:r>
              <w:rPr>
                <w:b/>
                <w:bCs/>
                <w:spacing w:val="10"/>
              </w:rPr>
              <w:t>【行政监管措施】</w:t>
            </w:r>
            <w:r>
              <w:rPr>
                <w:b/>
                <w:bCs/>
                <w:spacing w:val="-20"/>
              </w:rPr>
              <w:t xml:space="preserve"> </w:t>
            </w:r>
            <w:r>
              <w:rPr>
                <w:spacing w:val="10"/>
              </w:rPr>
              <w:t>中国证券监督管理委员会福建监管局决定对林某采取责令改正的行</w:t>
            </w:r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pgSz w:w="11910" w:h="16840"/>
          <w:pgMar w:top="400" w:right="1786" w:bottom="71" w:left="1786" w:header="0" w:footer="0" w:gutter="0"/>
        </w:sectPr>
        <w:rPr>
          <w:sz w:val="2"/>
          <w:szCs w:val="2"/>
        </w:rPr>
      </w:pPr>
    </w:p>
    <w:tbl>
      <w:tblPr>
        <w:tblStyle w:val="TableNormal"/>
        <w:tblW w:w="8053" w:type="dxa"/>
        <w:tblInd w:w="1501" w:type="dxa"/>
        <w:tblLayout w:type="fixed"/>
        <w:tblBorders>
          <w:top w:val="single" w:color="4F81BD" w:sz="6" w:space="0"/>
          <w:left w:val="single" w:color="4F81BD" w:sz="6" w:space="0"/>
          <w:bottom w:val="single" w:color="4F81BD" w:sz="6" w:space="0"/>
          <w:right w:val="single" w:color="4F81BD" w:sz="6" w:space="0"/>
          <w:insideH w:val="single" w:color="4F81BD" w:sz="6" w:space="0"/>
          <w:insideV w:val="single" w:color="4F81BD" w:sz="6" w:space="0"/>
        </w:tblBorders>
      </w:tblPr>
      <w:tblGrid>
        <w:gridCol w:w="1214"/>
        <w:gridCol w:w="1343"/>
        <w:gridCol w:w="5496"/>
      </w:tblGrid>
      <w:tr>
        <w:trPr>
          <w:trHeight w:val="383" w:hRule="atLeast"/>
        </w:trPr>
        <w:tc>
          <w:tcPr>
            <w:tcW w:w="8053" w:type="dxa"/>
            <w:vAlign w:val="top"/>
            <w:gridSpan w:val="3"/>
            <w:tcBorders>
              <w:top w:val="single" w:color="FFFFFF" w:sz="2" w:space="0"/>
            </w:tcBorders>
          </w:tcPr>
          <w:p>
            <w:pPr>
              <w:pStyle w:val="TableText"/>
              <w:ind w:left="105"/>
              <w:spacing w:before="101" w:line="190" w:lineRule="auto"/>
              <w:rPr/>
            </w:pPr>
            <w:r>
              <w:rPr>
                <w:spacing w:val="9"/>
              </w:rPr>
              <w:t>政监管措施，并记入证券期货市场诚信档案。</w:t>
            </w:r>
          </w:p>
        </w:tc>
      </w:tr>
      <w:tr>
        <w:trPr>
          <w:trHeight w:val="1080" w:hRule="atLeast"/>
        </w:trPr>
        <w:tc>
          <w:tcPr>
            <w:shd w:val="clear" w:fill="B8CCE4"/>
            <w:tcW w:w="1214" w:type="dxa"/>
            <w:vAlign w:val="top"/>
          </w:tcPr>
          <w:p>
            <w:pPr>
              <w:spacing w:line="36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38"/>
              <w:spacing w:before="86" w:line="179" w:lineRule="auto"/>
              <w:rPr/>
            </w:pPr>
            <w:r>
              <w:rPr>
                <w:spacing w:val="3"/>
              </w:rPr>
              <w:t>832471</w:t>
            </w:r>
          </w:p>
        </w:tc>
        <w:tc>
          <w:tcPr>
            <w:shd w:val="clear" w:fill="B8CCE4"/>
            <w:tcW w:w="1343" w:type="dxa"/>
            <w:vAlign w:val="top"/>
          </w:tcPr>
          <w:p>
            <w:pPr>
              <w:spacing w:line="3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3"/>
              <w:spacing w:before="85" w:line="190" w:lineRule="auto"/>
              <w:rPr/>
            </w:pPr>
            <w:r>
              <w:rPr>
                <w:spacing w:val="8"/>
              </w:rPr>
              <w:t>美邦科技</w:t>
            </w:r>
          </w:p>
        </w:tc>
        <w:tc>
          <w:tcPr>
            <w:shd w:val="clear" w:fill="B8CCE4"/>
            <w:tcW w:w="5496" w:type="dxa"/>
            <w:vAlign w:val="top"/>
          </w:tcPr>
          <w:p>
            <w:pPr>
              <w:pStyle w:val="TableText"/>
              <w:ind w:left="102" w:right="103" w:hanging="3"/>
              <w:spacing w:before="83" w:line="230" w:lineRule="auto"/>
              <w:jc w:val="both"/>
              <w:rPr/>
            </w:pPr>
            <w:r>
              <w:rPr>
                <w:spacing w:val="11"/>
              </w:rPr>
              <w:t>北京市中伦律师事务所在河北美邦工程科技股份有限公司</w:t>
            </w:r>
            <w:r>
              <w:rPr>
                <w:spacing w:val="1"/>
              </w:rPr>
              <w:t xml:space="preserve"> </w:t>
            </w:r>
            <w:r>
              <w:rPr>
                <w:spacing w:val="11"/>
              </w:rPr>
              <w:t>向不特定合格投资者公开发行股票并在北京证券交</w:t>
            </w:r>
            <w:r>
              <w:rPr>
                <w:spacing w:val="10"/>
              </w:rPr>
              <w:t>易所上</w:t>
            </w:r>
            <w:r>
              <w:rPr/>
              <w:t xml:space="preserve"> </w:t>
            </w:r>
            <w:r>
              <w:rPr>
                <w:spacing w:val="7"/>
              </w:rPr>
              <w:t>市项目中存在问题。</w:t>
            </w:r>
          </w:p>
        </w:tc>
      </w:tr>
      <w:tr>
        <w:trPr>
          <w:trHeight w:val="1448" w:hRule="atLeast"/>
        </w:trPr>
        <w:tc>
          <w:tcPr>
            <w:tcW w:w="8053" w:type="dxa"/>
            <w:vAlign w:val="top"/>
            <w:gridSpan w:val="3"/>
          </w:tcPr>
          <w:p>
            <w:pPr>
              <w:pStyle w:val="TableText"/>
              <w:ind w:left="105" w:right="103" w:firstLine="17"/>
              <w:spacing w:before="42" w:line="244" w:lineRule="auto"/>
              <w:jc w:val="both"/>
              <w:rPr/>
            </w:pPr>
            <w:r>
              <w:rPr>
                <w:b/>
                <w:bCs/>
                <w:spacing w:val="10"/>
              </w:rPr>
              <w:t>【行政监管措施】</w:t>
            </w:r>
            <w:r>
              <w:rPr>
                <w:b/>
                <w:bCs/>
                <w:spacing w:val="-20"/>
              </w:rPr>
              <w:t xml:space="preserve"> </w:t>
            </w:r>
            <w:r>
              <w:rPr>
                <w:spacing w:val="10"/>
              </w:rPr>
              <w:t>中国证券监督管理委员会河北监管局决定对北京市中伦律师事务所</w:t>
            </w:r>
            <w:r>
              <w:rPr/>
              <w:t xml:space="preserve"> </w:t>
            </w:r>
            <w:r>
              <w:rPr>
                <w:spacing w:val="12"/>
              </w:rPr>
              <w:t>采取责令改正并出具警示函的行政监管措施，</w:t>
            </w:r>
            <w:r>
              <w:rPr>
                <w:spacing w:val="11"/>
              </w:rPr>
              <w:t>责令北京市中伦律师事务所按规定制作</w:t>
            </w:r>
            <w:r>
              <w:rPr/>
              <w:t xml:space="preserve"> </w:t>
            </w:r>
            <w:r>
              <w:rPr>
                <w:spacing w:val="12"/>
              </w:rPr>
              <w:t>完善工作底稿；北京市中伦律师事务所应强化</w:t>
            </w:r>
            <w:r>
              <w:rPr>
                <w:spacing w:val="11"/>
              </w:rPr>
              <w:t>风险控制制度执行，加强对律师从事证</w:t>
            </w:r>
            <w:r>
              <w:rPr/>
              <w:t xml:space="preserve"> </w:t>
            </w:r>
            <w:r>
              <w:rPr>
                <w:spacing w:val="9"/>
              </w:rPr>
              <w:t>券法律业务的管理，提高执业质量。</w:t>
            </w:r>
          </w:p>
        </w:tc>
      </w:tr>
    </w:tbl>
    <w:p>
      <w:pPr>
        <w:pStyle w:val="BodyText"/>
        <w:spacing w:line="260" w:lineRule="auto"/>
        <w:rPr/>
      </w:pPr>
      <w:r/>
    </w:p>
    <w:p>
      <w:pPr>
        <w:pStyle w:val="BodyText"/>
        <w:spacing w:line="261" w:lineRule="auto"/>
        <w:rPr/>
      </w:pPr>
      <w:r/>
    </w:p>
    <w:p>
      <w:pPr>
        <w:pStyle w:val="BodyText"/>
        <w:spacing w:line="261" w:lineRule="auto"/>
        <w:rPr/>
      </w:pPr>
      <w:r/>
    </w:p>
    <w:p>
      <w:pPr>
        <w:spacing w:before="103" w:line="210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3"/>
        </w:rPr>
        <w:t>（4）立案调查</w:t>
      </w:r>
    </w:p>
    <w:tbl>
      <w:tblPr>
        <w:tblStyle w:val="TableNormal"/>
        <w:tblW w:w="8053" w:type="dxa"/>
        <w:tblInd w:w="1501" w:type="dxa"/>
        <w:tblLayout w:type="fixed"/>
        <w:tblBorders>
          <w:top w:val="single" w:color="4F81BD" w:sz="6" w:space="0"/>
          <w:left w:val="single" w:color="4F81BD" w:sz="6" w:space="0"/>
          <w:bottom w:val="single" w:color="4F81BD" w:sz="6" w:space="0"/>
          <w:right w:val="single" w:color="4F81BD" w:sz="6" w:space="0"/>
          <w:insideH w:val="single" w:color="4F81BD" w:sz="6" w:space="0"/>
          <w:insideV w:val="single" w:color="4F81BD" w:sz="6" w:space="0"/>
        </w:tblBorders>
      </w:tblPr>
      <w:tblGrid>
        <w:gridCol w:w="1214"/>
        <w:gridCol w:w="1343"/>
        <w:gridCol w:w="5496"/>
      </w:tblGrid>
      <w:tr>
        <w:trPr>
          <w:trHeight w:val="384" w:hRule="atLeast"/>
        </w:trPr>
        <w:tc>
          <w:tcPr>
            <w:shd w:val="clear" w:fill="4F81BD"/>
            <w:tcW w:w="1214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181"/>
              <w:spacing w:before="109" w:line="185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公司代码</w:t>
            </w:r>
          </w:p>
        </w:tc>
        <w:tc>
          <w:tcPr>
            <w:shd w:val="clear" w:fill="4F81BD"/>
            <w:tcW w:w="1343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244"/>
              <w:spacing w:before="109" w:line="185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公司简称</w:t>
            </w:r>
          </w:p>
        </w:tc>
        <w:tc>
          <w:tcPr>
            <w:shd w:val="clear" w:fill="4F81BD"/>
            <w:tcW w:w="5496" w:type="dxa"/>
            <w:vAlign w:val="top"/>
            <w:tcBorders>
              <w:bottom w:val="single" w:color="FFFFFF" w:sz="2" w:space="0"/>
            </w:tcBorders>
          </w:tcPr>
          <w:p>
            <w:pPr>
              <w:pStyle w:val="TableText"/>
              <w:ind w:left="2320"/>
              <w:spacing w:before="109" w:line="185" w:lineRule="auto"/>
              <w:rPr/>
            </w:pPr>
            <w:r>
              <w:rPr>
                <w:b/>
                <w:bCs/>
                <w:color w:val="FFFFFF"/>
                <w:spacing w:val="8"/>
              </w:rPr>
              <w:t>违规行为</w:t>
            </w:r>
          </w:p>
        </w:tc>
      </w:tr>
      <w:tr>
        <w:trPr>
          <w:trHeight w:val="1089" w:hRule="atLeast"/>
        </w:trPr>
        <w:tc>
          <w:tcPr>
            <w:shd w:val="clear" w:fill="B8CCE4"/>
            <w:tcW w:w="1214" w:type="dxa"/>
            <w:vAlign w:val="top"/>
            <w:tcBorders>
              <w:top w:val="single" w:color="FFFFFF" w:sz="2" w:space="0"/>
            </w:tcBorders>
          </w:tcPr>
          <w:p>
            <w:pPr>
              <w:spacing w:line="3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2"/>
              <w:spacing w:before="86" w:line="179" w:lineRule="auto"/>
              <w:rPr/>
            </w:pPr>
            <w:r>
              <w:rPr>
                <w:spacing w:val="3"/>
              </w:rPr>
              <w:t>300137</w:t>
            </w:r>
          </w:p>
        </w:tc>
        <w:tc>
          <w:tcPr>
            <w:shd w:val="clear" w:fill="B8CCE4"/>
            <w:tcW w:w="1343" w:type="dxa"/>
            <w:vAlign w:val="top"/>
            <w:tcBorders>
              <w:top w:val="single" w:color="FFFFFF" w:sz="2" w:space="0"/>
            </w:tcBorders>
          </w:tcPr>
          <w:p>
            <w:pPr>
              <w:spacing w:line="36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41"/>
              <w:spacing w:before="85" w:line="188" w:lineRule="auto"/>
              <w:rPr/>
            </w:pPr>
            <w:r>
              <w:rPr>
                <w:spacing w:val="9"/>
              </w:rPr>
              <w:t>先河环保</w:t>
            </w:r>
          </w:p>
        </w:tc>
        <w:tc>
          <w:tcPr>
            <w:shd w:val="clear" w:fill="B8CCE4"/>
            <w:tcW w:w="5496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98" w:right="134" w:firstLine="15"/>
              <w:spacing w:before="49"/>
              <w:jc w:val="both"/>
              <w:rPr/>
            </w:pPr>
            <w:r>
              <w:rPr>
                <w:spacing w:val="9"/>
              </w:rPr>
              <w:t>因公司</w:t>
            </w:r>
            <w:r>
              <w:rPr>
                <w:b/>
                <w:bCs/>
                <w:spacing w:val="9"/>
              </w:rPr>
              <w:t>涉嫌信息披露违法违规</w:t>
            </w:r>
            <w:r>
              <w:rPr>
                <w:spacing w:val="9"/>
              </w:rPr>
              <w:t>，根据《中华人民共和国证</w:t>
            </w:r>
            <w:r>
              <w:rPr>
                <w:spacing w:val="5"/>
              </w:rPr>
              <w:t xml:space="preserve"> </w:t>
            </w:r>
            <w:r>
              <w:rPr>
                <w:spacing w:val="10"/>
              </w:rPr>
              <w:t>券法》《中华人民共和国行政处罚法》等法律法</w:t>
            </w:r>
            <w:r>
              <w:rPr>
                <w:spacing w:val="9"/>
              </w:rPr>
              <w:t>规，证监</w:t>
            </w:r>
            <w:r>
              <w:rPr/>
              <w:t xml:space="preserve"> </w:t>
            </w:r>
            <w:r>
              <w:rPr>
                <w:spacing w:val="9"/>
              </w:rPr>
              <w:t>会决定对河北先河环保科技股份有限公司立案。</w:t>
            </w:r>
          </w:p>
        </w:tc>
      </w:tr>
    </w:tbl>
    <w:p>
      <w:pPr>
        <w:pStyle w:val="BodyText"/>
        <w:rPr/>
      </w:pPr>
      <w:r/>
    </w:p>
    <w:p>
      <w:pPr>
        <w:sectPr>
          <w:pgSz w:w="11910" w:h="16840"/>
          <w:pgMar w:top="400" w:right="1786" w:bottom="400" w:left="418" w:header="0" w:footer="0" w:gutter="0"/>
        </w:sectPr>
        <w:rPr/>
      </w:pPr>
    </w:p>
    <w:p>
      <w:pPr>
        <w:spacing w:line="924" w:lineRule="exact"/>
        <w:rPr/>
      </w:pPr>
      <w:r>
        <w:rPr>
          <w:position w:val="-18"/>
        </w:rPr>
        <w:pict>
          <v:group id="_x0000_s30" style="mso-position-vertical-relative:line;mso-position-horizontal-relative:char;width:134.8pt;height:46.25pt;" filled="false" stroked="false" coordsize="2696,925" coordorigin="0,0">
            <v:shape id="_x0000_s32" style="position:absolute;left:0;top:0;width:2696;height:925;" filled="false" stroked="false" type="#_x0000_t75">
              <v:imagedata o:title="" r:id="rId13"/>
            </v:shape>
            <v:shape id="_x0000_s34" style="position:absolute;left:-20;top:-20;width:2736;height:965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77"/>
                      <w:spacing w:before="301" w:line="184" w:lineRule="auto"/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  <w:color w:val="FFFFFF"/>
                        <w:spacing w:val="-3"/>
                      </w:rPr>
                      <w:t>上交所监管动态</w:t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line="280" w:lineRule="auto"/>
        <w:rPr/>
      </w:pPr>
      <w:r/>
    </w:p>
    <w:p>
      <w:pPr>
        <w:ind w:left="937"/>
        <w:spacing w:before="103" w:line="183" w:lineRule="auto"/>
        <w:outlineLvl w:val="1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2"/>
        </w:rPr>
        <w:t>1、上市公司监管动态</w:t>
      </w:r>
    </w:p>
    <w:p>
      <w:pPr>
        <w:ind w:left="432" w:firstLine="472"/>
        <w:spacing w:before="315" w:line="183" w:lineRule="auto"/>
        <w:jc w:val="both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spacing w:val="-4"/>
        </w:rPr>
        <w:t>2024年6月3日-6月9日，上交所公司监管部门作出8份监管警示函，对6宗行为予以纪律处分。同</w:t>
      </w:r>
      <w:r>
        <w:rPr>
          <w:rFonts w:ascii="Microsoft YaHei" w:hAnsi="Microsoft YaHei" w:eastAsia="Microsoft YaHei" w:cs="Microsoft YaHei"/>
          <w:sz w:val="24"/>
          <w:szCs w:val="24"/>
          <w:spacing w:val="11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spacing w:val="-4"/>
        </w:rPr>
        <w:t>时，加大信息披露和股价异常的联动监管，针对公司披露敏感信息或股价</w:t>
      </w:r>
      <w:r>
        <w:rPr>
          <w:rFonts w:ascii="Microsoft YaHei" w:hAnsi="Microsoft YaHei" w:eastAsia="Microsoft YaHei" w:cs="Microsoft YaHei"/>
          <w:sz w:val="24"/>
          <w:szCs w:val="24"/>
          <w:spacing w:val="-5"/>
        </w:rPr>
        <w:t>发生明显异常的，提请启动</w:t>
      </w:r>
      <w:r>
        <w:rPr>
          <w:rFonts w:ascii="Microsoft YaHei" w:hAnsi="Microsoft YaHei" w:eastAsia="Microsoft YaHei" w:cs="Microsoft YaHei"/>
          <w:sz w:val="24"/>
          <w:szCs w:val="24"/>
        </w:rPr>
        <w:t xml:space="preserve">  </w:t>
      </w:r>
      <w:r>
        <w:rPr>
          <w:rFonts w:ascii="Microsoft YaHei" w:hAnsi="Microsoft YaHei" w:eastAsia="Microsoft YaHei" w:cs="Microsoft YaHei"/>
          <w:sz w:val="24"/>
          <w:szCs w:val="24"/>
          <w:spacing w:val="-5"/>
        </w:rPr>
        <w:t>内幕交易、异常交易核查6单。</w:t>
      </w:r>
    </w:p>
    <w:p>
      <w:pPr>
        <w:ind w:firstLine="1606"/>
        <w:spacing w:before="90" w:line="3448" w:lineRule="exact"/>
        <w:rPr/>
      </w:pPr>
      <w:r>
        <w:rPr>
          <w:position w:val="-68"/>
        </w:rPr>
        <w:drawing>
          <wp:inline distT="0" distB="0" distL="0" distR="0">
            <wp:extent cx="5039994" cy="2189479"/>
            <wp:effectExtent l="0" t="0" r="0" b="0"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039994" cy="218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1" w:lineRule="auto"/>
        <w:rPr/>
      </w:pPr>
      <w:r/>
    </w:p>
    <w:p>
      <w:pPr>
        <w:ind w:left="370"/>
        <w:spacing w:before="103" w:line="224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3"/>
        </w:rPr>
        <w:t>（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22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3"/>
        </w:rPr>
        <w:t>1）监管措施统计</w:t>
      </w:r>
    </w:p>
    <w:tbl>
      <w:tblPr>
        <w:tblStyle w:val="TableNormal"/>
        <w:tblW w:w="8819" w:type="dxa"/>
        <w:tblInd w:w="1202" w:type="dxa"/>
        <w:tblLayout w:type="fixed"/>
        <w:tblBorders>
          <w:top w:val="single" w:color="C0504D" w:sz="6" w:space="0"/>
          <w:left w:val="single" w:color="C0504D" w:sz="6" w:space="0"/>
          <w:bottom w:val="single" w:color="C0504D" w:sz="6" w:space="0"/>
          <w:right w:val="single" w:color="C0504D" w:sz="6" w:space="0"/>
          <w:insideH w:val="single" w:color="C0504D" w:sz="6" w:space="0"/>
          <w:insideV w:val="single" w:color="C0504D" w:sz="6" w:space="0"/>
        </w:tblBorders>
      </w:tblPr>
      <w:tblGrid>
        <w:gridCol w:w="1276"/>
        <w:gridCol w:w="1215"/>
        <w:gridCol w:w="1324"/>
        <w:gridCol w:w="5004"/>
      </w:tblGrid>
      <w:tr>
        <w:trPr>
          <w:trHeight w:val="378" w:hRule="atLeast"/>
        </w:trPr>
        <w:tc>
          <w:tcPr>
            <w:shd w:val="clear" w:fill="C0504D"/>
            <w:tcW w:w="1276" w:type="dxa"/>
            <w:vAlign w:val="top"/>
            <w:tcBorders>
              <w:bottom w:val="single" w:color="FFFFFF" w:sz="10" w:space="0"/>
            </w:tcBorders>
          </w:tcPr>
          <w:p>
            <w:pPr>
              <w:pStyle w:val="TableText"/>
              <w:ind w:left="212"/>
              <w:spacing w:before="91" w:line="189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公司代码</w:t>
            </w:r>
          </w:p>
        </w:tc>
        <w:tc>
          <w:tcPr>
            <w:shd w:val="clear" w:fill="C0504D"/>
            <w:tcW w:w="1215" w:type="dxa"/>
            <w:vAlign w:val="top"/>
            <w:tcBorders>
              <w:bottom w:val="single" w:color="FFFFFF" w:sz="10" w:space="0"/>
            </w:tcBorders>
          </w:tcPr>
          <w:p>
            <w:pPr>
              <w:pStyle w:val="TableText"/>
              <w:ind w:left="179"/>
              <w:spacing w:before="91" w:line="189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公司简称</w:t>
            </w:r>
          </w:p>
        </w:tc>
        <w:tc>
          <w:tcPr>
            <w:shd w:val="clear" w:fill="C0504D"/>
            <w:tcW w:w="1324" w:type="dxa"/>
            <w:vAlign w:val="top"/>
            <w:tcBorders>
              <w:bottom w:val="single" w:color="FFFFFF" w:sz="10" w:space="0"/>
            </w:tcBorders>
          </w:tcPr>
          <w:p>
            <w:pPr>
              <w:pStyle w:val="TableText"/>
              <w:ind w:left="246"/>
              <w:spacing w:before="92" w:line="188" w:lineRule="auto"/>
              <w:rPr/>
            </w:pPr>
            <w:r>
              <w:rPr>
                <w:b/>
                <w:bCs/>
                <w:color w:val="FFFFFF"/>
                <w:spacing w:val="5"/>
              </w:rPr>
              <w:t>函件类别</w:t>
            </w:r>
          </w:p>
        </w:tc>
        <w:tc>
          <w:tcPr>
            <w:shd w:val="clear" w:fill="C0504D"/>
            <w:tcW w:w="5004" w:type="dxa"/>
            <w:vAlign w:val="top"/>
            <w:tcBorders>
              <w:bottom w:val="single" w:color="FFFFFF" w:sz="10" w:space="0"/>
            </w:tcBorders>
          </w:tcPr>
          <w:p>
            <w:pPr>
              <w:pStyle w:val="TableText"/>
              <w:ind w:left="2074"/>
              <w:spacing w:before="92" w:line="188" w:lineRule="auto"/>
              <w:rPr/>
            </w:pPr>
            <w:r>
              <w:rPr>
                <w:b/>
                <w:bCs/>
                <w:color w:val="FFFFFF"/>
                <w:spacing w:val="8"/>
              </w:rPr>
              <w:t>违规类型</w:t>
            </w:r>
          </w:p>
        </w:tc>
      </w:tr>
      <w:tr>
        <w:trPr>
          <w:trHeight w:val="1078" w:hRule="atLeast"/>
        </w:trPr>
        <w:tc>
          <w:tcPr>
            <w:shd w:val="clear" w:fill="F2DCDC"/>
            <w:tcW w:w="1276" w:type="dxa"/>
            <w:vAlign w:val="top"/>
            <w:tcBorders>
              <w:top w:val="single" w:color="FFFFFF" w:sz="10" w:space="0"/>
            </w:tcBorders>
          </w:tcPr>
          <w:p>
            <w:pPr>
              <w:pStyle w:val="TableText"/>
              <w:ind w:left="270"/>
              <w:spacing w:before="91" w:line="178" w:lineRule="auto"/>
              <w:rPr/>
            </w:pPr>
            <w:r>
              <w:rPr>
                <w:spacing w:val="3"/>
              </w:rPr>
              <w:t>603580</w:t>
            </w:r>
          </w:p>
        </w:tc>
        <w:tc>
          <w:tcPr>
            <w:shd w:val="clear" w:fill="F2DCDC"/>
            <w:tcW w:w="1215" w:type="dxa"/>
            <w:vAlign w:val="top"/>
            <w:tcBorders>
              <w:top w:val="single" w:color="FFFFFF" w:sz="10" w:space="0"/>
            </w:tcBorders>
          </w:tcPr>
          <w:p>
            <w:pPr>
              <w:pStyle w:val="TableText"/>
              <w:ind w:left="179"/>
              <w:spacing w:before="78" w:line="188" w:lineRule="auto"/>
              <w:rPr/>
            </w:pPr>
            <w:r>
              <w:rPr>
                <w:spacing w:val="8"/>
              </w:rPr>
              <w:t>艾艾精工</w:t>
            </w:r>
          </w:p>
        </w:tc>
        <w:tc>
          <w:tcPr>
            <w:shd w:val="clear" w:fill="F2DCDC"/>
            <w:tcW w:w="1324" w:type="dxa"/>
            <w:vAlign w:val="top"/>
            <w:tcBorders>
              <w:top w:val="single" w:color="FFFFFF" w:sz="10" w:space="0"/>
            </w:tcBorders>
          </w:tcPr>
          <w:p>
            <w:pPr>
              <w:pStyle w:val="TableText"/>
              <w:ind w:left="236"/>
              <w:spacing w:before="76" w:line="189" w:lineRule="auto"/>
              <w:rPr/>
            </w:pPr>
            <w:r>
              <w:rPr>
                <w:spacing w:val="8"/>
              </w:rPr>
              <w:t>监管警示</w:t>
            </w:r>
          </w:p>
        </w:tc>
        <w:tc>
          <w:tcPr>
            <w:shd w:val="clear" w:fill="F2DCDC"/>
            <w:tcW w:w="5004" w:type="dxa"/>
            <w:vAlign w:val="top"/>
            <w:tcBorders>
              <w:top w:val="single" w:color="FFFFFF" w:sz="10" w:space="0"/>
            </w:tcBorders>
          </w:tcPr>
          <w:p>
            <w:pPr>
              <w:pStyle w:val="TableText"/>
              <w:ind w:left="3" w:right="37" w:hanging="1"/>
              <w:spacing w:before="77" w:line="231" w:lineRule="auto"/>
              <w:rPr/>
            </w:pPr>
            <w:r>
              <w:rPr>
                <w:spacing w:val="9"/>
              </w:rPr>
              <w:t>公司</w:t>
            </w:r>
            <w:r>
              <w:rPr>
                <w:b/>
                <w:bCs/>
                <w:spacing w:val="9"/>
              </w:rPr>
              <w:t>业绩预告</w:t>
            </w:r>
            <w:r>
              <w:rPr>
                <w:spacing w:val="9"/>
              </w:rPr>
              <w:t>披露不准确，实际净利润与预告金额差</w:t>
            </w:r>
            <w:r>
              <w:rPr>
                <w:spacing w:val="6"/>
              </w:rPr>
              <w:t xml:space="preserve">   </w:t>
            </w:r>
            <w:r>
              <w:rPr>
                <w:spacing w:val="8"/>
              </w:rPr>
              <w:t>异幅度达57.52%，且公司迟至2024年4月22日才</w:t>
            </w:r>
            <w:r>
              <w:rPr>
                <w:spacing w:val="7"/>
              </w:rPr>
              <w:t>发布</w:t>
            </w:r>
            <w:r>
              <w:rPr/>
              <w:t xml:space="preserve"> </w:t>
            </w:r>
            <w:r>
              <w:rPr>
                <w:spacing w:val="8"/>
              </w:rPr>
              <w:t>业绩预告</w:t>
            </w:r>
            <w:r>
              <w:rPr>
                <w:b/>
                <w:bCs/>
                <w:spacing w:val="8"/>
              </w:rPr>
              <w:t>更正</w:t>
            </w:r>
            <w:r>
              <w:rPr>
                <w:spacing w:val="8"/>
              </w:rPr>
              <w:t>公告。</w:t>
            </w:r>
          </w:p>
        </w:tc>
      </w:tr>
      <w:tr>
        <w:trPr>
          <w:trHeight w:val="723" w:hRule="atLeast"/>
        </w:trPr>
        <w:tc>
          <w:tcPr>
            <w:tcW w:w="1276" w:type="dxa"/>
            <w:vAlign w:val="top"/>
          </w:tcPr>
          <w:p>
            <w:pPr>
              <w:pStyle w:val="TableText"/>
              <w:ind w:left="270"/>
              <w:spacing w:before="97" w:line="179" w:lineRule="auto"/>
              <w:rPr/>
            </w:pPr>
            <w:r>
              <w:rPr>
                <w:spacing w:val="3"/>
              </w:rPr>
              <w:t>605118</w:t>
            </w:r>
          </w:p>
        </w:tc>
        <w:tc>
          <w:tcPr>
            <w:tcW w:w="1215" w:type="dxa"/>
            <w:vAlign w:val="top"/>
          </w:tcPr>
          <w:p>
            <w:pPr>
              <w:pStyle w:val="TableText"/>
              <w:ind w:left="179"/>
              <w:spacing w:before="85" w:line="188" w:lineRule="auto"/>
              <w:rPr/>
            </w:pPr>
            <w:r>
              <w:rPr>
                <w:spacing w:val="8"/>
              </w:rPr>
              <w:t>力鼎光电</w:t>
            </w:r>
          </w:p>
        </w:tc>
        <w:tc>
          <w:tcPr>
            <w:tcW w:w="1324" w:type="dxa"/>
            <w:vAlign w:val="top"/>
          </w:tcPr>
          <w:p>
            <w:pPr>
              <w:pStyle w:val="TableText"/>
              <w:ind w:left="236"/>
              <w:spacing w:before="84" w:line="189" w:lineRule="auto"/>
              <w:rPr/>
            </w:pPr>
            <w:r>
              <w:rPr>
                <w:spacing w:val="8"/>
              </w:rPr>
              <w:t>监管警示</w:t>
            </w:r>
          </w:p>
        </w:tc>
        <w:tc>
          <w:tcPr>
            <w:tcW w:w="5004" w:type="dxa"/>
            <w:vAlign w:val="top"/>
          </w:tcPr>
          <w:p>
            <w:pPr>
              <w:pStyle w:val="TableText"/>
              <w:ind w:left="2" w:right="159"/>
              <w:spacing w:before="83" w:line="220" w:lineRule="auto"/>
              <w:rPr/>
            </w:pPr>
            <w:r>
              <w:rPr>
                <w:spacing w:val="9"/>
              </w:rPr>
              <w:t>公司未及时披露未按期完成募投项目的原因及后续计</w:t>
            </w:r>
            <w:r>
              <w:rPr>
                <w:spacing w:val="18"/>
              </w:rPr>
              <w:t xml:space="preserve"> </w:t>
            </w:r>
            <w:r>
              <w:rPr>
                <w:spacing w:val="9"/>
              </w:rPr>
              <w:t>划措施，且未就</w:t>
            </w:r>
            <w:r>
              <w:rPr>
                <w:b/>
                <w:bCs/>
                <w:spacing w:val="9"/>
              </w:rPr>
              <w:t>募投项目延期</w:t>
            </w:r>
            <w:r>
              <w:rPr>
                <w:spacing w:val="9"/>
              </w:rPr>
              <w:t>及时履行决策程序。</w:t>
            </w:r>
          </w:p>
        </w:tc>
      </w:tr>
      <w:tr>
        <w:trPr>
          <w:trHeight w:val="1083" w:hRule="atLeast"/>
        </w:trPr>
        <w:tc>
          <w:tcPr>
            <w:shd w:val="clear" w:fill="F2DCDC"/>
            <w:tcW w:w="1276" w:type="dxa"/>
            <w:vAlign w:val="top"/>
          </w:tcPr>
          <w:p>
            <w:pPr>
              <w:pStyle w:val="TableText"/>
              <w:ind w:left="270"/>
              <w:spacing w:before="99" w:line="178" w:lineRule="auto"/>
              <w:rPr/>
            </w:pPr>
            <w:r>
              <w:rPr>
                <w:spacing w:val="3"/>
              </w:rPr>
              <w:t>600084</w:t>
            </w:r>
          </w:p>
        </w:tc>
        <w:tc>
          <w:tcPr>
            <w:shd w:val="clear" w:fill="F2DCDC"/>
            <w:tcW w:w="1215" w:type="dxa"/>
            <w:vAlign w:val="top"/>
          </w:tcPr>
          <w:p>
            <w:pPr>
              <w:pStyle w:val="TableText"/>
              <w:ind w:left="192"/>
              <w:spacing w:before="85" w:line="188" w:lineRule="auto"/>
              <w:rPr/>
            </w:pPr>
            <w:r>
              <w:rPr>
                <w:spacing w:val="5"/>
              </w:rPr>
              <w:t>中信尼雅</w:t>
            </w:r>
          </w:p>
        </w:tc>
        <w:tc>
          <w:tcPr>
            <w:shd w:val="clear" w:fill="F2DCDC"/>
            <w:tcW w:w="1324" w:type="dxa"/>
            <w:vAlign w:val="top"/>
          </w:tcPr>
          <w:p>
            <w:pPr>
              <w:pStyle w:val="TableText"/>
              <w:ind w:left="236"/>
              <w:spacing w:before="84" w:line="189" w:lineRule="auto"/>
              <w:rPr/>
            </w:pPr>
            <w:r>
              <w:rPr>
                <w:spacing w:val="8"/>
              </w:rPr>
              <w:t>监管警示</w:t>
            </w:r>
          </w:p>
        </w:tc>
        <w:tc>
          <w:tcPr>
            <w:shd w:val="clear" w:fill="F2DCDC"/>
            <w:tcW w:w="5004" w:type="dxa"/>
            <w:vAlign w:val="top"/>
          </w:tcPr>
          <w:p>
            <w:pPr>
              <w:pStyle w:val="TableText"/>
              <w:ind w:left="3" w:right="8" w:firstLine="7"/>
              <w:spacing w:before="82" w:line="231" w:lineRule="auto"/>
              <w:rPr/>
            </w:pPr>
            <w:r>
              <w:rPr>
                <w:spacing w:val="7"/>
              </w:rPr>
              <w:t>2018年度、2019年度、2020年度、2021年度、20</w:t>
            </w:r>
            <w:r>
              <w:rPr>
                <w:spacing w:val="6"/>
              </w:rPr>
              <w:t>22</w:t>
            </w:r>
            <w:r>
              <w:rPr/>
              <w:t xml:space="preserve"> </w:t>
            </w:r>
            <w:r>
              <w:rPr>
                <w:spacing w:val="9"/>
              </w:rPr>
              <w:t>年度</w:t>
            </w:r>
            <w:r>
              <w:rPr>
                <w:b/>
                <w:bCs/>
                <w:spacing w:val="9"/>
              </w:rPr>
              <w:t>财务数据存在差错</w:t>
            </w:r>
            <w:r>
              <w:rPr>
                <w:spacing w:val="9"/>
              </w:rPr>
              <w:t>；</w:t>
            </w:r>
            <w:r>
              <w:rPr>
                <w:b/>
                <w:bCs/>
                <w:spacing w:val="9"/>
              </w:rPr>
              <w:t>存货</w:t>
            </w:r>
            <w:r>
              <w:rPr>
                <w:spacing w:val="9"/>
              </w:rPr>
              <w:t>管理和会计档案管理不</w:t>
            </w:r>
            <w:r>
              <w:rPr>
                <w:spacing w:val="5"/>
              </w:rPr>
              <w:t xml:space="preserve">   </w:t>
            </w:r>
            <w:r>
              <w:rPr>
                <w:spacing w:val="9"/>
              </w:rPr>
              <w:t>规范；高管人员</w:t>
            </w:r>
            <w:r>
              <w:rPr>
                <w:b/>
                <w:bCs/>
                <w:spacing w:val="9"/>
              </w:rPr>
              <w:t>薪酬和考核管理相关制度</w:t>
            </w:r>
            <w:r>
              <w:rPr>
                <w:spacing w:val="9"/>
              </w:rPr>
              <w:t>不规范。</w:t>
            </w:r>
          </w:p>
        </w:tc>
      </w:tr>
      <w:tr>
        <w:trPr>
          <w:trHeight w:val="723" w:hRule="atLeast"/>
        </w:trPr>
        <w:tc>
          <w:tcPr>
            <w:tcW w:w="1276" w:type="dxa"/>
            <w:vAlign w:val="top"/>
          </w:tcPr>
          <w:p>
            <w:pPr>
              <w:pStyle w:val="TableText"/>
              <w:ind w:left="270"/>
              <w:spacing w:before="101" w:line="178" w:lineRule="auto"/>
              <w:rPr/>
            </w:pPr>
            <w:r>
              <w:rPr>
                <w:spacing w:val="3"/>
              </w:rPr>
              <w:t>600243</w:t>
            </w:r>
          </w:p>
        </w:tc>
        <w:tc>
          <w:tcPr>
            <w:tcW w:w="1215" w:type="dxa"/>
            <w:vAlign w:val="top"/>
          </w:tcPr>
          <w:p>
            <w:pPr>
              <w:pStyle w:val="TableText"/>
              <w:ind w:left="181"/>
              <w:spacing w:before="86" w:line="189" w:lineRule="auto"/>
              <w:rPr/>
            </w:pPr>
            <w:r>
              <w:rPr>
                <w:spacing w:val="7"/>
              </w:rPr>
              <w:t>青海华鼎</w:t>
            </w:r>
          </w:p>
        </w:tc>
        <w:tc>
          <w:tcPr>
            <w:tcW w:w="1324" w:type="dxa"/>
            <w:vAlign w:val="top"/>
          </w:tcPr>
          <w:p>
            <w:pPr>
              <w:pStyle w:val="TableText"/>
              <w:ind w:left="234"/>
              <w:spacing w:before="87" w:line="188" w:lineRule="auto"/>
              <w:rPr/>
            </w:pPr>
            <w:r>
              <w:rPr>
                <w:spacing w:val="8"/>
              </w:rPr>
              <w:t>通报批评</w:t>
            </w:r>
          </w:p>
        </w:tc>
        <w:tc>
          <w:tcPr>
            <w:tcW w:w="5004" w:type="dxa"/>
            <w:vAlign w:val="top"/>
          </w:tcPr>
          <w:p>
            <w:pPr>
              <w:pStyle w:val="TableText"/>
              <w:ind w:left="1" w:right="159" w:firstLine="2"/>
              <w:spacing w:before="86" w:line="219" w:lineRule="auto"/>
              <w:rPr/>
            </w:pPr>
            <w:r>
              <w:rPr>
                <w:spacing w:val="8"/>
              </w:rPr>
              <w:t>实际控制人暨时任董事长、</w:t>
            </w:r>
            <w:r>
              <w:rPr>
                <w:spacing w:val="-20"/>
              </w:rPr>
              <w:t xml:space="preserve"> </w:t>
            </w:r>
            <w:r>
              <w:rPr>
                <w:spacing w:val="8"/>
              </w:rPr>
              <w:t>时任董事，违反诚实信用</w:t>
            </w:r>
            <w:r>
              <w:rPr/>
              <w:t xml:space="preserve"> </w:t>
            </w:r>
            <w:r>
              <w:rPr>
                <w:spacing w:val="9"/>
              </w:rPr>
              <w:t>原则，</w:t>
            </w:r>
            <w:r>
              <w:rPr>
                <w:b/>
                <w:bCs/>
                <w:spacing w:val="9"/>
              </w:rPr>
              <w:t>违规占用上市公司资金。</w:t>
            </w:r>
          </w:p>
        </w:tc>
      </w:tr>
      <w:tr>
        <w:trPr>
          <w:trHeight w:val="1441" w:hRule="atLeast"/>
        </w:trPr>
        <w:tc>
          <w:tcPr>
            <w:shd w:val="clear" w:fill="F2DCDC"/>
            <w:tcW w:w="1276" w:type="dxa"/>
            <w:vAlign w:val="top"/>
          </w:tcPr>
          <w:p>
            <w:pPr>
              <w:pStyle w:val="TableText"/>
              <w:ind w:left="270"/>
              <w:spacing w:before="102" w:line="179" w:lineRule="auto"/>
              <w:rPr/>
            </w:pPr>
            <w:r>
              <w:rPr>
                <w:spacing w:val="3"/>
              </w:rPr>
              <w:t>600721</w:t>
            </w:r>
          </w:p>
        </w:tc>
        <w:tc>
          <w:tcPr>
            <w:shd w:val="clear" w:fill="F2DCDC"/>
            <w:tcW w:w="1215" w:type="dxa"/>
            <w:vAlign w:val="top"/>
          </w:tcPr>
          <w:p>
            <w:pPr>
              <w:pStyle w:val="TableText"/>
              <w:ind w:left="180"/>
              <w:spacing w:before="90" w:line="188" w:lineRule="auto"/>
              <w:rPr/>
            </w:pPr>
            <w:r>
              <w:rPr>
                <w:spacing w:val="8"/>
              </w:rPr>
              <w:t>百花医药</w:t>
            </w:r>
          </w:p>
        </w:tc>
        <w:tc>
          <w:tcPr>
            <w:shd w:val="clear" w:fill="F2DCDC"/>
            <w:tcW w:w="1324" w:type="dxa"/>
            <w:vAlign w:val="top"/>
          </w:tcPr>
          <w:p>
            <w:pPr>
              <w:pStyle w:val="TableText"/>
              <w:ind w:left="234"/>
              <w:spacing w:before="90" w:line="188" w:lineRule="auto"/>
              <w:rPr/>
            </w:pPr>
            <w:r>
              <w:rPr>
                <w:spacing w:val="8"/>
              </w:rPr>
              <w:t>通报批评</w:t>
            </w:r>
          </w:p>
        </w:tc>
        <w:tc>
          <w:tcPr>
            <w:shd w:val="clear" w:fill="F2DCDC"/>
            <w:tcW w:w="5004" w:type="dxa"/>
            <w:vAlign w:val="top"/>
          </w:tcPr>
          <w:p>
            <w:pPr>
              <w:pStyle w:val="TableText"/>
              <w:ind w:left="4" w:right="159"/>
              <w:spacing w:before="86" w:line="235" w:lineRule="auto"/>
              <w:jc w:val="both"/>
              <w:rPr/>
            </w:pPr>
            <w:r>
              <w:rPr>
                <w:spacing w:val="9"/>
              </w:rPr>
              <w:t>直接控股股东、间接控股股东及实际控制人未及时将</w:t>
            </w:r>
            <w:r>
              <w:rPr>
                <w:spacing w:val="16"/>
                <w:w w:val="101"/>
              </w:rPr>
              <w:t xml:space="preserve"> </w:t>
            </w:r>
            <w:r>
              <w:rPr>
                <w:b/>
                <w:bCs/>
                <w:spacing w:val="9"/>
              </w:rPr>
              <w:t>实际控制人变更</w:t>
            </w:r>
            <w:r>
              <w:rPr>
                <w:spacing w:val="9"/>
              </w:rPr>
              <w:t>事项告知公司并披露，也未及时聘请</w:t>
            </w:r>
            <w:r>
              <w:rPr>
                <w:spacing w:val="16"/>
                <w:w w:val="101"/>
              </w:rPr>
              <w:t xml:space="preserve"> </w:t>
            </w:r>
            <w:r>
              <w:rPr>
                <w:spacing w:val="9"/>
              </w:rPr>
              <w:t>财务顾问，且未及时向上交所报告并申请中止发行注</w:t>
            </w:r>
            <w:r>
              <w:rPr>
                <w:spacing w:val="16"/>
                <w:w w:val="101"/>
              </w:rPr>
              <w:t xml:space="preserve"> </w:t>
            </w:r>
            <w:r>
              <w:rPr>
                <w:spacing w:val="6"/>
              </w:rPr>
              <w:t>册程序。</w:t>
            </w:r>
          </w:p>
        </w:tc>
      </w:tr>
      <w:tr>
        <w:trPr>
          <w:trHeight w:val="365" w:hRule="atLeast"/>
        </w:trPr>
        <w:tc>
          <w:tcPr>
            <w:tcW w:w="1276" w:type="dxa"/>
            <w:vAlign w:val="top"/>
          </w:tcPr>
          <w:p>
            <w:pPr>
              <w:pStyle w:val="TableText"/>
              <w:ind w:left="270"/>
              <w:spacing w:before="104" w:line="175" w:lineRule="auto"/>
              <w:rPr/>
            </w:pPr>
            <w:r>
              <w:rPr>
                <w:spacing w:val="3"/>
              </w:rPr>
              <w:t>600193</w:t>
            </w:r>
          </w:p>
        </w:tc>
        <w:tc>
          <w:tcPr>
            <w:tcW w:w="1215" w:type="dxa"/>
            <w:vAlign w:val="top"/>
          </w:tcPr>
          <w:p>
            <w:pPr>
              <w:pStyle w:val="TableText"/>
              <w:ind w:left="178"/>
              <w:spacing w:before="89" w:line="186" w:lineRule="auto"/>
              <w:rPr/>
            </w:pPr>
            <w:r>
              <w:rPr>
                <w:spacing w:val="8"/>
              </w:rPr>
              <w:t>创兴资源</w:t>
            </w:r>
          </w:p>
        </w:tc>
        <w:tc>
          <w:tcPr>
            <w:tcW w:w="1324" w:type="dxa"/>
            <w:vAlign w:val="top"/>
          </w:tcPr>
          <w:p>
            <w:pPr>
              <w:pStyle w:val="TableText"/>
              <w:ind w:left="236"/>
              <w:spacing w:before="90" w:line="185" w:lineRule="auto"/>
              <w:rPr/>
            </w:pPr>
            <w:r>
              <w:rPr>
                <w:spacing w:val="8"/>
              </w:rPr>
              <w:t>监管警示</w:t>
            </w:r>
          </w:p>
        </w:tc>
        <w:tc>
          <w:tcPr>
            <w:tcW w:w="5004" w:type="dxa"/>
            <w:vAlign w:val="top"/>
          </w:tcPr>
          <w:p>
            <w:pPr>
              <w:pStyle w:val="TableText"/>
              <w:ind w:left="12"/>
              <w:spacing w:before="89" w:line="186" w:lineRule="auto"/>
              <w:rPr/>
            </w:pPr>
            <w:r>
              <w:rPr>
                <w:b/>
                <w:bCs/>
                <w:spacing w:val="8"/>
              </w:rPr>
              <w:t>2023年第三季度报告</w:t>
            </w:r>
            <w:r>
              <w:rPr>
                <w:spacing w:val="8"/>
              </w:rPr>
              <w:t>财务信息披露不准确。</w:t>
            </w:r>
          </w:p>
        </w:tc>
      </w:tr>
      <w:tr>
        <w:trPr>
          <w:trHeight w:val="1082" w:hRule="atLeast"/>
        </w:trPr>
        <w:tc>
          <w:tcPr>
            <w:shd w:val="clear" w:fill="F2DCDC"/>
            <w:tcW w:w="1276" w:type="dxa"/>
            <w:vAlign w:val="top"/>
          </w:tcPr>
          <w:p>
            <w:pPr>
              <w:pStyle w:val="TableText"/>
              <w:ind w:left="270"/>
              <w:spacing w:before="106" w:line="178" w:lineRule="auto"/>
              <w:rPr/>
            </w:pPr>
            <w:r>
              <w:rPr>
                <w:spacing w:val="3"/>
              </w:rPr>
              <w:t>600338</w:t>
            </w:r>
          </w:p>
        </w:tc>
        <w:tc>
          <w:tcPr>
            <w:shd w:val="clear" w:fill="F2DCDC"/>
            <w:tcW w:w="1215" w:type="dxa"/>
            <w:vAlign w:val="top"/>
          </w:tcPr>
          <w:p>
            <w:pPr>
              <w:pStyle w:val="TableText"/>
              <w:ind w:left="181"/>
              <w:spacing w:before="91" w:line="189" w:lineRule="auto"/>
              <w:rPr/>
            </w:pPr>
            <w:r>
              <w:rPr>
                <w:spacing w:val="8"/>
              </w:rPr>
              <w:t>西藏珠峰</w:t>
            </w:r>
          </w:p>
        </w:tc>
        <w:tc>
          <w:tcPr>
            <w:shd w:val="clear" w:fill="F2DCDC"/>
            <w:tcW w:w="1324" w:type="dxa"/>
            <w:vAlign w:val="top"/>
          </w:tcPr>
          <w:p>
            <w:pPr>
              <w:pStyle w:val="TableText"/>
              <w:ind w:left="236"/>
              <w:spacing w:before="91" w:line="189" w:lineRule="auto"/>
              <w:rPr/>
            </w:pPr>
            <w:r>
              <w:rPr>
                <w:spacing w:val="8"/>
              </w:rPr>
              <w:t>监管警示</w:t>
            </w:r>
          </w:p>
        </w:tc>
        <w:tc>
          <w:tcPr>
            <w:shd w:val="clear" w:fill="F2DCDC"/>
            <w:tcW w:w="5004" w:type="dxa"/>
            <w:vAlign w:val="top"/>
          </w:tcPr>
          <w:p>
            <w:pPr>
              <w:pStyle w:val="TableText"/>
              <w:ind w:left="83" w:right="159" w:hanging="81"/>
              <w:spacing w:before="91" w:line="249" w:lineRule="auto"/>
              <w:rPr/>
            </w:pPr>
            <w:r>
              <w:rPr>
                <w:spacing w:val="9"/>
              </w:rPr>
              <w:t>公司</w:t>
            </w:r>
            <w:r>
              <w:rPr>
                <w:b/>
                <w:bCs/>
                <w:spacing w:val="9"/>
              </w:rPr>
              <w:t>业绩预告</w:t>
            </w:r>
            <w:r>
              <w:rPr>
                <w:spacing w:val="9"/>
              </w:rPr>
              <w:t>中关于净利润、扣非净利润披露不准确</w:t>
            </w:r>
            <w:r>
              <w:rPr>
                <w:spacing w:val="18"/>
              </w:rPr>
              <w:t xml:space="preserve"> </w:t>
            </w:r>
            <w:r>
              <w:rPr>
                <w:spacing w:val="8"/>
              </w:rPr>
              <w:t>,</w:t>
            </w:r>
            <w:r>
              <w:rPr>
                <w:spacing w:val="52"/>
                <w:w w:val="101"/>
              </w:rPr>
              <w:t xml:space="preserve"> </w:t>
            </w:r>
            <w:r>
              <w:rPr>
                <w:spacing w:val="8"/>
              </w:rPr>
              <w:t>与实际业绩差异幅度较大，且</w:t>
            </w:r>
            <w:r>
              <w:rPr>
                <w:b/>
                <w:bCs/>
                <w:spacing w:val="8"/>
              </w:rPr>
              <w:t>更正公告</w:t>
            </w:r>
            <w:r>
              <w:rPr>
                <w:spacing w:val="8"/>
              </w:rPr>
              <w:t>披露不及时</w:t>
            </w:r>
          </w:p>
          <w:p>
            <w:pPr>
              <w:pStyle w:val="TableText"/>
              <w:ind w:left="13"/>
              <w:spacing w:before="155" w:line="113" w:lineRule="exact"/>
              <w:rPr/>
            </w:pPr>
            <w:r>
              <w:rPr>
                <w:position w:val="3"/>
              </w:rPr>
              <w:t>。</w:t>
            </w:r>
          </w:p>
        </w:tc>
      </w:tr>
      <w:tr>
        <w:trPr>
          <w:trHeight w:val="1083" w:hRule="atLeast"/>
        </w:trPr>
        <w:tc>
          <w:tcPr>
            <w:tcW w:w="1276" w:type="dxa"/>
            <w:vAlign w:val="top"/>
          </w:tcPr>
          <w:p>
            <w:pPr>
              <w:pStyle w:val="TableText"/>
              <w:ind w:left="270"/>
              <w:spacing w:before="107" w:line="178" w:lineRule="auto"/>
              <w:rPr/>
            </w:pPr>
            <w:r>
              <w:rPr>
                <w:spacing w:val="3"/>
              </w:rPr>
              <w:t>600277</w:t>
            </w:r>
          </w:p>
        </w:tc>
        <w:tc>
          <w:tcPr>
            <w:tcW w:w="1215" w:type="dxa"/>
            <w:vAlign w:val="top"/>
          </w:tcPr>
          <w:p>
            <w:pPr>
              <w:pStyle w:val="TableText"/>
              <w:ind w:left="279"/>
              <w:spacing w:before="94" w:line="188" w:lineRule="auto"/>
              <w:rPr/>
            </w:pPr>
            <w:r>
              <w:rPr/>
              <w:t>ST</w:t>
            </w:r>
            <w:r>
              <w:rPr>
                <w:spacing w:val="7"/>
              </w:rPr>
              <w:t>亿利</w:t>
            </w:r>
          </w:p>
        </w:tc>
        <w:tc>
          <w:tcPr>
            <w:tcW w:w="1324" w:type="dxa"/>
            <w:vAlign w:val="top"/>
          </w:tcPr>
          <w:p>
            <w:pPr>
              <w:pStyle w:val="TableText"/>
              <w:ind w:left="234"/>
              <w:spacing w:before="94" w:line="188" w:lineRule="auto"/>
              <w:rPr/>
            </w:pPr>
            <w:r>
              <w:rPr>
                <w:spacing w:val="8"/>
              </w:rPr>
              <w:t>通报批评</w:t>
            </w:r>
          </w:p>
        </w:tc>
        <w:tc>
          <w:tcPr>
            <w:tcW w:w="5004" w:type="dxa"/>
            <w:vAlign w:val="top"/>
          </w:tcPr>
          <w:p>
            <w:pPr>
              <w:pStyle w:val="TableText"/>
              <w:ind w:left="3" w:right="81" w:hanging="1"/>
              <w:spacing w:before="90" w:line="229" w:lineRule="auto"/>
              <w:jc w:val="both"/>
              <w:rPr/>
            </w:pPr>
            <w:r>
              <w:rPr>
                <w:spacing w:val="9"/>
              </w:rPr>
              <w:t>公司预计2023年度净利润为正，但实际净利润为负， </w:t>
            </w:r>
            <w:r>
              <w:rPr>
                <w:spacing w:val="9"/>
              </w:rPr>
              <w:t>预告业绩与实际业绩相比发生</w:t>
            </w:r>
            <w:r>
              <w:rPr>
                <w:b/>
                <w:bCs/>
                <w:spacing w:val="9"/>
              </w:rPr>
              <w:t>盈亏方向变化</w:t>
            </w:r>
            <w:r>
              <w:rPr>
                <w:spacing w:val="9"/>
              </w:rPr>
              <w:t>，业绩预</w:t>
            </w:r>
            <w:r>
              <w:rPr>
                <w:spacing w:val="8"/>
              </w:rPr>
              <w:t xml:space="preserve">  </w:t>
            </w:r>
            <w:r>
              <w:rPr>
                <w:spacing w:val="9"/>
              </w:rPr>
              <w:t>告信息披露不准确，同时</w:t>
            </w:r>
            <w:r>
              <w:rPr>
                <w:b/>
                <w:bCs/>
                <w:spacing w:val="9"/>
              </w:rPr>
              <w:t>更正公告</w:t>
            </w:r>
            <w:r>
              <w:rPr>
                <w:spacing w:val="9"/>
              </w:rPr>
              <w:t>披露不及时。</w:t>
            </w:r>
          </w:p>
        </w:tc>
      </w:tr>
      <w:tr>
        <w:trPr>
          <w:trHeight w:val="723" w:hRule="atLeast"/>
        </w:trPr>
        <w:tc>
          <w:tcPr>
            <w:shd w:val="clear" w:fill="F2DCDC"/>
            <w:tcW w:w="1276" w:type="dxa"/>
            <w:vAlign w:val="top"/>
          </w:tcPr>
          <w:p>
            <w:pPr>
              <w:pStyle w:val="TableText"/>
              <w:ind w:left="270"/>
              <w:spacing w:before="109" w:line="178" w:lineRule="auto"/>
              <w:rPr/>
            </w:pPr>
            <w:r>
              <w:rPr>
                <w:spacing w:val="3"/>
              </w:rPr>
              <w:t>600070</w:t>
            </w:r>
          </w:p>
        </w:tc>
        <w:tc>
          <w:tcPr>
            <w:shd w:val="clear" w:fill="F2DCDC"/>
            <w:tcW w:w="1215" w:type="dxa"/>
            <w:vAlign w:val="top"/>
          </w:tcPr>
          <w:p>
            <w:pPr>
              <w:pStyle w:val="TableText"/>
              <w:ind w:left="226"/>
              <w:spacing w:before="94" w:line="189" w:lineRule="auto"/>
              <w:rPr/>
            </w:pPr>
            <w:r>
              <w:rPr>
                <w:spacing w:val="8"/>
              </w:rPr>
              <w:t>*</w:t>
            </w:r>
            <w:r>
              <w:rPr/>
              <w:t>ST</w:t>
            </w:r>
            <w:r>
              <w:rPr>
                <w:spacing w:val="8"/>
              </w:rPr>
              <w:t>富润</w:t>
            </w:r>
          </w:p>
        </w:tc>
        <w:tc>
          <w:tcPr>
            <w:shd w:val="clear" w:fill="F2DCDC"/>
            <w:tcW w:w="1324" w:type="dxa"/>
            <w:vAlign w:val="top"/>
          </w:tcPr>
          <w:p>
            <w:pPr>
              <w:pStyle w:val="TableText"/>
              <w:ind w:left="234"/>
              <w:spacing w:before="97" w:line="187" w:lineRule="auto"/>
              <w:rPr/>
            </w:pPr>
            <w:r>
              <w:rPr>
                <w:spacing w:val="8"/>
              </w:rPr>
              <w:t>公开谴责</w:t>
            </w:r>
          </w:p>
        </w:tc>
        <w:tc>
          <w:tcPr>
            <w:shd w:val="clear" w:fill="F2DCDC"/>
            <w:tcW w:w="5004" w:type="dxa"/>
            <w:vAlign w:val="top"/>
          </w:tcPr>
          <w:p>
            <w:pPr>
              <w:pStyle w:val="TableText"/>
              <w:ind w:left="3" w:right="152" w:firstLine="7"/>
              <w:spacing w:before="95" w:line="216" w:lineRule="auto"/>
              <w:rPr/>
            </w:pPr>
            <w:r>
              <w:rPr>
                <w:spacing w:val="7"/>
              </w:rPr>
              <w:t>2020年年报、</w:t>
            </w:r>
            <w:r>
              <w:rPr>
                <w:spacing w:val="-37"/>
              </w:rPr>
              <w:t xml:space="preserve"> </w:t>
            </w:r>
            <w:r>
              <w:rPr>
                <w:spacing w:val="7"/>
              </w:rPr>
              <w:t>2021年年报和2022年半年报等报</w:t>
            </w:r>
            <w:r>
              <w:rPr>
                <w:spacing w:val="6"/>
              </w:rPr>
              <w:t>告的</w:t>
            </w:r>
            <w:r>
              <w:rPr/>
              <w:t xml:space="preserve"> </w:t>
            </w:r>
            <w:r>
              <w:rPr>
                <w:spacing w:val="8"/>
              </w:rPr>
              <w:t>相关</w:t>
            </w:r>
            <w:r>
              <w:rPr>
                <w:b/>
                <w:bCs/>
                <w:spacing w:val="8"/>
              </w:rPr>
              <w:t>财务数据存在差错。</w:t>
            </w:r>
          </w:p>
        </w:tc>
      </w:tr>
      <w:tr>
        <w:trPr>
          <w:trHeight w:val="371" w:hRule="atLeast"/>
        </w:trPr>
        <w:tc>
          <w:tcPr>
            <w:tcW w:w="1276" w:type="dxa"/>
            <w:vAlign w:val="top"/>
          </w:tcPr>
          <w:p>
            <w:pPr>
              <w:pStyle w:val="TableText"/>
              <w:ind w:left="270"/>
              <w:spacing w:before="109" w:line="176" w:lineRule="auto"/>
              <w:rPr/>
            </w:pPr>
            <w:r>
              <w:rPr>
                <w:spacing w:val="3"/>
              </w:rPr>
              <w:t>600358</w:t>
            </w:r>
          </w:p>
        </w:tc>
        <w:tc>
          <w:tcPr>
            <w:tcW w:w="1215" w:type="dxa"/>
            <w:vAlign w:val="top"/>
          </w:tcPr>
          <w:p>
            <w:pPr>
              <w:pStyle w:val="TableText"/>
              <w:ind w:left="190"/>
              <w:spacing w:before="95" w:line="186" w:lineRule="auto"/>
              <w:rPr/>
            </w:pPr>
            <w:r>
              <w:rPr>
                <w:spacing w:val="5"/>
              </w:rPr>
              <w:t>国旅联合</w:t>
            </w:r>
          </w:p>
        </w:tc>
        <w:tc>
          <w:tcPr>
            <w:tcW w:w="1324" w:type="dxa"/>
            <w:vAlign w:val="top"/>
          </w:tcPr>
          <w:p>
            <w:pPr>
              <w:pStyle w:val="TableText"/>
              <w:ind w:left="236"/>
              <w:spacing w:before="95" w:line="186" w:lineRule="auto"/>
              <w:rPr/>
            </w:pPr>
            <w:r>
              <w:rPr>
                <w:spacing w:val="8"/>
              </w:rPr>
              <w:t>监管警示</w:t>
            </w:r>
          </w:p>
        </w:tc>
        <w:tc>
          <w:tcPr>
            <w:tcW w:w="5004" w:type="dxa"/>
            <w:vAlign w:val="top"/>
          </w:tcPr>
          <w:p>
            <w:pPr>
              <w:pStyle w:val="TableText"/>
              <w:ind w:left="2"/>
              <w:spacing w:before="95" w:line="186" w:lineRule="auto"/>
              <w:rPr/>
            </w:pPr>
            <w:r>
              <w:rPr>
                <w:spacing w:val="9"/>
              </w:rPr>
              <w:t>公司</w:t>
            </w:r>
            <w:r>
              <w:rPr>
                <w:b/>
                <w:bCs/>
                <w:spacing w:val="9"/>
              </w:rPr>
              <w:t>子公司出售</w:t>
            </w:r>
            <w:r>
              <w:rPr>
                <w:spacing w:val="9"/>
              </w:rPr>
              <w:t>事项披露不及时。</w:t>
            </w:r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pgSz w:w="11910" w:h="16840"/>
          <w:pgMar w:top="374" w:right="565" w:bottom="63" w:left="463" w:header="0" w:footer="0" w:gutter="0"/>
        </w:sectPr>
        <w:rPr>
          <w:sz w:val="2"/>
          <w:szCs w:val="2"/>
        </w:rPr>
      </w:pPr>
    </w:p>
    <w:tbl>
      <w:tblPr>
        <w:tblStyle w:val="TableNormal"/>
        <w:tblW w:w="8819" w:type="dxa"/>
        <w:tblInd w:w="779" w:type="dxa"/>
        <w:tblLayout w:type="fixed"/>
        <w:tblBorders>
          <w:top w:val="single" w:color="C0504D" w:sz="6" w:space="0"/>
          <w:left w:val="single" w:color="C0504D" w:sz="6" w:space="0"/>
          <w:bottom w:val="single" w:color="C0504D" w:sz="6" w:space="0"/>
          <w:right w:val="single" w:color="C0504D" w:sz="6" w:space="0"/>
          <w:insideH w:val="single" w:color="C0504D" w:sz="6" w:space="0"/>
          <w:insideV w:val="single" w:color="C0504D" w:sz="6" w:space="0"/>
        </w:tblBorders>
      </w:tblPr>
      <w:tblGrid>
        <w:gridCol w:w="1276"/>
        <w:gridCol w:w="1215"/>
        <w:gridCol w:w="1324"/>
        <w:gridCol w:w="5004"/>
      </w:tblGrid>
      <w:tr>
        <w:trPr>
          <w:trHeight w:val="743" w:hRule="atLeast"/>
        </w:trPr>
        <w:tc>
          <w:tcPr>
            <w:shd w:val="clear" w:fill="F2DCDC"/>
            <w:tcW w:w="1276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270"/>
              <w:spacing w:before="117" w:line="178" w:lineRule="auto"/>
              <w:rPr/>
            </w:pPr>
            <w:r>
              <w:rPr>
                <w:spacing w:val="3"/>
              </w:rPr>
              <w:t>603557</w:t>
            </w:r>
          </w:p>
        </w:tc>
        <w:tc>
          <w:tcPr>
            <w:shd w:val="clear" w:fill="F2DCDC"/>
            <w:tcW w:w="1215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279"/>
              <w:spacing w:before="102" w:line="189" w:lineRule="auto"/>
              <w:rPr/>
            </w:pPr>
            <w:r>
              <w:rPr/>
              <w:t>ST</w:t>
            </w:r>
            <w:r>
              <w:rPr>
                <w:spacing w:val="7"/>
              </w:rPr>
              <w:t>起步</w:t>
            </w:r>
          </w:p>
        </w:tc>
        <w:tc>
          <w:tcPr>
            <w:shd w:val="clear" w:fill="F2DCDC"/>
            <w:tcW w:w="1324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236"/>
              <w:spacing w:before="102" w:line="189" w:lineRule="auto"/>
              <w:rPr/>
            </w:pPr>
            <w:r>
              <w:rPr>
                <w:spacing w:val="8"/>
              </w:rPr>
              <w:t>监管警示</w:t>
            </w:r>
          </w:p>
        </w:tc>
        <w:tc>
          <w:tcPr>
            <w:shd w:val="clear" w:fill="F2DCDC"/>
            <w:tcW w:w="5004" w:type="dxa"/>
            <w:vAlign w:val="top"/>
            <w:tcBorders>
              <w:top w:val="single" w:color="FFFFFF" w:sz="2" w:space="0"/>
            </w:tcBorders>
          </w:tcPr>
          <w:p>
            <w:pPr>
              <w:pStyle w:val="TableText"/>
              <w:ind w:left="5" w:right="198" w:firstLine="6"/>
              <w:spacing w:before="101" w:line="221" w:lineRule="auto"/>
              <w:rPr/>
            </w:pPr>
            <w:r>
              <w:rPr>
                <w:spacing w:val="5"/>
              </w:rPr>
              <w:t>2018年、</w:t>
            </w:r>
            <w:r>
              <w:rPr>
                <w:spacing w:val="-29"/>
              </w:rPr>
              <w:t xml:space="preserve"> </w:t>
            </w:r>
            <w:r>
              <w:rPr>
                <w:spacing w:val="5"/>
              </w:rPr>
              <w:t>2019年及2020年上半年度</w:t>
            </w:r>
            <w:r>
              <w:rPr>
                <w:b/>
                <w:bCs/>
                <w:spacing w:val="5"/>
              </w:rPr>
              <w:t>虚增</w:t>
            </w:r>
            <w:r>
              <w:rPr>
                <w:spacing w:val="5"/>
              </w:rPr>
              <w:t>营业收入、</w:t>
            </w:r>
            <w:r>
              <w:rPr/>
              <w:t xml:space="preserve"> </w:t>
            </w:r>
            <w:r>
              <w:rPr>
                <w:spacing w:val="9"/>
              </w:rPr>
              <w:t>营业成本及利润总额；未披露</w:t>
            </w:r>
            <w:r>
              <w:rPr>
                <w:b/>
                <w:bCs/>
                <w:spacing w:val="9"/>
              </w:rPr>
              <w:t>股份代持</w:t>
            </w:r>
            <w:r>
              <w:rPr>
                <w:spacing w:val="9"/>
              </w:rPr>
              <w:t>行为。</w:t>
            </w:r>
          </w:p>
        </w:tc>
      </w:tr>
      <w:tr>
        <w:trPr>
          <w:trHeight w:val="2879" w:hRule="atLeast"/>
        </w:trPr>
        <w:tc>
          <w:tcPr>
            <w:tcW w:w="1276" w:type="dxa"/>
            <w:vAlign w:val="top"/>
          </w:tcPr>
          <w:p>
            <w:pPr>
              <w:pStyle w:val="TableText"/>
              <w:ind w:left="270"/>
              <w:spacing w:before="97" w:line="179" w:lineRule="auto"/>
              <w:rPr/>
            </w:pPr>
            <w:r>
              <w:rPr>
                <w:spacing w:val="3"/>
              </w:rPr>
              <w:t>603421</w:t>
            </w:r>
          </w:p>
        </w:tc>
        <w:tc>
          <w:tcPr>
            <w:tcW w:w="1215" w:type="dxa"/>
            <w:vAlign w:val="top"/>
          </w:tcPr>
          <w:p>
            <w:pPr>
              <w:pStyle w:val="TableText"/>
              <w:ind w:left="178"/>
              <w:spacing w:before="83" w:line="189" w:lineRule="auto"/>
              <w:rPr/>
            </w:pPr>
            <w:r>
              <w:rPr>
                <w:spacing w:val="8"/>
              </w:rPr>
              <w:t>鼎信通讯</w:t>
            </w:r>
          </w:p>
        </w:tc>
        <w:tc>
          <w:tcPr>
            <w:tcW w:w="1324" w:type="dxa"/>
            <w:vAlign w:val="top"/>
          </w:tcPr>
          <w:p>
            <w:pPr>
              <w:pStyle w:val="TableText"/>
              <w:ind w:left="234"/>
              <w:spacing w:before="85" w:line="188" w:lineRule="auto"/>
              <w:rPr/>
            </w:pPr>
            <w:r>
              <w:rPr>
                <w:spacing w:val="8"/>
              </w:rPr>
              <w:t>通报批评</w:t>
            </w:r>
          </w:p>
        </w:tc>
        <w:tc>
          <w:tcPr>
            <w:tcW w:w="5004" w:type="dxa"/>
            <w:vAlign w:val="top"/>
          </w:tcPr>
          <w:p>
            <w:pPr>
              <w:pStyle w:val="TableText"/>
              <w:ind w:left="2" w:right="159" w:firstLine="3"/>
              <w:spacing w:before="43" w:line="247" w:lineRule="auto"/>
              <w:jc w:val="both"/>
              <w:rPr/>
            </w:pPr>
            <w:r>
              <w:rPr>
                <w:spacing w:val="9"/>
              </w:rPr>
              <w:t>上市公司股份受让方作为《证券法》《上市公司收购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9"/>
              </w:rPr>
              <w:t>管理办法》规定的信息披露义务人，应当真实、准确</w:t>
            </w:r>
            <w:r>
              <w:rPr>
                <w:spacing w:val="18"/>
                <w:w w:val="101"/>
              </w:rPr>
              <w:t xml:space="preserve"> </w:t>
            </w:r>
            <w:r>
              <w:rPr>
                <w:spacing w:val="9"/>
              </w:rPr>
              <w:t>、完整、及时地披露权益变动情况以及代为行使股东</w:t>
            </w:r>
            <w:r>
              <w:rPr>
                <w:spacing w:val="18"/>
                <w:w w:val="101"/>
              </w:rPr>
              <w:t xml:space="preserve"> </w:t>
            </w:r>
            <w:r>
              <w:rPr>
                <w:spacing w:val="9"/>
              </w:rPr>
              <w:t>权利等相关安排。股份受让方与公司控股股东、实际</w:t>
            </w:r>
            <w:r>
              <w:rPr>
                <w:spacing w:val="18"/>
                <w:w w:val="101"/>
              </w:rPr>
              <w:t xml:space="preserve"> </w:t>
            </w:r>
            <w:r>
              <w:rPr>
                <w:spacing w:val="9"/>
              </w:rPr>
              <w:t>控制人签署涉及股权分配的协议，且涉及委托代为行</w:t>
            </w:r>
            <w:r>
              <w:rPr>
                <w:spacing w:val="18"/>
                <w:w w:val="101"/>
              </w:rPr>
              <w:t xml:space="preserve"> </w:t>
            </w:r>
            <w:r>
              <w:rPr>
                <w:spacing w:val="9"/>
              </w:rPr>
              <w:t>使全部股东权利等相关安排，</w:t>
            </w:r>
            <w:r>
              <w:rPr>
                <w:b/>
                <w:bCs/>
                <w:spacing w:val="9"/>
              </w:rPr>
              <w:t>可能导致控股股东持有</w:t>
            </w:r>
            <w:r>
              <w:rPr>
                <w:b/>
                <w:bCs/>
                <w:spacing w:val="18"/>
                <w:w w:val="101"/>
              </w:rPr>
              <w:t xml:space="preserve"> </w:t>
            </w:r>
            <w:r>
              <w:rPr>
                <w:b/>
                <w:bCs/>
                <w:spacing w:val="9"/>
              </w:rPr>
              <w:t>公司股份发生较大变化</w:t>
            </w:r>
            <w:r>
              <w:rPr>
                <w:spacing w:val="9"/>
              </w:rPr>
              <w:t>，其未配合公司及时披露相关</w:t>
            </w:r>
            <w:r>
              <w:rPr>
                <w:spacing w:val="18"/>
                <w:w w:val="101"/>
              </w:rPr>
              <w:t xml:space="preserve"> </w:t>
            </w:r>
            <w:r>
              <w:rPr>
                <w:spacing w:val="5"/>
              </w:rPr>
              <w:t>事项。</w:t>
            </w:r>
          </w:p>
        </w:tc>
      </w:tr>
      <w:tr>
        <w:trPr>
          <w:trHeight w:val="1083" w:hRule="atLeast"/>
        </w:trPr>
        <w:tc>
          <w:tcPr>
            <w:shd w:val="clear" w:fill="F2DCDC"/>
            <w:tcW w:w="1276" w:type="dxa"/>
            <w:vAlign w:val="top"/>
          </w:tcPr>
          <w:p>
            <w:pPr>
              <w:pStyle w:val="TableText"/>
              <w:ind w:left="270"/>
              <w:spacing w:before="106" w:line="178" w:lineRule="auto"/>
              <w:rPr/>
            </w:pPr>
            <w:r>
              <w:rPr>
                <w:spacing w:val="3"/>
              </w:rPr>
              <w:t>603557</w:t>
            </w:r>
          </w:p>
        </w:tc>
        <w:tc>
          <w:tcPr>
            <w:shd w:val="clear" w:fill="F2DCDC"/>
            <w:tcW w:w="1215" w:type="dxa"/>
            <w:vAlign w:val="top"/>
          </w:tcPr>
          <w:p>
            <w:pPr>
              <w:pStyle w:val="TableText"/>
              <w:ind w:left="279"/>
              <w:spacing w:before="91" w:line="189" w:lineRule="auto"/>
              <w:rPr/>
            </w:pPr>
            <w:r>
              <w:rPr/>
              <w:t>ST</w:t>
            </w:r>
            <w:r>
              <w:rPr>
                <w:spacing w:val="7"/>
              </w:rPr>
              <w:t>起步</w:t>
            </w:r>
          </w:p>
        </w:tc>
        <w:tc>
          <w:tcPr>
            <w:shd w:val="clear" w:fill="F2DCDC"/>
            <w:tcW w:w="1324" w:type="dxa"/>
            <w:vAlign w:val="top"/>
          </w:tcPr>
          <w:p>
            <w:pPr>
              <w:pStyle w:val="TableText"/>
              <w:ind w:left="234"/>
              <w:spacing w:before="92" w:line="188" w:lineRule="auto"/>
              <w:rPr/>
            </w:pPr>
            <w:r>
              <w:rPr>
                <w:spacing w:val="8"/>
              </w:rPr>
              <w:t>通报批评</w:t>
            </w:r>
          </w:p>
        </w:tc>
        <w:tc>
          <w:tcPr>
            <w:shd w:val="clear" w:fill="F2DCDC"/>
            <w:tcW w:w="5004" w:type="dxa"/>
            <w:vAlign w:val="top"/>
          </w:tcPr>
          <w:p>
            <w:pPr>
              <w:pStyle w:val="TableText"/>
              <w:ind w:left="3" w:right="152" w:firstLine="7"/>
              <w:spacing w:before="90" w:line="229" w:lineRule="auto"/>
              <w:jc w:val="both"/>
              <w:rPr/>
            </w:pPr>
            <w:r>
              <w:rPr>
                <w:spacing w:val="7"/>
              </w:rPr>
              <w:t>2018年、</w:t>
            </w:r>
            <w:r>
              <w:rPr>
                <w:spacing w:val="-37"/>
              </w:rPr>
              <w:t xml:space="preserve"> </w:t>
            </w:r>
            <w:r>
              <w:rPr>
                <w:spacing w:val="7"/>
              </w:rPr>
              <w:t>2019年年度报告及2020年半年度报告</w:t>
            </w:r>
            <w:r>
              <w:rPr>
                <w:spacing w:val="6"/>
              </w:rPr>
              <w:t>存在</w:t>
            </w:r>
            <w:r>
              <w:rPr/>
              <w:t xml:space="preserve"> </w:t>
            </w:r>
            <w:r>
              <w:rPr>
                <w:b/>
                <w:bCs/>
                <w:spacing w:val="9"/>
              </w:rPr>
              <w:t>虚假记载</w:t>
            </w:r>
            <w:r>
              <w:rPr>
                <w:spacing w:val="9"/>
              </w:rPr>
              <w:t>、重大遗漏；未披露</w:t>
            </w:r>
            <w:r>
              <w:rPr>
                <w:b/>
                <w:bCs/>
                <w:spacing w:val="9"/>
              </w:rPr>
              <w:t>股份代持</w:t>
            </w:r>
            <w:r>
              <w:rPr>
                <w:spacing w:val="9"/>
              </w:rPr>
              <w:t>行为；公开发</w:t>
            </w:r>
            <w:r>
              <w:rPr>
                <w:spacing w:val="18"/>
              </w:rPr>
              <w:t xml:space="preserve"> </w:t>
            </w:r>
            <w:r>
              <w:rPr>
                <w:spacing w:val="8"/>
              </w:rPr>
              <w:t>行文件编造重大</w:t>
            </w:r>
            <w:r>
              <w:rPr>
                <w:b/>
                <w:bCs/>
                <w:spacing w:val="8"/>
              </w:rPr>
              <w:t>虚假内容</w:t>
            </w:r>
            <w:r>
              <w:rPr>
                <w:spacing w:val="8"/>
              </w:rPr>
              <w:t>。</w:t>
            </w:r>
          </w:p>
        </w:tc>
      </w:tr>
      <w:tr>
        <w:trPr>
          <w:trHeight w:val="1093" w:hRule="atLeast"/>
        </w:trPr>
        <w:tc>
          <w:tcPr>
            <w:tcW w:w="1276" w:type="dxa"/>
            <w:vAlign w:val="top"/>
          </w:tcPr>
          <w:p>
            <w:pPr>
              <w:pStyle w:val="TableText"/>
              <w:ind w:left="270"/>
              <w:spacing w:before="107" w:line="178" w:lineRule="auto"/>
              <w:rPr/>
            </w:pPr>
            <w:r>
              <w:rPr>
                <w:spacing w:val="3"/>
              </w:rPr>
              <w:t>600982</w:t>
            </w:r>
          </w:p>
        </w:tc>
        <w:tc>
          <w:tcPr>
            <w:tcW w:w="1215" w:type="dxa"/>
            <w:vAlign w:val="top"/>
          </w:tcPr>
          <w:p>
            <w:pPr>
              <w:pStyle w:val="TableText"/>
              <w:ind w:left="181"/>
              <w:spacing w:before="91" w:line="190" w:lineRule="auto"/>
              <w:rPr/>
            </w:pPr>
            <w:r>
              <w:rPr>
                <w:spacing w:val="8"/>
              </w:rPr>
              <w:t>宁波能源</w:t>
            </w:r>
          </w:p>
        </w:tc>
        <w:tc>
          <w:tcPr>
            <w:tcW w:w="1324" w:type="dxa"/>
            <w:vAlign w:val="top"/>
          </w:tcPr>
          <w:p>
            <w:pPr>
              <w:pStyle w:val="TableText"/>
              <w:ind w:left="236"/>
              <w:spacing w:before="92" w:line="189" w:lineRule="auto"/>
              <w:rPr/>
            </w:pPr>
            <w:r>
              <w:rPr>
                <w:spacing w:val="8"/>
              </w:rPr>
              <w:t>监管警示</w:t>
            </w:r>
          </w:p>
        </w:tc>
        <w:tc>
          <w:tcPr>
            <w:tcW w:w="5004" w:type="dxa"/>
            <w:vAlign w:val="top"/>
          </w:tcPr>
          <w:p>
            <w:pPr>
              <w:pStyle w:val="TableText"/>
              <w:ind w:left="3" w:right="61" w:firstLine="2"/>
              <w:spacing w:before="92" w:line="231" w:lineRule="auto"/>
              <w:jc w:val="both"/>
              <w:rPr/>
            </w:pPr>
            <w:r>
              <w:rPr>
                <w:spacing w:val="9"/>
              </w:rPr>
              <w:t>宁波能源集团股份有限公司</w:t>
            </w:r>
            <w:r>
              <w:rPr>
                <w:b/>
                <w:bCs/>
                <w:spacing w:val="9"/>
              </w:rPr>
              <w:t>2022年度审计</w:t>
            </w:r>
            <w:r>
              <w:rPr>
                <w:spacing w:val="9"/>
              </w:rPr>
              <w:t>机构天衡会</w:t>
            </w:r>
            <w:r>
              <w:rPr>
                <w:spacing w:val="2"/>
              </w:rPr>
              <w:t xml:space="preserve"> </w:t>
            </w:r>
            <w:r>
              <w:rPr>
                <w:spacing w:val="8"/>
              </w:rPr>
              <w:t>计师事务所（特殊普通合伙</w:t>
            </w:r>
            <w:r>
              <w:rPr>
                <w:spacing w:val="5"/>
              </w:rPr>
              <w:t>）</w:t>
            </w:r>
            <w:r>
              <w:rPr>
                <w:spacing w:val="-26"/>
              </w:rPr>
              <w:t xml:space="preserve"> </w:t>
            </w:r>
            <w:r>
              <w:rPr>
                <w:spacing w:val="5"/>
              </w:rPr>
              <w:t>，</w:t>
            </w:r>
            <w:r>
              <w:rPr>
                <w:spacing w:val="8"/>
              </w:rPr>
              <w:t>2022年年度报告审计</w:t>
            </w:r>
            <w:r>
              <w:rPr/>
              <w:t xml:space="preserve"> </w:t>
            </w:r>
            <w:r>
              <w:rPr>
                <w:spacing w:val="9"/>
              </w:rPr>
              <w:t>注册会计师，存在审计职责履行不到位的情形。</w:t>
            </w:r>
          </w:p>
        </w:tc>
      </w:tr>
    </w:tbl>
    <w:p>
      <w:pPr>
        <w:ind w:left="12"/>
        <w:spacing w:before="189" w:line="225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2"/>
        </w:rPr>
        <w:t>（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33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2"/>
        </w:rPr>
        <w:t>2）问询函统计</w:t>
      </w:r>
    </w:p>
    <w:p>
      <w:pPr>
        <w:ind w:left="863"/>
        <w:spacing w:before="85" w:line="184" w:lineRule="auto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spacing w:val="-4"/>
        </w:rPr>
        <w:t>2024年6月3日-6月9日，上交所发出1份监管问询函。</w:t>
      </w:r>
    </w:p>
    <w:p>
      <w:pPr>
        <w:spacing w:line="26" w:lineRule="exact"/>
        <w:rPr/>
      </w:pPr>
      <w:r/>
    </w:p>
    <w:tbl>
      <w:tblPr>
        <w:tblStyle w:val="TableNormal"/>
        <w:tblW w:w="8837" w:type="dxa"/>
        <w:tblInd w:w="779" w:type="dxa"/>
        <w:tblLayout w:type="fixed"/>
        <w:tblBorders>
          <w:top w:val="single" w:color="C0504D" w:sz="6" w:space="0"/>
          <w:left w:val="single" w:color="C0504D" w:sz="6" w:space="0"/>
          <w:bottom w:val="single" w:color="C0504D" w:sz="6" w:space="0"/>
          <w:right w:val="single" w:color="C0504D" w:sz="6" w:space="0"/>
          <w:insideH w:val="single" w:color="C0504D" w:sz="6" w:space="0"/>
          <w:insideV w:val="single" w:color="C0504D" w:sz="6" w:space="0"/>
        </w:tblBorders>
      </w:tblPr>
      <w:tblGrid>
        <w:gridCol w:w="1276"/>
        <w:gridCol w:w="1215"/>
        <w:gridCol w:w="6346"/>
      </w:tblGrid>
      <w:tr>
        <w:trPr>
          <w:trHeight w:val="372" w:hRule="atLeast"/>
        </w:trPr>
        <w:tc>
          <w:tcPr>
            <w:shd w:val="clear" w:fill="C0504D"/>
            <w:tcW w:w="1276" w:type="dxa"/>
            <w:vAlign w:val="top"/>
            <w:tcBorders>
              <w:bottom w:val="single" w:color="FFFFFF" w:sz="10" w:space="0"/>
            </w:tcBorders>
          </w:tcPr>
          <w:p>
            <w:pPr>
              <w:pStyle w:val="TableText"/>
              <w:ind w:left="212"/>
              <w:spacing w:before="93" w:line="188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公司代码</w:t>
            </w:r>
          </w:p>
        </w:tc>
        <w:tc>
          <w:tcPr>
            <w:shd w:val="clear" w:fill="C0504D"/>
            <w:tcW w:w="1215" w:type="dxa"/>
            <w:vAlign w:val="top"/>
            <w:tcBorders>
              <w:bottom w:val="single" w:color="FFFFFF" w:sz="10" w:space="0"/>
            </w:tcBorders>
          </w:tcPr>
          <w:p>
            <w:pPr>
              <w:pStyle w:val="TableText"/>
              <w:ind w:left="179"/>
              <w:spacing w:before="93" w:line="188" w:lineRule="auto"/>
              <w:rPr/>
            </w:pPr>
            <w:r>
              <w:rPr>
                <w:b/>
                <w:bCs/>
                <w:color w:val="FFFFFF"/>
                <w:spacing w:val="8"/>
              </w:rPr>
              <w:t>公司简称</w:t>
            </w:r>
          </w:p>
        </w:tc>
        <w:tc>
          <w:tcPr>
            <w:shd w:val="clear" w:fill="C0504D"/>
            <w:tcW w:w="6346" w:type="dxa"/>
            <w:vAlign w:val="top"/>
            <w:tcBorders>
              <w:bottom w:val="single" w:color="FFFFFF" w:sz="10" w:space="0"/>
            </w:tcBorders>
          </w:tcPr>
          <w:p>
            <w:pPr>
              <w:pStyle w:val="TableText"/>
              <w:ind w:left="2756"/>
              <w:spacing w:before="94" w:line="187" w:lineRule="auto"/>
              <w:rPr/>
            </w:pPr>
            <w:r>
              <w:rPr>
                <w:b/>
                <w:bCs/>
                <w:color w:val="FFFFFF"/>
                <w:spacing w:val="5"/>
              </w:rPr>
              <w:t>函件类别</w:t>
            </w:r>
          </w:p>
        </w:tc>
      </w:tr>
      <w:tr>
        <w:trPr>
          <w:trHeight w:val="362" w:hRule="atLeast"/>
        </w:trPr>
        <w:tc>
          <w:tcPr>
            <w:tcW w:w="1276" w:type="dxa"/>
            <w:vAlign w:val="top"/>
            <w:tcBorders>
              <w:top w:val="single" w:color="FFFFFF" w:sz="10" w:space="0"/>
            </w:tcBorders>
          </w:tcPr>
          <w:p>
            <w:pPr>
              <w:pStyle w:val="TableText"/>
              <w:ind w:left="270"/>
              <w:spacing w:before="98" w:line="177" w:lineRule="auto"/>
              <w:rPr/>
            </w:pPr>
            <w:r>
              <w:rPr>
                <w:spacing w:val="3"/>
              </w:rPr>
              <w:t>600565</w:t>
            </w:r>
          </w:p>
        </w:tc>
        <w:tc>
          <w:tcPr>
            <w:tcW w:w="1215" w:type="dxa"/>
            <w:vAlign w:val="top"/>
            <w:tcBorders>
              <w:top w:val="single" w:color="FFFFFF" w:sz="10" w:space="0"/>
            </w:tcBorders>
          </w:tcPr>
          <w:p>
            <w:pPr>
              <w:pStyle w:val="TableText"/>
              <w:ind w:left="279"/>
              <w:spacing w:before="84" w:line="187" w:lineRule="auto"/>
              <w:rPr/>
            </w:pPr>
            <w:r>
              <w:rPr/>
              <w:t>ST</w:t>
            </w:r>
            <w:r>
              <w:rPr>
                <w:spacing w:val="7"/>
              </w:rPr>
              <w:t>迪马</w:t>
            </w:r>
          </w:p>
        </w:tc>
        <w:tc>
          <w:tcPr>
            <w:tcW w:w="6346" w:type="dxa"/>
            <w:vAlign w:val="top"/>
            <w:tcBorders>
              <w:top w:val="single" w:color="FFFFFF" w:sz="10" w:space="0"/>
            </w:tcBorders>
          </w:tcPr>
          <w:p>
            <w:pPr>
              <w:pStyle w:val="TableText"/>
              <w:ind w:left="2862"/>
              <w:spacing w:before="84" w:line="187" w:lineRule="auto"/>
              <w:rPr/>
            </w:pPr>
            <w:r>
              <w:rPr>
                <w:spacing w:val="4"/>
              </w:rPr>
              <w:t>问询函</w:t>
            </w:r>
          </w:p>
        </w:tc>
      </w:tr>
    </w:tbl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ind w:left="507"/>
        <w:spacing w:before="103" w:line="183" w:lineRule="auto"/>
        <w:outlineLvl w:val="1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2"/>
        </w:rPr>
        <w:t>2、市场交易监管</w:t>
      </w:r>
    </w:p>
    <w:p>
      <w:pPr>
        <w:ind w:firstLine="450"/>
        <w:spacing w:before="313" w:line="183" w:lineRule="auto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</w:rPr>
        <w:t>2024年6月3日-6月9日，上交所对119起拉抬打压、虚假申报等证券异常交</w:t>
      </w:r>
      <w:r>
        <w:rPr>
          <w:rFonts w:ascii="Microsoft YaHei" w:hAnsi="Microsoft YaHei" w:eastAsia="Microsoft YaHei" w:cs="Microsoft YaHei"/>
          <w:sz w:val="22"/>
          <w:szCs w:val="22"/>
          <w:spacing w:val="-1"/>
        </w:rPr>
        <w:t>易行为采取了书面警示等监管</w:t>
      </w:r>
      <w:r>
        <w:rPr>
          <w:rFonts w:ascii="Microsoft YaHei" w:hAnsi="Microsoft YaHei" w:eastAsia="Microsoft YaHei" w:cs="Microsoft YaHei"/>
          <w:sz w:val="22"/>
          <w:szCs w:val="22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</w:rPr>
        <w:t>措施，对退市园城、退市同达等退市整理股票进行重点监控，加强对高频交易的监测监控，对10起上市</w:t>
      </w:r>
      <w:r>
        <w:rPr>
          <w:rFonts w:ascii="Microsoft YaHei" w:hAnsi="Microsoft YaHei" w:eastAsia="Microsoft YaHei" w:cs="Microsoft YaHei"/>
          <w:sz w:val="22"/>
          <w:szCs w:val="22"/>
          <w:spacing w:val="-1"/>
        </w:rPr>
        <w:t>公司</w:t>
      </w:r>
      <w:r>
        <w:rPr>
          <w:rFonts w:ascii="Microsoft YaHei" w:hAnsi="Microsoft YaHei" w:eastAsia="Microsoft YaHei" w:cs="Microsoft YaHei"/>
          <w:sz w:val="22"/>
          <w:szCs w:val="22"/>
        </w:rPr>
        <w:t xml:space="preserve">   </w:t>
      </w:r>
      <w:r>
        <w:rPr>
          <w:rFonts w:ascii="Microsoft YaHei" w:hAnsi="Microsoft YaHei" w:eastAsia="Microsoft YaHei" w:cs="Microsoft YaHei"/>
          <w:sz w:val="22"/>
          <w:szCs w:val="22"/>
        </w:rPr>
        <w:t>重大事项等进行专项核查，向证监会上报涉嫌违法违规案件线索1</w:t>
      </w:r>
      <w:r>
        <w:rPr>
          <w:rFonts w:ascii="Microsoft YaHei" w:hAnsi="Microsoft YaHei" w:eastAsia="Microsoft YaHei" w:cs="Microsoft YaHei"/>
          <w:sz w:val="22"/>
          <w:szCs w:val="22"/>
          <w:spacing w:val="-1"/>
        </w:rPr>
        <w:t>起。</w:t>
      </w:r>
    </w:p>
    <w:p>
      <w:pPr>
        <w:spacing w:line="183" w:lineRule="auto"/>
        <w:sectPr>
          <w:pgSz w:w="11910" w:h="16840"/>
          <w:pgMar w:top="400" w:right="490" w:bottom="400" w:left="886" w:header="0" w:footer="0" w:gutter="0"/>
        </w:sectPr>
        <w:rPr>
          <w:rFonts w:ascii="Microsoft YaHei" w:hAnsi="Microsoft YaHei" w:eastAsia="Microsoft YaHei" w:cs="Microsoft YaHei"/>
          <w:sz w:val="22"/>
          <w:szCs w:val="22"/>
        </w:rPr>
      </w:pPr>
    </w:p>
    <w:p>
      <w:pPr>
        <w:ind w:firstLine="5"/>
        <w:spacing w:line="924" w:lineRule="exact"/>
        <w:rPr/>
      </w:pPr>
      <w:r>
        <w:rPr>
          <w:position w:val="-18"/>
        </w:rPr>
        <w:pict>
          <v:group id="_x0000_s36" style="mso-position-vertical-relative:line;mso-position-horizontal-relative:char;width:134.8pt;height:46.25pt;" filled="false" stroked="false" coordsize="2696,925" coordorigin="0,0">
            <v:shape id="_x0000_s38" style="position:absolute;left:0;top:0;width:2696;height:925;" filled="false" stroked="false" type="#_x0000_t75">
              <v:imagedata o:title="" r:id="rId13"/>
            </v:shape>
            <v:shape id="_x0000_s40" style="position:absolute;left:-20;top:-20;width:2736;height:965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72"/>
                      <w:spacing w:before="304" w:line="184" w:lineRule="auto"/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Microsoft YaHei" w:hAnsi="Microsoft YaHei" w:eastAsia="Microsoft YaHei" w:cs="Microsoft YaHei"/>
                        <w:sz w:val="28"/>
                        <w:szCs w:val="28"/>
                        <w:color w:val="FFFFFF"/>
                        <w:spacing w:val="-2"/>
                      </w:rPr>
                      <w:t>深交所监管动态</w:t>
                    </w:r>
                  </w:p>
                </w:txbxContent>
              </v:textbox>
            </v:shape>
          </v:group>
        </w:pict>
      </w:r>
    </w:p>
    <w:p>
      <w:pPr>
        <w:ind w:left="945"/>
        <w:spacing w:before="147" w:line="183" w:lineRule="auto"/>
        <w:outlineLvl w:val="1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3"/>
        </w:rPr>
        <w:t>1、上市公司监管动态</w:t>
      </w:r>
    </w:p>
    <w:p>
      <w:pPr>
        <w:spacing w:before="180" w:line="183" w:lineRule="auto"/>
        <w:outlineLvl w:val="1"/>
        <w:jc w:val="right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spacing w:val="-5"/>
        </w:rPr>
        <w:t>2</w:t>
      </w:r>
      <w:r>
        <w:rPr>
          <w:rFonts w:ascii="Microsoft YaHei" w:hAnsi="Microsoft YaHei" w:eastAsia="Microsoft YaHei" w:cs="Microsoft YaHei"/>
          <w:sz w:val="24"/>
          <w:szCs w:val="24"/>
          <w:spacing w:val="-4"/>
        </w:rPr>
        <w:t>024年6月3日-6月9日，深交所发出6份监管函，对3宗行为予以纪律处分；共发出关注函2份，年</w:t>
      </w:r>
      <w:r>
        <w:rPr>
          <w:rFonts w:ascii="Microsoft YaHei" w:hAnsi="Microsoft YaHei" w:eastAsia="Microsoft YaHei" w:cs="Microsoft YaHei"/>
          <w:sz w:val="24"/>
          <w:szCs w:val="24"/>
          <w:spacing w:val="-3"/>
        </w:rPr>
        <w:t>报</w:t>
      </w:r>
    </w:p>
    <w:p>
      <w:pPr>
        <w:spacing w:before="98" w:line="183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spacing w:val="-5"/>
        </w:rPr>
        <w:t>问询函13份，非许可类重组问询函1份。</w:t>
      </w:r>
    </w:p>
    <w:p>
      <w:pPr>
        <w:ind w:firstLine="1622"/>
        <w:spacing w:before="171" w:line="4331" w:lineRule="exact"/>
        <w:rPr/>
      </w:pPr>
      <w:r>
        <w:rPr>
          <w:position w:val="-86"/>
        </w:rPr>
        <w:drawing>
          <wp:inline distT="0" distB="0" distL="0" distR="0">
            <wp:extent cx="5493384" cy="2750185"/>
            <wp:effectExtent l="0" t="0" r="0" b="0"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493384" cy="2750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817"/>
        <w:spacing w:before="250" w:line="210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2"/>
        </w:rPr>
        <w:t>（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25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2"/>
        </w:rPr>
        <w:t>1）纪律处分及监管措施</w:t>
      </w:r>
    </w:p>
    <w:tbl>
      <w:tblPr>
        <w:tblStyle w:val="TableNormal"/>
        <w:tblW w:w="9016" w:type="dxa"/>
        <w:tblInd w:w="981" w:type="dxa"/>
        <w:tblLayout w:type="fixed"/>
        <w:tblBorders>
          <w:top w:val="single" w:color="4F81BD" w:sz="2" w:space="0"/>
          <w:left w:val="single" w:color="4F81BD" w:sz="2" w:space="0"/>
          <w:bottom w:val="single" w:color="4F81BD" w:sz="2" w:space="0"/>
          <w:right w:val="single" w:color="4F81BD" w:sz="2" w:space="0"/>
          <w:insideH w:val="single" w:color="4F81BD" w:sz="2" w:space="0"/>
          <w:insideV w:val="single" w:color="4F81BD" w:sz="2" w:space="0"/>
        </w:tblBorders>
      </w:tblPr>
      <w:tblGrid>
        <w:gridCol w:w="1471"/>
        <w:gridCol w:w="1484"/>
        <w:gridCol w:w="1498"/>
        <w:gridCol w:w="4563"/>
      </w:tblGrid>
      <w:tr>
        <w:trPr>
          <w:trHeight w:val="640" w:hRule="atLeast"/>
        </w:trPr>
        <w:tc>
          <w:tcPr>
            <w:shd w:val="clear" w:fill="4BACC6"/>
            <w:tcW w:w="1471" w:type="dxa"/>
            <w:vAlign w:val="top"/>
          </w:tcPr>
          <w:p>
            <w:pPr>
              <w:pStyle w:val="TableText"/>
              <w:ind w:left="298"/>
              <w:spacing w:before="92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color w:val="FFFFFF"/>
                <w:spacing w:val="-1"/>
              </w:rPr>
              <w:t>公司代码</w:t>
            </w:r>
          </w:p>
        </w:tc>
        <w:tc>
          <w:tcPr>
            <w:shd w:val="clear" w:fill="4BACC6"/>
            <w:tcW w:w="1484" w:type="dxa"/>
            <w:vAlign w:val="top"/>
            <w:tcBorders>
              <w:top w:val="nil"/>
            </w:tcBorders>
          </w:tcPr>
          <w:p>
            <w:pPr>
              <w:pStyle w:val="TableText"/>
              <w:ind w:left="303"/>
              <w:spacing w:before="92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color w:val="FFFFFF"/>
                <w:spacing w:val="-1"/>
              </w:rPr>
              <w:t>公司简称</w:t>
            </w:r>
          </w:p>
        </w:tc>
        <w:tc>
          <w:tcPr>
            <w:shd w:val="clear" w:fill="4BACC6"/>
            <w:tcW w:w="1498" w:type="dxa"/>
            <w:vAlign w:val="top"/>
            <w:tcBorders>
              <w:top w:val="nil"/>
            </w:tcBorders>
          </w:tcPr>
          <w:p>
            <w:pPr>
              <w:pStyle w:val="TableText"/>
              <w:ind w:left="308"/>
              <w:spacing w:before="92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color w:val="FFFFFF"/>
                <w:spacing w:val="-1"/>
              </w:rPr>
              <w:t>监管类型</w:t>
            </w:r>
          </w:p>
        </w:tc>
        <w:tc>
          <w:tcPr>
            <w:shd w:val="clear" w:fill="4BACC6"/>
            <w:tcW w:w="4563" w:type="dxa"/>
            <w:vAlign w:val="top"/>
            <w:tcBorders>
              <w:top w:val="nil"/>
            </w:tcBorders>
          </w:tcPr>
          <w:p>
            <w:pPr>
              <w:pStyle w:val="TableText"/>
              <w:ind w:left="1839"/>
              <w:spacing w:before="92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color w:val="FFFFFF"/>
                <w:spacing w:val="-1"/>
              </w:rPr>
              <w:t>处理事由</w:t>
            </w:r>
          </w:p>
        </w:tc>
      </w:tr>
      <w:tr>
        <w:trPr>
          <w:trHeight w:val="1084" w:hRule="atLeast"/>
        </w:trPr>
        <w:tc>
          <w:tcPr>
            <w:tcW w:w="1471" w:type="dxa"/>
            <w:vAlign w:val="top"/>
          </w:tcPr>
          <w:p>
            <w:pPr>
              <w:spacing w:line="37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72"/>
              <w:spacing w:before="85" w:line="179" w:lineRule="auto"/>
              <w:rPr/>
            </w:pPr>
            <w:r>
              <w:rPr>
                <w:spacing w:val="3"/>
              </w:rPr>
              <w:t>002161</w:t>
            </w:r>
          </w:p>
        </w:tc>
        <w:tc>
          <w:tcPr>
            <w:tcW w:w="1484" w:type="dxa"/>
            <w:vAlign w:val="top"/>
          </w:tcPr>
          <w:p>
            <w:pPr>
              <w:spacing w:line="3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20"/>
              <w:spacing w:before="86" w:line="189" w:lineRule="auto"/>
              <w:rPr/>
            </w:pPr>
            <w:r>
              <w:rPr>
                <w:spacing w:val="4"/>
              </w:rPr>
              <w:t>远</w:t>
            </w:r>
            <w:r>
              <w:rPr>
                <w:spacing w:val="54"/>
                <w:w w:val="101"/>
              </w:rPr>
              <w:t xml:space="preserve"> </w:t>
            </w:r>
            <w:r>
              <w:rPr>
                <w:spacing w:val="4"/>
              </w:rPr>
              <w:t>望</w:t>
            </w:r>
            <w:r>
              <w:rPr>
                <w:spacing w:val="49"/>
              </w:rPr>
              <w:t xml:space="preserve"> </w:t>
            </w:r>
            <w:r>
              <w:rPr>
                <w:spacing w:val="4"/>
              </w:rPr>
              <w:t>谷</w:t>
            </w:r>
          </w:p>
        </w:tc>
        <w:tc>
          <w:tcPr>
            <w:tcW w:w="1498" w:type="dxa"/>
            <w:vAlign w:val="top"/>
          </w:tcPr>
          <w:p>
            <w:pPr>
              <w:spacing w:line="3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4"/>
              <w:spacing w:before="86" w:line="189" w:lineRule="auto"/>
              <w:rPr/>
            </w:pPr>
            <w:r>
              <w:rPr>
                <w:spacing w:val="8"/>
              </w:rPr>
              <w:t>监管函</w:t>
            </w:r>
          </w:p>
        </w:tc>
        <w:tc>
          <w:tcPr>
            <w:tcW w:w="4563" w:type="dxa"/>
            <w:vAlign w:val="top"/>
          </w:tcPr>
          <w:p>
            <w:pPr>
              <w:pStyle w:val="TableText"/>
              <w:ind w:left="108" w:right="180" w:hanging="1"/>
              <w:spacing w:before="44"/>
              <w:jc w:val="both"/>
              <w:rPr/>
            </w:pPr>
            <w:r>
              <w:rPr>
                <w:spacing w:val="7"/>
              </w:rPr>
              <w:t>公司《</w:t>
            </w:r>
            <w:r>
              <w:rPr>
                <w:spacing w:val="-14"/>
              </w:rPr>
              <w:t xml:space="preserve"> </w:t>
            </w:r>
            <w:r>
              <w:rPr>
                <w:spacing w:val="7"/>
              </w:rPr>
              <w:t>2023年度业绩预告》披露的预计净利润</w:t>
            </w:r>
            <w:r>
              <w:rPr/>
              <w:t xml:space="preserve"> </w:t>
            </w:r>
            <w:r>
              <w:rPr>
                <w:spacing w:val="7"/>
              </w:rPr>
              <w:t>与《</w:t>
            </w:r>
            <w:r>
              <w:rPr>
                <w:spacing w:val="-18"/>
              </w:rPr>
              <w:t xml:space="preserve"> </w:t>
            </w:r>
            <w:r>
              <w:rPr>
                <w:spacing w:val="7"/>
              </w:rPr>
              <w:t>2023年年度报告》披露的经审计净利润相</w:t>
            </w:r>
            <w:r>
              <w:rPr/>
              <w:t xml:space="preserve"> </w:t>
            </w:r>
            <w:r>
              <w:rPr>
                <w:spacing w:val="9"/>
              </w:rPr>
              <w:t>比存在差异，</w:t>
            </w:r>
            <w:r>
              <w:rPr>
                <w:b/>
                <w:bCs/>
                <w:spacing w:val="9"/>
              </w:rPr>
              <w:t>业绩预告</w:t>
            </w:r>
            <w:r>
              <w:rPr>
                <w:spacing w:val="9"/>
              </w:rPr>
              <w:t>披露不准确。</w:t>
            </w:r>
          </w:p>
        </w:tc>
      </w:tr>
      <w:tr>
        <w:trPr>
          <w:trHeight w:val="1442" w:hRule="atLeast"/>
        </w:trPr>
        <w:tc>
          <w:tcPr>
            <w:shd w:val="clear" w:fill="B8CCE4"/>
            <w:tcW w:w="1471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77"/>
              <w:spacing w:before="86" w:line="179" w:lineRule="auto"/>
              <w:rPr/>
            </w:pPr>
            <w:r>
              <w:rPr>
                <w:spacing w:val="3"/>
              </w:rPr>
              <w:t>301022</w:t>
            </w:r>
          </w:p>
        </w:tc>
        <w:tc>
          <w:tcPr>
            <w:shd w:val="clear" w:fill="B8CCE4"/>
            <w:tcW w:w="1484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26"/>
              <w:spacing w:before="85" w:line="189" w:lineRule="auto"/>
              <w:rPr/>
            </w:pPr>
            <w:r>
              <w:rPr>
                <w:spacing w:val="8"/>
              </w:rPr>
              <w:t>海泰科</w:t>
            </w:r>
          </w:p>
        </w:tc>
        <w:tc>
          <w:tcPr>
            <w:shd w:val="clear" w:fill="B8CCE4"/>
            <w:tcW w:w="1498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4"/>
              <w:spacing w:before="85" w:line="189" w:lineRule="auto"/>
              <w:rPr/>
            </w:pPr>
            <w:r>
              <w:rPr>
                <w:spacing w:val="8"/>
              </w:rPr>
              <w:t>监管函</w:t>
            </w:r>
          </w:p>
        </w:tc>
        <w:tc>
          <w:tcPr>
            <w:shd w:val="clear" w:fill="B8CCE4"/>
            <w:tcW w:w="4563" w:type="dxa"/>
            <w:vAlign w:val="top"/>
          </w:tcPr>
          <w:p>
            <w:pPr>
              <w:pStyle w:val="TableText"/>
              <w:ind w:left="107"/>
              <w:spacing w:before="85" w:line="190" w:lineRule="auto"/>
              <w:rPr/>
            </w:pPr>
            <w:r>
              <w:rPr>
                <w:spacing w:val="9"/>
              </w:rPr>
              <w:t>公司2023年归属于上市公司股东的净利润与</w:t>
            </w:r>
          </w:p>
          <w:p>
            <w:pPr>
              <w:pStyle w:val="TableText"/>
              <w:ind w:left="108" w:right="168" w:firstLine="7"/>
              <w:spacing w:before="49" w:line="239" w:lineRule="auto"/>
              <w:rPr/>
            </w:pPr>
            <w:r>
              <w:rPr>
                <w:spacing w:val="8"/>
              </w:rPr>
              <w:t>2022年相比下降50%以上，但未在会计年度结</w:t>
            </w:r>
            <w:r>
              <w:rPr>
                <w:spacing w:val="6"/>
              </w:rPr>
              <w:t xml:space="preserve"> </w:t>
            </w:r>
            <w:r>
              <w:rPr>
                <w:spacing w:val="8"/>
              </w:rPr>
              <w:t>束之日起一个月内进行预告，迟至2024年2月</w:t>
            </w:r>
            <w:r>
              <w:rPr>
                <w:spacing w:val="5"/>
              </w:rPr>
              <w:t xml:space="preserve">   </w:t>
            </w:r>
            <w:r>
              <w:rPr>
                <w:spacing w:val="5"/>
              </w:rPr>
              <w:t>29日才披露《</w:t>
            </w:r>
            <w:r>
              <w:rPr>
                <w:spacing w:val="-17"/>
              </w:rPr>
              <w:t xml:space="preserve"> </w:t>
            </w:r>
            <w:r>
              <w:rPr>
                <w:spacing w:val="5"/>
              </w:rPr>
              <w:t>2023年度</w:t>
            </w:r>
            <w:r>
              <w:rPr>
                <w:b/>
                <w:bCs/>
                <w:spacing w:val="5"/>
              </w:rPr>
              <w:t>业绩预告</w:t>
            </w:r>
            <w:r>
              <w:rPr>
                <w:spacing w:val="5"/>
              </w:rPr>
              <w:t>》。</w:t>
            </w:r>
          </w:p>
        </w:tc>
      </w:tr>
      <w:tr>
        <w:trPr>
          <w:trHeight w:val="725" w:hRule="atLeast"/>
        </w:trPr>
        <w:tc>
          <w:tcPr>
            <w:tcW w:w="1471" w:type="dxa"/>
            <w:vAlign w:val="top"/>
          </w:tcPr>
          <w:p>
            <w:pPr>
              <w:pStyle w:val="TableText"/>
              <w:ind w:left="372"/>
              <w:spacing w:before="282" w:line="178" w:lineRule="auto"/>
              <w:rPr/>
            </w:pPr>
            <w:r>
              <w:rPr>
                <w:spacing w:val="3"/>
              </w:rPr>
              <w:t>000955</w:t>
            </w:r>
          </w:p>
        </w:tc>
        <w:tc>
          <w:tcPr>
            <w:tcW w:w="1484" w:type="dxa"/>
            <w:vAlign w:val="top"/>
          </w:tcPr>
          <w:p>
            <w:pPr>
              <w:pStyle w:val="TableText"/>
              <w:ind w:left="320"/>
              <w:spacing w:before="267" w:line="189" w:lineRule="auto"/>
              <w:rPr/>
            </w:pPr>
            <w:r>
              <w:rPr>
                <w:spacing w:val="8"/>
              </w:rPr>
              <w:t>欣龙控股</w:t>
            </w:r>
          </w:p>
        </w:tc>
        <w:tc>
          <w:tcPr>
            <w:tcW w:w="1498" w:type="dxa"/>
            <w:vAlign w:val="top"/>
          </w:tcPr>
          <w:p>
            <w:pPr>
              <w:pStyle w:val="TableText"/>
              <w:ind w:left="434"/>
              <w:spacing w:before="267" w:line="189" w:lineRule="auto"/>
              <w:rPr/>
            </w:pPr>
            <w:r>
              <w:rPr>
                <w:spacing w:val="8"/>
              </w:rPr>
              <w:t>监管函</w:t>
            </w:r>
          </w:p>
        </w:tc>
        <w:tc>
          <w:tcPr>
            <w:tcW w:w="4563" w:type="dxa"/>
            <w:vAlign w:val="top"/>
          </w:tcPr>
          <w:p>
            <w:pPr>
              <w:pStyle w:val="TableText"/>
              <w:ind w:left="111" w:right="247" w:firstLine="4"/>
              <w:spacing w:before="88" w:line="219" w:lineRule="auto"/>
              <w:rPr/>
            </w:pPr>
            <w:r>
              <w:rPr>
                <w:spacing w:val="6"/>
              </w:rPr>
              <w:t>2023年第一季度、</w:t>
            </w:r>
            <w:r>
              <w:rPr>
                <w:spacing w:val="-24"/>
              </w:rPr>
              <w:t xml:space="preserve"> </w:t>
            </w:r>
            <w:r>
              <w:rPr>
                <w:spacing w:val="6"/>
              </w:rPr>
              <w:t>2023年半年度、2023年第</w:t>
            </w:r>
            <w:r>
              <w:rPr/>
              <w:t xml:space="preserve"> </w:t>
            </w:r>
            <w:r>
              <w:rPr>
                <w:spacing w:val="8"/>
              </w:rPr>
              <w:t>三季度报告</w:t>
            </w:r>
            <w:r>
              <w:rPr>
                <w:b/>
                <w:bCs/>
                <w:spacing w:val="8"/>
              </w:rPr>
              <w:t>存在会计差错。</w:t>
            </w:r>
          </w:p>
        </w:tc>
      </w:tr>
      <w:tr>
        <w:trPr>
          <w:trHeight w:val="724" w:hRule="atLeast"/>
        </w:trPr>
        <w:tc>
          <w:tcPr>
            <w:shd w:val="clear" w:fill="B8CCE4"/>
            <w:tcW w:w="1471" w:type="dxa"/>
            <w:vAlign w:val="top"/>
          </w:tcPr>
          <w:p>
            <w:pPr>
              <w:pStyle w:val="TableText"/>
              <w:ind w:left="377"/>
              <w:spacing w:before="279" w:line="179" w:lineRule="auto"/>
              <w:rPr/>
            </w:pPr>
            <w:r>
              <w:rPr>
                <w:spacing w:val="3"/>
              </w:rPr>
              <w:t>300103</w:t>
            </w:r>
          </w:p>
        </w:tc>
        <w:tc>
          <w:tcPr>
            <w:shd w:val="clear" w:fill="B8CCE4"/>
            <w:tcW w:w="1484" w:type="dxa"/>
            <w:vAlign w:val="top"/>
          </w:tcPr>
          <w:p>
            <w:pPr>
              <w:pStyle w:val="TableText"/>
              <w:ind w:left="320"/>
              <w:spacing w:before="266" w:line="189" w:lineRule="auto"/>
              <w:rPr/>
            </w:pPr>
            <w:r>
              <w:rPr>
                <w:spacing w:val="8"/>
              </w:rPr>
              <w:t>达刚控股</w:t>
            </w:r>
          </w:p>
        </w:tc>
        <w:tc>
          <w:tcPr>
            <w:shd w:val="clear" w:fill="B8CCE4"/>
            <w:tcW w:w="1498" w:type="dxa"/>
            <w:vAlign w:val="top"/>
          </w:tcPr>
          <w:p>
            <w:pPr>
              <w:pStyle w:val="TableText"/>
              <w:ind w:left="434"/>
              <w:spacing w:before="266" w:line="189" w:lineRule="auto"/>
              <w:rPr/>
            </w:pPr>
            <w:r>
              <w:rPr>
                <w:spacing w:val="8"/>
              </w:rPr>
              <w:t>监管函</w:t>
            </w:r>
          </w:p>
        </w:tc>
        <w:tc>
          <w:tcPr>
            <w:shd w:val="clear" w:fill="B8CCE4"/>
            <w:tcW w:w="4563" w:type="dxa"/>
            <w:vAlign w:val="top"/>
          </w:tcPr>
          <w:p>
            <w:pPr>
              <w:pStyle w:val="TableText"/>
              <w:ind w:left="107" w:right="204"/>
              <w:spacing w:before="87" w:line="219" w:lineRule="auto"/>
              <w:rPr/>
            </w:pPr>
            <w:r>
              <w:rPr>
                <w:spacing w:val="9"/>
              </w:rPr>
              <w:t>股东存在</w:t>
            </w:r>
            <w:r>
              <w:rPr>
                <w:b/>
                <w:bCs/>
                <w:spacing w:val="9"/>
              </w:rPr>
              <w:t>连续90日内</w:t>
            </w:r>
            <w:r>
              <w:rPr>
                <w:spacing w:val="9"/>
              </w:rPr>
              <w:t>减持股份数超过公司股份 </w:t>
            </w:r>
            <w:r>
              <w:rPr>
                <w:spacing w:val="7"/>
              </w:rPr>
              <w:t>总数</w:t>
            </w:r>
            <w:r>
              <w:rPr>
                <w:b/>
                <w:bCs/>
                <w:spacing w:val="7"/>
              </w:rPr>
              <w:t>1%</w:t>
            </w:r>
            <w:r>
              <w:rPr>
                <w:spacing w:val="7"/>
              </w:rPr>
              <w:t>的情形。</w:t>
            </w:r>
          </w:p>
        </w:tc>
      </w:tr>
      <w:tr>
        <w:trPr>
          <w:trHeight w:val="725" w:hRule="atLeast"/>
        </w:trPr>
        <w:tc>
          <w:tcPr>
            <w:tcW w:w="1471" w:type="dxa"/>
            <w:vAlign w:val="top"/>
          </w:tcPr>
          <w:p>
            <w:pPr>
              <w:pStyle w:val="TableText"/>
              <w:ind w:left="372"/>
              <w:spacing w:before="282" w:line="178" w:lineRule="auto"/>
              <w:rPr/>
            </w:pPr>
            <w:r>
              <w:rPr>
                <w:spacing w:val="3"/>
              </w:rPr>
              <w:t>002269</w:t>
            </w:r>
          </w:p>
        </w:tc>
        <w:tc>
          <w:tcPr>
            <w:tcW w:w="1484" w:type="dxa"/>
            <w:vAlign w:val="top"/>
          </w:tcPr>
          <w:p>
            <w:pPr>
              <w:pStyle w:val="TableText"/>
              <w:ind w:left="321"/>
              <w:spacing w:before="266" w:line="190" w:lineRule="auto"/>
              <w:rPr/>
            </w:pPr>
            <w:r>
              <w:rPr>
                <w:spacing w:val="8"/>
              </w:rPr>
              <w:t>美邦服饰</w:t>
            </w:r>
          </w:p>
        </w:tc>
        <w:tc>
          <w:tcPr>
            <w:tcW w:w="1498" w:type="dxa"/>
            <w:vAlign w:val="top"/>
          </w:tcPr>
          <w:p>
            <w:pPr>
              <w:pStyle w:val="TableText"/>
              <w:ind w:left="434"/>
              <w:spacing w:before="268" w:line="189" w:lineRule="auto"/>
              <w:rPr/>
            </w:pPr>
            <w:r>
              <w:rPr>
                <w:spacing w:val="8"/>
              </w:rPr>
              <w:t>监管函</w:t>
            </w:r>
          </w:p>
        </w:tc>
        <w:tc>
          <w:tcPr>
            <w:tcW w:w="4563" w:type="dxa"/>
            <w:vAlign w:val="top"/>
          </w:tcPr>
          <w:p>
            <w:pPr>
              <w:pStyle w:val="TableText"/>
              <w:ind w:left="107" w:right="254"/>
              <w:spacing w:before="85" w:line="220" w:lineRule="auto"/>
              <w:rPr/>
            </w:pPr>
            <w:r>
              <w:rPr>
                <w:spacing w:val="9"/>
              </w:rPr>
              <w:t>公司</w:t>
            </w:r>
            <w:r>
              <w:rPr>
                <w:b/>
                <w:bCs/>
                <w:spacing w:val="9"/>
              </w:rPr>
              <w:t>业绩预告</w:t>
            </w:r>
            <w:r>
              <w:rPr>
                <w:spacing w:val="9"/>
              </w:rPr>
              <w:t>披露的预计净利润与经审计净利</w:t>
            </w:r>
            <w:r>
              <w:rPr>
                <w:spacing w:val="14"/>
              </w:rPr>
              <w:t xml:space="preserve"> </w:t>
            </w:r>
            <w:r>
              <w:rPr>
                <w:spacing w:val="7"/>
              </w:rPr>
              <w:t>润差异较大。</w:t>
            </w:r>
          </w:p>
        </w:tc>
      </w:tr>
      <w:tr>
        <w:trPr>
          <w:trHeight w:val="1083" w:hRule="atLeast"/>
        </w:trPr>
        <w:tc>
          <w:tcPr>
            <w:shd w:val="clear" w:fill="B8CCE4"/>
            <w:tcW w:w="1471" w:type="dxa"/>
            <w:vAlign w:val="top"/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77"/>
              <w:spacing w:before="86" w:line="179" w:lineRule="auto"/>
              <w:rPr/>
            </w:pPr>
            <w:r>
              <w:rPr>
                <w:spacing w:val="3"/>
              </w:rPr>
              <w:t>301213</w:t>
            </w:r>
          </w:p>
        </w:tc>
        <w:tc>
          <w:tcPr>
            <w:shd w:val="clear" w:fill="B8CCE4"/>
            <w:tcW w:w="1484" w:type="dxa"/>
            <w:vAlign w:val="top"/>
          </w:tcPr>
          <w:p>
            <w:pPr>
              <w:spacing w:line="36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20"/>
              <w:spacing w:before="85" w:line="188" w:lineRule="auto"/>
              <w:rPr/>
            </w:pPr>
            <w:r>
              <w:rPr>
                <w:spacing w:val="8"/>
              </w:rPr>
              <w:t>观想科技</w:t>
            </w:r>
          </w:p>
        </w:tc>
        <w:tc>
          <w:tcPr>
            <w:shd w:val="clear" w:fill="B8CCE4"/>
            <w:tcW w:w="1498" w:type="dxa"/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34"/>
              <w:spacing w:before="86" w:line="189" w:lineRule="auto"/>
              <w:rPr/>
            </w:pPr>
            <w:r>
              <w:rPr>
                <w:spacing w:val="8"/>
              </w:rPr>
              <w:t>监管函</w:t>
            </w:r>
          </w:p>
        </w:tc>
        <w:tc>
          <w:tcPr>
            <w:shd w:val="clear" w:fill="B8CCE4"/>
            <w:tcW w:w="4563" w:type="dxa"/>
            <w:vAlign w:val="top"/>
          </w:tcPr>
          <w:p>
            <w:pPr>
              <w:pStyle w:val="TableText"/>
              <w:ind w:left="122" w:right="182" w:hanging="15"/>
              <w:spacing w:before="90" w:line="229" w:lineRule="auto"/>
              <w:jc w:val="both"/>
              <w:rPr/>
            </w:pPr>
            <w:r>
              <w:rPr>
                <w:spacing w:val="9"/>
              </w:rPr>
              <w:t>公司2023年净利润为负且与上年同期相比下降</w:t>
            </w:r>
            <w:r>
              <w:rPr/>
              <w:t xml:space="preserve"> </w:t>
            </w:r>
            <w:r>
              <w:rPr>
                <w:spacing w:val="8"/>
              </w:rPr>
              <w:t>50%以上，但公司未按规定在会计年度结束之</w:t>
            </w:r>
            <w:r>
              <w:rPr>
                <w:spacing w:val="6"/>
              </w:rPr>
              <w:t xml:space="preserve">  </w:t>
            </w:r>
            <w:r>
              <w:rPr>
                <w:spacing w:val="7"/>
              </w:rPr>
              <w:t>日起一个月内进行</w:t>
            </w:r>
            <w:r>
              <w:rPr>
                <w:b/>
                <w:bCs/>
                <w:spacing w:val="7"/>
              </w:rPr>
              <w:t>业绩预告</w:t>
            </w:r>
            <w:r>
              <w:rPr>
                <w:spacing w:val="7"/>
              </w:rPr>
              <w:t>。</w:t>
            </w:r>
          </w:p>
        </w:tc>
      </w:tr>
      <w:tr>
        <w:trPr>
          <w:trHeight w:val="1084" w:hRule="atLeast"/>
        </w:trPr>
        <w:tc>
          <w:tcPr>
            <w:tcW w:w="1471" w:type="dxa"/>
            <w:vAlign w:val="top"/>
          </w:tcPr>
          <w:p>
            <w:pPr>
              <w:spacing w:line="37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72"/>
              <w:spacing w:before="86" w:line="178" w:lineRule="auto"/>
              <w:rPr/>
            </w:pPr>
            <w:r>
              <w:rPr>
                <w:spacing w:val="3"/>
              </w:rPr>
              <w:t>000976</w:t>
            </w:r>
          </w:p>
        </w:tc>
        <w:tc>
          <w:tcPr>
            <w:tcW w:w="1484" w:type="dxa"/>
            <w:vAlign w:val="top"/>
          </w:tcPr>
          <w:p>
            <w:pPr>
              <w:spacing w:line="36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19"/>
              <w:spacing w:before="86" w:line="189" w:lineRule="auto"/>
              <w:rPr/>
            </w:pPr>
            <w:r>
              <w:rPr/>
              <w:t>ST</w:t>
            </w:r>
            <w:r>
              <w:rPr>
                <w:spacing w:val="8"/>
              </w:rPr>
              <w:t>华铁</w:t>
            </w:r>
          </w:p>
        </w:tc>
        <w:tc>
          <w:tcPr>
            <w:tcW w:w="1498" w:type="dxa"/>
            <w:vAlign w:val="top"/>
          </w:tcPr>
          <w:p>
            <w:pPr>
              <w:spacing w:line="36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29"/>
              <w:spacing w:before="86" w:line="188" w:lineRule="auto"/>
              <w:rPr/>
            </w:pPr>
            <w:r>
              <w:rPr>
                <w:spacing w:val="8"/>
              </w:rPr>
              <w:t>通报批评</w:t>
            </w:r>
          </w:p>
        </w:tc>
        <w:tc>
          <w:tcPr>
            <w:tcW w:w="4563" w:type="dxa"/>
            <w:vAlign w:val="top"/>
          </w:tcPr>
          <w:p>
            <w:pPr>
              <w:pStyle w:val="TableText"/>
              <w:ind w:left="106" w:right="221" w:firstLine="11"/>
              <w:spacing w:before="91" w:line="229" w:lineRule="auto"/>
              <w:jc w:val="both"/>
              <w:rPr/>
            </w:pPr>
            <w:r>
              <w:rPr/>
              <w:t>ST</w:t>
            </w:r>
            <w:r>
              <w:rPr>
                <w:spacing w:val="9"/>
              </w:rPr>
              <w:t>华铁通过符合中国证监会规定条件的媒体以</w:t>
            </w:r>
            <w:r>
              <w:rPr>
                <w:spacing w:val="16"/>
              </w:rPr>
              <w:t xml:space="preserve"> </w:t>
            </w:r>
            <w:r>
              <w:rPr>
                <w:spacing w:val="9"/>
              </w:rPr>
              <w:t>外的方式发布</w:t>
            </w:r>
            <w:r>
              <w:rPr>
                <w:b/>
                <w:bCs/>
                <w:spacing w:val="9"/>
              </w:rPr>
              <w:t>尚未公开披露</w:t>
            </w:r>
            <w:r>
              <w:rPr>
                <w:spacing w:val="9"/>
              </w:rPr>
              <w:t>、误导市场投资者</w:t>
            </w:r>
            <w:r>
              <w:rPr>
                <w:spacing w:val="15"/>
              </w:rPr>
              <w:t xml:space="preserve"> </w:t>
            </w:r>
            <w:r>
              <w:rPr>
                <w:spacing w:val="8"/>
              </w:rPr>
              <w:t>并引发股价波动的信息。</w:t>
            </w:r>
          </w:p>
        </w:tc>
      </w:tr>
      <w:tr>
        <w:trPr>
          <w:trHeight w:val="1446" w:hRule="atLeast"/>
        </w:trPr>
        <w:tc>
          <w:tcPr>
            <w:shd w:val="clear" w:fill="B8CCE4"/>
            <w:tcW w:w="1471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72"/>
              <w:spacing w:before="86" w:line="178" w:lineRule="auto"/>
              <w:rPr/>
            </w:pPr>
            <w:r>
              <w:rPr>
                <w:spacing w:val="3"/>
              </w:rPr>
              <w:t>002504</w:t>
            </w:r>
          </w:p>
        </w:tc>
        <w:tc>
          <w:tcPr>
            <w:shd w:val="clear" w:fill="B8CCE4"/>
            <w:tcW w:w="1484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6"/>
              <w:spacing w:before="86" w:line="190" w:lineRule="auto"/>
              <w:rPr/>
            </w:pPr>
            <w:r>
              <w:rPr>
                <w:spacing w:val="8"/>
              </w:rPr>
              <w:t>*</w:t>
            </w:r>
            <w:r>
              <w:rPr/>
              <w:t>ST</w:t>
            </w:r>
            <w:r>
              <w:rPr>
                <w:spacing w:val="8"/>
              </w:rPr>
              <w:t>弘高</w:t>
            </w:r>
          </w:p>
        </w:tc>
        <w:tc>
          <w:tcPr>
            <w:shd w:val="clear" w:fill="B8CCE4"/>
            <w:tcW w:w="1498" w:type="dxa"/>
            <w:vAlign w:val="top"/>
          </w:tcPr>
          <w:p>
            <w:pPr>
              <w:pStyle w:val="TableText"/>
              <w:ind w:left="117"/>
              <w:spacing w:before="91" w:line="189" w:lineRule="auto"/>
              <w:rPr/>
            </w:pPr>
            <w:r>
              <w:rPr>
                <w:spacing w:val="9"/>
              </w:rPr>
              <w:t>公开认定不适</w:t>
            </w:r>
          </w:p>
          <w:p>
            <w:pPr>
              <w:pStyle w:val="TableText"/>
              <w:ind w:left="118"/>
              <w:spacing w:before="87" w:line="190" w:lineRule="auto"/>
              <w:rPr/>
            </w:pPr>
            <w:r>
              <w:rPr>
                <w:spacing w:val="9"/>
              </w:rPr>
              <w:t>合担任上市公</w:t>
            </w:r>
          </w:p>
          <w:p>
            <w:pPr>
              <w:pStyle w:val="TableText"/>
              <w:ind w:left="121"/>
              <w:spacing w:before="50" w:line="229" w:lineRule="auto"/>
              <w:rPr/>
            </w:pPr>
            <w:r>
              <w:rPr>
                <w:spacing w:val="8"/>
              </w:rPr>
              <w:t>司董监高（不</w:t>
            </w:r>
          </w:p>
          <w:p>
            <w:pPr>
              <w:pStyle w:val="TableText"/>
              <w:ind w:left="329"/>
              <w:spacing w:before="32" w:line="213" w:lineRule="auto"/>
              <w:rPr/>
            </w:pPr>
            <w:r>
              <w:rPr>
                <w:spacing w:val="12"/>
              </w:rPr>
              <w:t>含董秘）</w:t>
            </w:r>
          </w:p>
        </w:tc>
        <w:tc>
          <w:tcPr>
            <w:shd w:val="clear" w:fill="B8CCE4"/>
            <w:tcW w:w="4563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6"/>
              <w:spacing w:before="86" w:line="190" w:lineRule="auto"/>
              <w:rPr/>
            </w:pPr>
            <w:r>
              <w:rPr>
                <w:spacing w:val="7"/>
              </w:rPr>
              <w:t>2015年至2022年年度报告存在</w:t>
            </w:r>
            <w:r>
              <w:rPr>
                <w:b/>
                <w:bCs/>
                <w:spacing w:val="7"/>
              </w:rPr>
              <w:t>虚假记载。</w:t>
            </w:r>
          </w:p>
        </w:tc>
      </w:tr>
    </w:tbl>
    <w:p>
      <w:pPr>
        <w:pStyle w:val="BodyText"/>
        <w:spacing w:line="14" w:lineRule="auto"/>
        <w:rPr>
          <w:sz w:val="2"/>
        </w:rPr>
      </w:pPr>
      <w:r/>
    </w:p>
    <w:p>
      <w:pPr>
        <w:spacing w:line="14" w:lineRule="auto"/>
        <w:sectPr>
          <w:pgSz w:w="11910" w:h="16840"/>
          <w:pgMar w:top="374" w:right="634" w:bottom="45" w:left="455" w:header="0" w:footer="0" w:gutter="0"/>
        </w:sectPr>
        <w:rPr>
          <w:sz w:val="2"/>
          <w:szCs w:val="2"/>
        </w:rPr>
      </w:pPr>
    </w:p>
    <w:tbl>
      <w:tblPr>
        <w:tblStyle w:val="TableNormal"/>
        <w:tblW w:w="9016" w:type="dxa"/>
        <w:tblInd w:w="994" w:type="dxa"/>
        <w:tblLayout w:type="fixed"/>
        <w:tblBorders>
          <w:top w:val="single" w:color="4F81BD" w:sz="2" w:space="0"/>
          <w:left w:val="single" w:color="4F81BD" w:sz="2" w:space="0"/>
          <w:bottom w:val="single" w:color="4F81BD" w:sz="2" w:space="0"/>
          <w:right w:val="single" w:color="4F81BD" w:sz="2" w:space="0"/>
          <w:insideH w:val="single" w:color="4F81BD" w:sz="2" w:space="0"/>
          <w:insideV w:val="single" w:color="4F81BD" w:sz="2" w:space="0"/>
        </w:tblBorders>
      </w:tblPr>
      <w:tblGrid>
        <w:gridCol w:w="1471"/>
        <w:gridCol w:w="1484"/>
        <w:gridCol w:w="1498"/>
        <w:gridCol w:w="4563"/>
      </w:tblGrid>
      <w:tr>
        <w:trPr>
          <w:trHeight w:val="615" w:hRule="atLeast"/>
        </w:trPr>
        <w:tc>
          <w:tcPr>
            <w:tcW w:w="1471" w:type="dxa"/>
            <w:vAlign w:val="top"/>
          </w:tcPr>
          <w:p>
            <w:pPr>
              <w:pStyle w:val="TableText"/>
              <w:ind w:left="372"/>
              <w:spacing w:before="227" w:line="178" w:lineRule="auto"/>
              <w:rPr/>
            </w:pPr>
            <w:r>
              <w:rPr>
                <w:spacing w:val="3"/>
              </w:rPr>
              <w:t>002504</w:t>
            </w:r>
          </w:p>
        </w:tc>
        <w:tc>
          <w:tcPr>
            <w:tcW w:w="1484" w:type="dxa"/>
            <w:vAlign w:val="top"/>
          </w:tcPr>
          <w:p>
            <w:pPr>
              <w:pStyle w:val="TableText"/>
              <w:ind w:left="366"/>
              <w:spacing w:before="211" w:line="190" w:lineRule="auto"/>
              <w:rPr/>
            </w:pPr>
            <w:r>
              <w:rPr>
                <w:spacing w:val="8"/>
              </w:rPr>
              <w:t>*</w:t>
            </w:r>
            <w:r>
              <w:rPr/>
              <w:t>ST</w:t>
            </w:r>
            <w:r>
              <w:rPr>
                <w:spacing w:val="8"/>
              </w:rPr>
              <w:t>弘高</w:t>
            </w:r>
          </w:p>
        </w:tc>
        <w:tc>
          <w:tcPr>
            <w:tcW w:w="1498" w:type="dxa"/>
            <w:vAlign w:val="top"/>
          </w:tcPr>
          <w:p>
            <w:pPr>
              <w:pStyle w:val="TableText"/>
              <w:ind w:left="329"/>
              <w:spacing w:before="215" w:line="187" w:lineRule="auto"/>
              <w:rPr/>
            </w:pPr>
            <w:r>
              <w:rPr>
                <w:spacing w:val="8"/>
              </w:rPr>
              <w:t>公开谴责</w:t>
            </w:r>
          </w:p>
        </w:tc>
        <w:tc>
          <w:tcPr>
            <w:tcW w:w="4563" w:type="dxa"/>
            <w:vAlign w:val="top"/>
          </w:tcPr>
          <w:p>
            <w:pPr>
              <w:pStyle w:val="TableText"/>
              <w:ind w:left="116"/>
              <w:spacing w:before="211" w:line="190" w:lineRule="auto"/>
              <w:rPr/>
            </w:pPr>
            <w:r>
              <w:rPr>
                <w:spacing w:val="7"/>
              </w:rPr>
              <w:t>2015年至2022年年度报告存在</w:t>
            </w:r>
            <w:r>
              <w:rPr>
                <w:b/>
                <w:bCs/>
                <w:spacing w:val="7"/>
              </w:rPr>
              <w:t>虚假记载。</w:t>
            </w:r>
          </w:p>
        </w:tc>
      </w:tr>
    </w:tbl>
    <w:p>
      <w:pPr>
        <w:pStyle w:val="BodyText"/>
        <w:spacing w:line="426" w:lineRule="auto"/>
        <w:rPr/>
      </w:pPr>
      <w:r/>
    </w:p>
    <w:p>
      <w:pPr>
        <w:ind w:left="831"/>
        <w:spacing w:before="103" w:line="209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2"/>
        </w:rPr>
        <w:t>（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33"/>
        </w:rPr>
        <w:t xml:space="preserve"> </w:t>
      </w:r>
      <w:r>
        <w:rPr>
          <w:rFonts w:ascii="Microsoft YaHei" w:hAnsi="Microsoft YaHei" w:eastAsia="Microsoft YaHei" w:cs="Microsoft YaHei"/>
          <w:sz w:val="24"/>
          <w:szCs w:val="24"/>
          <w:b/>
          <w:bCs/>
          <w:spacing w:val="-2"/>
        </w:rPr>
        <w:t>2）问询函统计</w:t>
      </w:r>
    </w:p>
    <w:tbl>
      <w:tblPr>
        <w:tblStyle w:val="TableNormal"/>
        <w:tblW w:w="9003" w:type="dxa"/>
        <w:tblInd w:w="1001" w:type="dxa"/>
        <w:tblLayout w:type="fixed"/>
        <w:tblBorders>
          <w:top w:val="single" w:color="78C0D4" w:sz="2" w:space="0"/>
          <w:left w:val="single" w:color="78C0D4" w:sz="2" w:space="0"/>
          <w:bottom w:val="single" w:color="78C0D4" w:sz="2" w:space="0"/>
          <w:right w:val="single" w:color="78C0D4" w:sz="2" w:space="0"/>
          <w:insideH w:val="single" w:color="78C0D4" w:sz="2" w:space="0"/>
          <w:insideV w:val="single" w:color="78C0D4" w:sz="2" w:space="0"/>
        </w:tblBorders>
      </w:tblPr>
      <w:tblGrid>
        <w:gridCol w:w="1105"/>
        <w:gridCol w:w="1274"/>
        <w:gridCol w:w="6624"/>
      </w:tblGrid>
      <w:tr>
        <w:trPr>
          <w:trHeight w:val="609" w:hRule="atLeast"/>
        </w:trPr>
        <w:tc>
          <w:tcPr>
            <w:shd w:val="clear" w:fill="4BACC6"/>
            <w:tcW w:w="1105" w:type="dxa"/>
            <w:vAlign w:val="top"/>
            <w:tcBorders>
              <w:left w:val="nil"/>
              <w:top w:val="nil"/>
              <w:right w:val="single" w:color="92CDDC" w:sz="2" w:space="0"/>
            </w:tcBorders>
          </w:tcPr>
          <w:p>
            <w:pPr>
              <w:pStyle w:val="TableText"/>
              <w:ind w:left="115"/>
              <w:spacing w:before="89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color w:val="FFFFFF"/>
                <w:spacing w:val="-1"/>
              </w:rPr>
              <w:t>公司代码</w:t>
            </w:r>
          </w:p>
        </w:tc>
        <w:tc>
          <w:tcPr>
            <w:shd w:val="clear" w:fill="4BACC6"/>
            <w:tcW w:w="1274" w:type="dxa"/>
            <w:vAlign w:val="top"/>
            <w:tcBorders>
              <w:top w:val="nil"/>
              <w:left w:val="single" w:color="92CDDC" w:sz="2" w:space="0"/>
              <w:right w:val="single" w:color="92CDDC" w:sz="2" w:space="0"/>
            </w:tcBorders>
          </w:tcPr>
          <w:p>
            <w:pPr>
              <w:pStyle w:val="TableText"/>
              <w:ind w:left="196"/>
              <w:spacing w:before="89" w:line="183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color w:val="FFFFFF"/>
                <w:spacing w:val="-1"/>
              </w:rPr>
              <w:t>公司简称</w:t>
            </w:r>
          </w:p>
        </w:tc>
        <w:tc>
          <w:tcPr>
            <w:shd w:val="clear" w:fill="4BACC6"/>
            <w:tcW w:w="6624" w:type="dxa"/>
            <w:vAlign w:val="top"/>
            <w:tcBorders>
              <w:right w:val="nil"/>
              <w:top w:val="nil"/>
              <w:left w:val="single" w:color="92CDDC" w:sz="2" w:space="0"/>
            </w:tcBorders>
          </w:tcPr>
          <w:p>
            <w:pPr>
              <w:pStyle w:val="TableText"/>
              <w:ind w:left="2881"/>
              <w:spacing w:before="87" w:line="18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color w:val="FFFFFF"/>
                <w:spacing w:val="-3"/>
              </w:rPr>
              <w:t>问询类型</w:t>
            </w:r>
          </w:p>
        </w:tc>
      </w:tr>
      <w:tr>
        <w:trPr>
          <w:trHeight w:val="464" w:hRule="atLeast"/>
        </w:trPr>
        <w:tc>
          <w:tcPr>
            <w:tcW w:w="1105" w:type="dxa"/>
            <w:vAlign w:val="top"/>
          </w:tcPr>
          <w:p>
            <w:pPr>
              <w:pStyle w:val="TableText"/>
              <w:ind w:left="190"/>
              <w:spacing w:before="148" w:line="179" w:lineRule="auto"/>
              <w:rPr/>
            </w:pPr>
            <w:r>
              <w:rPr>
                <w:spacing w:val="3"/>
              </w:rPr>
              <w:t>002610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ind w:left="315"/>
              <w:spacing w:before="135" w:line="189" w:lineRule="auto"/>
              <w:rPr/>
            </w:pPr>
            <w:r>
              <w:rPr/>
              <w:t>ST</w:t>
            </w:r>
            <w:r>
              <w:rPr>
                <w:spacing w:val="8"/>
              </w:rPr>
              <w:t>爱康</w:t>
            </w:r>
          </w:p>
        </w:tc>
        <w:tc>
          <w:tcPr>
            <w:tcW w:w="6624" w:type="dxa"/>
            <w:vAlign w:val="top"/>
          </w:tcPr>
          <w:p>
            <w:pPr>
              <w:pStyle w:val="TableText"/>
              <w:ind w:left="2997"/>
              <w:spacing w:before="135" w:line="189" w:lineRule="auto"/>
              <w:rPr/>
            </w:pPr>
            <w:r>
              <w:rPr>
                <w:spacing w:val="8"/>
              </w:rPr>
              <w:t>关注函</w:t>
            </w:r>
          </w:p>
        </w:tc>
      </w:tr>
      <w:tr>
        <w:trPr>
          <w:trHeight w:val="464" w:hRule="atLeast"/>
        </w:trPr>
        <w:tc>
          <w:tcPr>
            <w:shd w:val="clear" w:fill="C7DAF1"/>
            <w:tcW w:w="1105" w:type="dxa"/>
            <w:vAlign w:val="top"/>
          </w:tcPr>
          <w:p>
            <w:pPr>
              <w:pStyle w:val="TableText"/>
              <w:ind w:left="195"/>
              <w:spacing w:before="149" w:line="179" w:lineRule="auto"/>
              <w:rPr/>
            </w:pPr>
            <w:r>
              <w:rPr>
                <w:spacing w:val="3"/>
              </w:rPr>
              <w:t>300117</w:t>
            </w:r>
          </w:p>
        </w:tc>
        <w:tc>
          <w:tcPr>
            <w:shd w:val="clear" w:fill="C7DAF1"/>
            <w:tcW w:w="1274" w:type="dxa"/>
            <w:vAlign w:val="top"/>
          </w:tcPr>
          <w:p>
            <w:pPr>
              <w:pStyle w:val="TableText"/>
              <w:ind w:left="262"/>
              <w:spacing w:before="135" w:line="190" w:lineRule="auto"/>
              <w:rPr/>
            </w:pPr>
            <w:r>
              <w:rPr>
                <w:spacing w:val="8"/>
              </w:rPr>
              <w:t>*</w:t>
            </w:r>
            <w:r>
              <w:rPr/>
              <w:t>ST</w:t>
            </w:r>
            <w:r>
              <w:rPr>
                <w:spacing w:val="8"/>
              </w:rPr>
              <w:t>嘉寓</w:t>
            </w:r>
          </w:p>
        </w:tc>
        <w:tc>
          <w:tcPr>
            <w:shd w:val="clear" w:fill="C7DAF1"/>
            <w:tcW w:w="6624" w:type="dxa"/>
            <w:vAlign w:val="top"/>
          </w:tcPr>
          <w:p>
            <w:pPr>
              <w:pStyle w:val="TableText"/>
              <w:ind w:left="2785"/>
              <w:spacing w:before="136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  <w:tr>
        <w:trPr>
          <w:trHeight w:val="464" w:hRule="atLeast"/>
        </w:trPr>
        <w:tc>
          <w:tcPr>
            <w:tcW w:w="1105" w:type="dxa"/>
            <w:vAlign w:val="top"/>
          </w:tcPr>
          <w:p>
            <w:pPr>
              <w:pStyle w:val="TableText"/>
              <w:ind w:left="195"/>
              <w:spacing w:before="148" w:line="179" w:lineRule="auto"/>
              <w:rPr/>
            </w:pPr>
            <w:r>
              <w:rPr>
                <w:spacing w:val="3"/>
              </w:rPr>
              <w:t>300410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ind w:left="216"/>
              <w:spacing w:before="137" w:line="188" w:lineRule="auto"/>
              <w:rPr/>
            </w:pPr>
            <w:r>
              <w:rPr>
                <w:spacing w:val="8"/>
              </w:rPr>
              <w:t>正业科技</w:t>
            </w:r>
          </w:p>
        </w:tc>
        <w:tc>
          <w:tcPr>
            <w:tcW w:w="6624" w:type="dxa"/>
            <w:vAlign w:val="top"/>
          </w:tcPr>
          <w:p>
            <w:pPr>
              <w:pStyle w:val="TableText"/>
              <w:ind w:left="2785"/>
              <w:spacing w:before="135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  <w:tr>
        <w:trPr>
          <w:trHeight w:val="463" w:hRule="atLeast"/>
        </w:trPr>
        <w:tc>
          <w:tcPr>
            <w:shd w:val="clear" w:fill="C7DAF1"/>
            <w:tcW w:w="1105" w:type="dxa"/>
            <w:vAlign w:val="top"/>
          </w:tcPr>
          <w:p>
            <w:pPr>
              <w:pStyle w:val="TableText"/>
              <w:ind w:left="195"/>
              <w:spacing w:before="149" w:line="178" w:lineRule="auto"/>
              <w:rPr/>
            </w:pPr>
            <w:r>
              <w:rPr>
                <w:spacing w:val="3"/>
              </w:rPr>
              <w:t>300262</w:t>
            </w:r>
          </w:p>
        </w:tc>
        <w:tc>
          <w:tcPr>
            <w:shd w:val="clear" w:fill="C7DAF1"/>
            <w:tcW w:w="1274" w:type="dxa"/>
            <w:vAlign w:val="top"/>
          </w:tcPr>
          <w:p>
            <w:pPr>
              <w:pStyle w:val="TableText"/>
              <w:ind w:left="262"/>
              <w:spacing w:before="133" w:line="190" w:lineRule="auto"/>
              <w:rPr/>
            </w:pPr>
            <w:r>
              <w:rPr>
                <w:spacing w:val="8"/>
              </w:rPr>
              <w:t>*</w:t>
            </w:r>
            <w:r>
              <w:rPr/>
              <w:t>ST</w:t>
            </w:r>
            <w:r>
              <w:rPr>
                <w:spacing w:val="8"/>
              </w:rPr>
              <w:t>巴安</w:t>
            </w:r>
          </w:p>
        </w:tc>
        <w:tc>
          <w:tcPr>
            <w:shd w:val="clear" w:fill="C7DAF1"/>
            <w:tcW w:w="6624" w:type="dxa"/>
            <w:vAlign w:val="top"/>
          </w:tcPr>
          <w:p>
            <w:pPr>
              <w:pStyle w:val="TableText"/>
              <w:ind w:left="2997"/>
              <w:spacing w:before="134" w:line="189" w:lineRule="auto"/>
              <w:rPr/>
            </w:pPr>
            <w:r>
              <w:rPr>
                <w:spacing w:val="8"/>
              </w:rPr>
              <w:t>关注函</w:t>
            </w:r>
          </w:p>
        </w:tc>
      </w:tr>
      <w:tr>
        <w:trPr>
          <w:trHeight w:val="464" w:hRule="atLeast"/>
        </w:trPr>
        <w:tc>
          <w:tcPr>
            <w:tcW w:w="1105" w:type="dxa"/>
            <w:vAlign w:val="top"/>
          </w:tcPr>
          <w:p>
            <w:pPr>
              <w:pStyle w:val="TableText"/>
              <w:ind w:left="195"/>
              <w:spacing w:before="150" w:line="179" w:lineRule="auto"/>
              <w:rPr/>
            </w:pPr>
            <w:r>
              <w:rPr>
                <w:spacing w:val="3"/>
              </w:rPr>
              <w:t>301578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ind w:left="215"/>
              <w:spacing w:before="135" w:line="190" w:lineRule="auto"/>
              <w:rPr/>
            </w:pPr>
            <w:r>
              <w:rPr>
                <w:spacing w:val="9"/>
              </w:rPr>
              <w:t>辰奕智能</w:t>
            </w:r>
          </w:p>
        </w:tc>
        <w:tc>
          <w:tcPr>
            <w:tcW w:w="6624" w:type="dxa"/>
            <w:vAlign w:val="top"/>
          </w:tcPr>
          <w:p>
            <w:pPr>
              <w:pStyle w:val="TableText"/>
              <w:ind w:left="2785"/>
              <w:spacing w:before="137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  <w:tr>
        <w:trPr>
          <w:trHeight w:val="463" w:hRule="atLeast"/>
        </w:trPr>
        <w:tc>
          <w:tcPr>
            <w:shd w:val="clear" w:fill="C7DAF1"/>
            <w:tcW w:w="1105" w:type="dxa"/>
            <w:vAlign w:val="top"/>
          </w:tcPr>
          <w:p>
            <w:pPr>
              <w:pStyle w:val="TableText"/>
              <w:ind w:left="195"/>
              <w:spacing w:before="149" w:line="179" w:lineRule="auto"/>
              <w:rPr/>
            </w:pPr>
            <w:r>
              <w:rPr>
                <w:spacing w:val="3"/>
              </w:rPr>
              <w:t>300198</w:t>
            </w:r>
          </w:p>
        </w:tc>
        <w:tc>
          <w:tcPr>
            <w:shd w:val="clear" w:fill="C7DAF1"/>
            <w:tcW w:w="1274" w:type="dxa"/>
            <w:vAlign w:val="top"/>
          </w:tcPr>
          <w:p>
            <w:pPr>
              <w:pStyle w:val="TableText"/>
              <w:ind w:left="216"/>
              <w:spacing w:before="136" w:line="189" w:lineRule="auto"/>
              <w:rPr/>
            </w:pPr>
            <w:r>
              <w:rPr>
                <w:spacing w:val="8"/>
              </w:rPr>
              <w:t>纳川股份</w:t>
            </w:r>
          </w:p>
        </w:tc>
        <w:tc>
          <w:tcPr>
            <w:shd w:val="clear" w:fill="C7DAF1"/>
            <w:tcW w:w="6624" w:type="dxa"/>
            <w:vAlign w:val="top"/>
          </w:tcPr>
          <w:p>
            <w:pPr>
              <w:pStyle w:val="TableText"/>
              <w:ind w:left="2785"/>
              <w:spacing w:before="136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  <w:tr>
        <w:trPr>
          <w:trHeight w:val="464" w:hRule="atLeast"/>
        </w:trPr>
        <w:tc>
          <w:tcPr>
            <w:tcW w:w="1105" w:type="dxa"/>
            <w:vAlign w:val="top"/>
          </w:tcPr>
          <w:p>
            <w:pPr>
              <w:pStyle w:val="TableText"/>
              <w:ind w:left="195"/>
              <w:spacing w:before="151" w:line="179" w:lineRule="auto"/>
              <w:rPr/>
            </w:pPr>
            <w:r>
              <w:rPr>
                <w:spacing w:val="3"/>
              </w:rPr>
              <w:t>300081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ind w:left="216"/>
              <w:spacing w:before="138" w:line="189" w:lineRule="auto"/>
              <w:rPr/>
            </w:pPr>
            <w:r>
              <w:rPr>
                <w:spacing w:val="8"/>
              </w:rPr>
              <w:t>恒信东方</w:t>
            </w:r>
          </w:p>
        </w:tc>
        <w:tc>
          <w:tcPr>
            <w:tcW w:w="6624" w:type="dxa"/>
            <w:vAlign w:val="top"/>
          </w:tcPr>
          <w:p>
            <w:pPr>
              <w:pStyle w:val="TableText"/>
              <w:ind w:left="2785"/>
              <w:spacing w:before="138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  <w:tr>
        <w:trPr>
          <w:trHeight w:val="464" w:hRule="atLeast"/>
        </w:trPr>
        <w:tc>
          <w:tcPr>
            <w:shd w:val="clear" w:fill="C7DAF1"/>
            <w:tcW w:w="1105" w:type="dxa"/>
            <w:vAlign w:val="top"/>
          </w:tcPr>
          <w:p>
            <w:pPr>
              <w:pStyle w:val="TableText"/>
              <w:ind w:left="195"/>
              <w:spacing w:before="152" w:line="178" w:lineRule="auto"/>
              <w:rPr/>
            </w:pPr>
            <w:r>
              <w:rPr>
                <w:spacing w:val="3"/>
              </w:rPr>
              <w:t>300269</w:t>
            </w:r>
          </w:p>
        </w:tc>
        <w:tc>
          <w:tcPr>
            <w:shd w:val="clear" w:fill="C7DAF1"/>
            <w:tcW w:w="1274" w:type="dxa"/>
            <w:vAlign w:val="top"/>
          </w:tcPr>
          <w:p>
            <w:pPr>
              <w:pStyle w:val="TableText"/>
              <w:ind w:left="216"/>
              <w:spacing w:before="138" w:line="188" w:lineRule="auto"/>
              <w:rPr/>
            </w:pPr>
            <w:r>
              <w:rPr>
                <w:spacing w:val="8"/>
              </w:rPr>
              <w:t>联建光电</w:t>
            </w:r>
          </w:p>
        </w:tc>
        <w:tc>
          <w:tcPr>
            <w:shd w:val="clear" w:fill="C7DAF1"/>
            <w:tcW w:w="6624" w:type="dxa"/>
            <w:vAlign w:val="top"/>
          </w:tcPr>
          <w:p>
            <w:pPr>
              <w:pStyle w:val="TableText"/>
              <w:ind w:left="2785"/>
              <w:spacing w:before="137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  <w:tr>
        <w:trPr>
          <w:trHeight w:val="463" w:hRule="atLeast"/>
        </w:trPr>
        <w:tc>
          <w:tcPr>
            <w:tcW w:w="1105" w:type="dxa"/>
            <w:vAlign w:val="top"/>
          </w:tcPr>
          <w:p>
            <w:pPr>
              <w:pStyle w:val="TableText"/>
              <w:ind w:left="195"/>
              <w:spacing w:before="149" w:line="179" w:lineRule="auto"/>
              <w:rPr/>
            </w:pPr>
            <w:r>
              <w:rPr>
                <w:spacing w:val="3"/>
              </w:rPr>
              <w:t>301045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ind w:left="216"/>
              <w:spacing w:before="137" w:line="188" w:lineRule="auto"/>
              <w:rPr/>
            </w:pPr>
            <w:r>
              <w:rPr>
                <w:spacing w:val="8"/>
              </w:rPr>
              <w:t>天禄科技</w:t>
            </w:r>
          </w:p>
        </w:tc>
        <w:tc>
          <w:tcPr>
            <w:tcW w:w="6624" w:type="dxa"/>
            <w:vAlign w:val="top"/>
          </w:tcPr>
          <w:p>
            <w:pPr>
              <w:pStyle w:val="TableText"/>
              <w:ind w:left="2785"/>
              <w:spacing w:before="136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  <w:tr>
        <w:trPr>
          <w:trHeight w:val="464" w:hRule="atLeast"/>
        </w:trPr>
        <w:tc>
          <w:tcPr>
            <w:shd w:val="clear" w:fill="C7DAF1"/>
            <w:tcW w:w="1105" w:type="dxa"/>
            <w:vAlign w:val="top"/>
          </w:tcPr>
          <w:p>
            <w:pPr>
              <w:pStyle w:val="TableText"/>
              <w:ind w:left="195"/>
              <w:spacing w:before="152" w:line="179" w:lineRule="auto"/>
              <w:rPr/>
            </w:pPr>
            <w:r>
              <w:rPr>
                <w:spacing w:val="3"/>
              </w:rPr>
              <w:t>300182</w:t>
            </w:r>
          </w:p>
        </w:tc>
        <w:tc>
          <w:tcPr>
            <w:shd w:val="clear" w:fill="C7DAF1"/>
            <w:tcW w:w="1274" w:type="dxa"/>
            <w:vAlign w:val="top"/>
          </w:tcPr>
          <w:p>
            <w:pPr>
              <w:pStyle w:val="TableText"/>
              <w:ind w:left="216"/>
              <w:spacing w:before="140" w:line="188" w:lineRule="auto"/>
              <w:rPr/>
            </w:pPr>
            <w:r>
              <w:rPr>
                <w:spacing w:val="8"/>
              </w:rPr>
              <w:t>捷成股份</w:t>
            </w:r>
          </w:p>
        </w:tc>
        <w:tc>
          <w:tcPr>
            <w:shd w:val="clear" w:fill="C7DAF1"/>
            <w:tcW w:w="6624" w:type="dxa"/>
            <w:vAlign w:val="top"/>
          </w:tcPr>
          <w:p>
            <w:pPr>
              <w:pStyle w:val="TableText"/>
              <w:ind w:left="2785"/>
              <w:spacing w:before="138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  <w:tr>
        <w:trPr>
          <w:trHeight w:val="464" w:hRule="atLeast"/>
        </w:trPr>
        <w:tc>
          <w:tcPr>
            <w:tcW w:w="1105" w:type="dxa"/>
            <w:vAlign w:val="top"/>
          </w:tcPr>
          <w:p>
            <w:pPr>
              <w:pStyle w:val="TableText"/>
              <w:ind w:left="195"/>
              <w:spacing w:before="152" w:line="178" w:lineRule="auto"/>
              <w:rPr/>
            </w:pPr>
            <w:r>
              <w:rPr>
                <w:spacing w:val="3"/>
              </w:rPr>
              <w:t>300862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ind w:left="218"/>
              <w:spacing w:before="137" w:line="189" w:lineRule="auto"/>
              <w:rPr/>
            </w:pPr>
            <w:r>
              <w:rPr>
                <w:spacing w:val="8"/>
              </w:rPr>
              <w:t>蓝盾光电</w:t>
            </w:r>
          </w:p>
        </w:tc>
        <w:tc>
          <w:tcPr>
            <w:tcW w:w="6624" w:type="dxa"/>
            <w:vAlign w:val="top"/>
          </w:tcPr>
          <w:p>
            <w:pPr>
              <w:pStyle w:val="TableText"/>
              <w:ind w:left="2785"/>
              <w:spacing w:before="137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  <w:tr>
        <w:trPr>
          <w:trHeight w:val="463" w:hRule="atLeast"/>
        </w:trPr>
        <w:tc>
          <w:tcPr>
            <w:shd w:val="clear" w:fill="C7DAF1"/>
            <w:tcW w:w="1105" w:type="dxa"/>
            <w:vAlign w:val="top"/>
          </w:tcPr>
          <w:p>
            <w:pPr>
              <w:pStyle w:val="TableText"/>
              <w:ind w:left="195"/>
              <w:spacing w:before="152" w:line="179" w:lineRule="auto"/>
              <w:rPr/>
            </w:pPr>
            <w:r>
              <w:rPr>
                <w:spacing w:val="3"/>
              </w:rPr>
              <w:t>301049</w:t>
            </w:r>
          </w:p>
        </w:tc>
        <w:tc>
          <w:tcPr>
            <w:shd w:val="clear" w:fill="C7DAF1"/>
            <w:tcW w:w="1274" w:type="dxa"/>
            <w:vAlign w:val="top"/>
          </w:tcPr>
          <w:p>
            <w:pPr>
              <w:pStyle w:val="TableText"/>
              <w:ind w:left="217"/>
              <w:spacing w:before="139" w:line="189" w:lineRule="auto"/>
              <w:rPr/>
            </w:pPr>
            <w:r>
              <w:rPr>
                <w:spacing w:val="8"/>
              </w:rPr>
              <w:t>超越科技</w:t>
            </w:r>
          </w:p>
        </w:tc>
        <w:tc>
          <w:tcPr>
            <w:shd w:val="clear" w:fill="C7DAF1"/>
            <w:tcW w:w="6624" w:type="dxa"/>
            <w:vAlign w:val="top"/>
          </w:tcPr>
          <w:p>
            <w:pPr>
              <w:pStyle w:val="TableText"/>
              <w:ind w:left="2785"/>
              <w:spacing w:before="139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  <w:tr>
        <w:trPr>
          <w:trHeight w:val="464" w:hRule="atLeast"/>
        </w:trPr>
        <w:tc>
          <w:tcPr>
            <w:tcW w:w="1105" w:type="dxa"/>
            <w:vAlign w:val="top"/>
          </w:tcPr>
          <w:p>
            <w:pPr>
              <w:pStyle w:val="TableText"/>
              <w:ind w:left="195"/>
              <w:spacing w:before="153" w:line="178" w:lineRule="auto"/>
              <w:rPr/>
            </w:pPr>
            <w:r>
              <w:rPr>
                <w:spacing w:val="3"/>
              </w:rPr>
              <w:t>300592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ind w:left="217"/>
              <w:spacing w:before="139" w:line="189" w:lineRule="auto"/>
              <w:rPr/>
            </w:pPr>
            <w:r>
              <w:rPr>
                <w:spacing w:val="8"/>
              </w:rPr>
              <w:t>华凯易佰</w:t>
            </w:r>
          </w:p>
        </w:tc>
        <w:tc>
          <w:tcPr>
            <w:tcW w:w="6624" w:type="dxa"/>
            <w:vAlign w:val="top"/>
          </w:tcPr>
          <w:p>
            <w:pPr>
              <w:pStyle w:val="TableText"/>
              <w:ind w:left="2366"/>
              <w:spacing w:before="139" w:line="189" w:lineRule="auto"/>
              <w:rPr/>
            </w:pPr>
            <w:r>
              <w:rPr>
                <w:spacing w:val="9"/>
              </w:rPr>
              <w:t>非许可类重组问询函</w:t>
            </w:r>
          </w:p>
        </w:tc>
      </w:tr>
      <w:tr>
        <w:trPr>
          <w:trHeight w:val="464" w:hRule="atLeast"/>
        </w:trPr>
        <w:tc>
          <w:tcPr>
            <w:shd w:val="clear" w:fill="C7DAF1"/>
            <w:tcW w:w="1105" w:type="dxa"/>
            <w:vAlign w:val="top"/>
          </w:tcPr>
          <w:p>
            <w:pPr>
              <w:pStyle w:val="TableText"/>
              <w:ind w:left="195"/>
              <w:spacing w:before="155" w:line="178" w:lineRule="auto"/>
              <w:rPr/>
            </w:pPr>
            <w:r>
              <w:rPr>
                <w:spacing w:val="3"/>
              </w:rPr>
              <w:t>300056</w:t>
            </w:r>
          </w:p>
        </w:tc>
        <w:tc>
          <w:tcPr>
            <w:shd w:val="clear" w:fill="C7DAF1"/>
            <w:tcW w:w="1274" w:type="dxa"/>
            <w:vAlign w:val="top"/>
          </w:tcPr>
          <w:p>
            <w:pPr>
              <w:pStyle w:val="TableText"/>
              <w:ind w:left="230"/>
              <w:spacing w:before="140" w:line="189" w:lineRule="auto"/>
              <w:rPr/>
            </w:pPr>
            <w:r>
              <w:rPr>
                <w:spacing w:val="5"/>
              </w:rPr>
              <w:t>中创环保</w:t>
            </w:r>
          </w:p>
        </w:tc>
        <w:tc>
          <w:tcPr>
            <w:shd w:val="clear" w:fill="C7DAF1"/>
            <w:tcW w:w="6624" w:type="dxa"/>
            <w:vAlign w:val="top"/>
          </w:tcPr>
          <w:p>
            <w:pPr>
              <w:pStyle w:val="TableText"/>
              <w:ind w:left="2785"/>
              <w:spacing w:before="140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  <w:tr>
        <w:trPr>
          <w:trHeight w:val="464" w:hRule="atLeast"/>
        </w:trPr>
        <w:tc>
          <w:tcPr>
            <w:tcW w:w="1105" w:type="dxa"/>
            <w:vAlign w:val="top"/>
          </w:tcPr>
          <w:p>
            <w:pPr>
              <w:pStyle w:val="TableText"/>
              <w:ind w:left="195"/>
              <w:spacing w:before="154" w:line="178" w:lineRule="auto"/>
              <w:rPr/>
            </w:pPr>
            <w:r>
              <w:rPr>
                <w:spacing w:val="3"/>
              </w:rPr>
              <w:t>300266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ind w:left="218"/>
              <w:spacing w:before="139" w:line="189" w:lineRule="auto"/>
              <w:rPr/>
            </w:pPr>
            <w:r>
              <w:rPr>
                <w:spacing w:val="8"/>
              </w:rPr>
              <w:t>兴源环境</w:t>
            </w:r>
          </w:p>
        </w:tc>
        <w:tc>
          <w:tcPr>
            <w:tcW w:w="6624" w:type="dxa"/>
            <w:vAlign w:val="top"/>
          </w:tcPr>
          <w:p>
            <w:pPr>
              <w:pStyle w:val="TableText"/>
              <w:ind w:left="2785"/>
              <w:spacing w:before="139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  <w:tr>
        <w:trPr>
          <w:trHeight w:val="468" w:hRule="atLeast"/>
        </w:trPr>
        <w:tc>
          <w:tcPr>
            <w:shd w:val="clear" w:fill="C7DAF1"/>
            <w:tcW w:w="1105" w:type="dxa"/>
            <w:vAlign w:val="top"/>
          </w:tcPr>
          <w:p>
            <w:pPr>
              <w:pStyle w:val="TableText"/>
              <w:ind w:left="195"/>
              <w:spacing w:before="151" w:line="179" w:lineRule="auto"/>
              <w:rPr/>
            </w:pPr>
            <w:r>
              <w:rPr>
                <w:spacing w:val="3"/>
              </w:rPr>
              <w:t>300175</w:t>
            </w:r>
          </w:p>
        </w:tc>
        <w:tc>
          <w:tcPr>
            <w:shd w:val="clear" w:fill="C7DAF1"/>
            <w:tcW w:w="1274" w:type="dxa"/>
            <w:vAlign w:val="top"/>
          </w:tcPr>
          <w:p>
            <w:pPr>
              <w:pStyle w:val="TableText"/>
              <w:ind w:left="225"/>
              <w:spacing w:before="138" w:line="189" w:lineRule="auto"/>
              <w:rPr/>
            </w:pPr>
            <w:r>
              <w:rPr>
                <w:spacing w:val="6"/>
              </w:rPr>
              <w:t>朗源股份</w:t>
            </w:r>
          </w:p>
        </w:tc>
        <w:tc>
          <w:tcPr>
            <w:shd w:val="clear" w:fill="C7DAF1"/>
            <w:tcW w:w="6624" w:type="dxa"/>
            <w:vAlign w:val="top"/>
          </w:tcPr>
          <w:p>
            <w:pPr>
              <w:pStyle w:val="TableText"/>
              <w:ind w:left="2785"/>
              <w:spacing w:before="138" w:line="189" w:lineRule="auto"/>
              <w:rPr/>
            </w:pPr>
            <w:r>
              <w:rPr>
                <w:spacing w:val="8"/>
              </w:rPr>
              <w:t>年报问询函</w:t>
            </w:r>
          </w:p>
        </w:tc>
      </w:tr>
    </w:tbl>
    <w:p>
      <w:pPr>
        <w:pStyle w:val="BodyText"/>
        <w:spacing w:line="267" w:lineRule="auto"/>
        <w:rPr/>
      </w:pPr>
      <w:r/>
    </w:p>
    <w:p>
      <w:pPr>
        <w:pStyle w:val="BodyText"/>
        <w:spacing w:line="268" w:lineRule="auto"/>
        <w:rPr/>
      </w:pPr>
      <w:r/>
    </w:p>
    <w:p>
      <w:pPr>
        <w:ind w:left="822"/>
        <w:spacing w:before="103" w:line="183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2"/>
        </w:rPr>
        <w:t>2、市场交易监管动态</w:t>
      </w:r>
    </w:p>
    <w:p>
      <w:pPr>
        <w:ind w:right="50" w:firstLine="437"/>
        <w:spacing w:before="211" w:line="238" w:lineRule="auto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spacing w:val="-5"/>
        </w:rPr>
        <w:t>2024年6月3日-6月9日，深交所共对118起证券异常</w:t>
      </w:r>
      <w:r>
        <w:rPr>
          <w:rFonts w:ascii="Microsoft YaHei" w:hAnsi="Microsoft YaHei" w:eastAsia="Microsoft YaHei" w:cs="Microsoft YaHei"/>
          <w:sz w:val="22"/>
          <w:szCs w:val="22"/>
          <w:spacing w:val="-6"/>
        </w:rPr>
        <w:t>交易行为采取了自律监管措施，涉及盘中拉抬打压、虚假申</w:t>
      </w:r>
      <w:r>
        <w:rPr>
          <w:rFonts w:ascii="Microsoft YaHei" w:hAnsi="Microsoft YaHei" w:eastAsia="Microsoft YaHei" w:cs="Microsoft YaHei"/>
          <w:sz w:val="22"/>
          <w:szCs w:val="22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6"/>
        </w:rPr>
        <w:t>报等异常交易情形；加强对高频交易的监测监控；共对15起上市公司重大事项进行核查。</w:t>
      </w:r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ind w:left="826"/>
        <w:spacing w:before="103" w:line="183" w:lineRule="auto"/>
        <w:rPr>
          <w:rFonts w:ascii="Microsoft YaHei" w:hAnsi="Microsoft YaHei" w:eastAsia="Microsoft YaHei" w:cs="Microsoft YaHei"/>
          <w:sz w:val="24"/>
          <w:szCs w:val="24"/>
        </w:rPr>
      </w:pPr>
      <w:r>
        <w:rPr>
          <w:rFonts w:ascii="Microsoft YaHei" w:hAnsi="Microsoft YaHei" w:eastAsia="Microsoft YaHei" w:cs="Microsoft YaHei"/>
          <w:sz w:val="24"/>
          <w:szCs w:val="24"/>
          <w:b/>
          <w:bCs/>
          <w:color w:val="333333"/>
          <w:spacing w:val="-3"/>
        </w:rPr>
        <w:t>3、会员监管动态</w:t>
      </w:r>
    </w:p>
    <w:p>
      <w:pPr>
        <w:ind w:firstLine="438"/>
        <w:spacing w:before="208" w:line="239" w:lineRule="auto"/>
        <w:rPr>
          <w:rFonts w:ascii="Microsoft YaHei" w:hAnsi="Microsoft YaHei" w:eastAsia="Microsoft YaHei" w:cs="Microsoft YaHei"/>
          <w:sz w:val="22"/>
          <w:szCs w:val="22"/>
        </w:rPr>
      </w:pPr>
      <w:r>
        <w:rPr>
          <w:rFonts w:ascii="Microsoft YaHei" w:hAnsi="Microsoft YaHei" w:eastAsia="Microsoft YaHei" w:cs="Microsoft YaHei"/>
          <w:sz w:val="22"/>
          <w:szCs w:val="22"/>
          <w:spacing w:val="-6"/>
        </w:rPr>
        <w:t>20</w:t>
      </w:r>
      <w:r>
        <w:rPr>
          <w:rFonts w:ascii="Microsoft YaHei" w:hAnsi="Microsoft YaHei" w:eastAsia="Microsoft YaHei" w:cs="Microsoft YaHei"/>
          <w:sz w:val="22"/>
          <w:szCs w:val="22"/>
          <w:spacing w:val="-5"/>
        </w:rPr>
        <w:t>24年6月3日-6月9日，针对客户</w:t>
      </w:r>
      <w:r>
        <w:rPr>
          <w:rFonts w:ascii="Microsoft YaHei" w:hAnsi="Microsoft YaHei" w:eastAsia="Microsoft YaHei" w:cs="Microsoft YaHei"/>
          <w:sz w:val="22"/>
          <w:szCs w:val="22"/>
          <w:spacing w:val="-6"/>
        </w:rPr>
        <w:t>交易行为管理职责履行不到位的情形，深交所对一家会员采取约见谈话的监</w:t>
      </w:r>
      <w:r>
        <w:rPr>
          <w:rFonts w:ascii="Microsoft YaHei" w:hAnsi="Microsoft YaHei" w:eastAsia="Microsoft YaHei" w:cs="Microsoft YaHei"/>
          <w:sz w:val="22"/>
          <w:szCs w:val="22"/>
          <w:spacing w:val="-4"/>
        </w:rPr>
        <w:t>管</w:t>
      </w:r>
      <w:r>
        <w:rPr>
          <w:rFonts w:ascii="Microsoft YaHei" w:hAnsi="Microsoft YaHei" w:eastAsia="Microsoft YaHei" w:cs="Microsoft YaHei"/>
          <w:sz w:val="22"/>
          <w:szCs w:val="22"/>
        </w:rPr>
        <w:t xml:space="preserve"> </w:t>
      </w:r>
      <w:r>
        <w:rPr>
          <w:rFonts w:ascii="Microsoft YaHei" w:hAnsi="Microsoft YaHei" w:eastAsia="Microsoft YaHei" w:cs="Microsoft YaHei"/>
          <w:sz w:val="22"/>
          <w:szCs w:val="22"/>
          <w:spacing w:val="-3"/>
        </w:rPr>
        <w:t>措施。</w:t>
      </w:r>
    </w:p>
    <w:sectPr>
      <w:pgSz w:w="11910" w:h="16840"/>
      <w:pgMar w:top="400" w:right="519" w:bottom="400" w:left="442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/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19811</wp:posOffset>
          </wp:positionH>
          <wp:positionV relativeFrom="page">
            <wp:posOffset>0</wp:posOffset>
          </wp:positionV>
          <wp:extent cx="7543038" cy="7498080"/>
          <wp:effectExtent l="0" t="0" r="0" b="0"/>
          <wp:wrapNone/>
          <wp:docPr id="2" name="IM 2"/>
          <wp:cNvGraphicFramePr/>
          <a:graphic>
            <a:graphicData uri="http://schemas.openxmlformats.org/drawingml/2006/picture">
              <pic:pic>
                <pic:nvPicPr>
                  <pic:cNvPr id="2" name="IM 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7543038" cy="74980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Microsoft YaHei" w:hAnsi="Microsoft YaHei" w:eastAsia="Microsoft YaHei" w:cs="Microsoft YaHei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hyperlink" Target="mailto:ruleadvice@bse.cn" TargetMode="External"/><Relationship Id="rId6" Type="http://schemas.openxmlformats.org/officeDocument/2006/relationships/image" Target="media/image3.jpeg"/><Relationship Id="rId5" Type="http://schemas.openxmlformats.org/officeDocument/2006/relationships/hyperlink" Target="mailto:jyjgb@szse.cn" TargetMode="External"/><Relationship Id="rId4" Type="http://schemas.openxmlformats.org/officeDocument/2006/relationships/image" Target="media/image2.jpeg"/><Relationship Id="rId3" Type="http://schemas.openxmlformats.org/officeDocument/2006/relationships/hyperlink" Target="http://www.sse.com.cn/" TargetMode="External"/><Relationship Id="rId2" Type="http://schemas.openxmlformats.org/officeDocument/2006/relationships/header" Target="header2.xml"/><Relationship Id="rId18" Type="http://schemas.openxmlformats.org/officeDocument/2006/relationships/fontTable" Target="fontTable.xml"/><Relationship Id="rId17" Type="http://schemas.openxmlformats.org/officeDocument/2006/relationships/styles" Target="styles.xml"/><Relationship Id="rId16" Type="http://schemas.openxmlformats.org/officeDocument/2006/relationships/settings" Target="settings.xml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footer" Target="footer1.xml"/><Relationship Id="rId11" Type="http://schemas.openxmlformats.org/officeDocument/2006/relationships/image" Target="media/image7.jpeg"/><Relationship Id="rId10" Type="http://schemas.openxmlformats.org/officeDocument/2006/relationships/image" Target="media/image6.png"/><Relationship Id="rId1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白尚武</dc:creator>
  <dcterms:created xsi:type="dcterms:W3CDTF">2024-06-11T10:49:27Z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2024-07-01T11:06:17</vt:filetime>
  </property>
</Properties>
</file>