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9"/>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2"/>
        </w:rPr>
        <w:t>2024年03月11日-2024年03月17日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671"/>
        <w:spacing w:before="129" w:line="202"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26"/>
        </w:rPr>
        <w:t>深圳价值在线咨询顾问有限公司</w:t>
      </w:r>
    </w:p>
    <w:p>
      <w:pPr>
        <w:ind w:left="4571"/>
        <w:spacing w:line="187"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1"/>
        </w:rPr>
        <w:t>2024年03月18日</w:t>
      </w:r>
    </w:p>
    <w:p>
      <w:pPr>
        <w:spacing w:line="187"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1698"/>
        <w:spacing w:before="309" w:line="186" w:lineRule="auto"/>
        <w:outlineLvl w:val="0"/>
        <w:rPr>
          <w:rFonts w:ascii="Microsoft YaHei" w:hAnsi="Microsoft YaHei" w:eastAsia="Microsoft YaHei" w:cs="Microsoft YaHei"/>
          <w:sz w:val="42"/>
          <w:szCs w:val="42"/>
        </w:rPr>
      </w:pPr>
      <w:r>
        <w:pict>
          <v:rect id="_x0000_s2" style="position:absolute;margin-left:63.24pt;margin-top:65.76pt;mso-position-vertical-relative:page;mso-position-horizontal-relative:page;width:525.6pt;height:2.65pt;z-index:251659264;" o:allowincell="f" fillcolor="#A61C20" filled="true" stroked="false"/>
        </w:pict>
      </w:r>
      <w:r>
        <w:pict>
          <v:group id="_x0000_s4" style="position:absolute;margin-left:0pt;margin-top:20.04pt;mso-position-vertical-relative:page;mso-position-horizontal-relative:page;width:63.25pt;height:49.25pt;z-index:251658240;" o:allowincell="f" filled="false" stroked="false" coordsize="1265,985" coordorigin="0,0">
            <v:shape id="_x0000_s6" style="position:absolute;left:0;top:0;width:1265;height:985;" fillcolor="#A61C20" filled="true" stroked="false" coordsize="1265,985" coordorigin="0,0" path="m,l1264,0l1264,984l0,984l0,0xe"/>
            <v:shape id="_x0000_s8"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20"/>
        </w:rPr>
        <w:t>法规速递</w:t>
      </w:r>
    </w:p>
    <w:p>
      <w:pPr>
        <w:pStyle w:val="BodyText"/>
        <w:spacing w:line="330" w:lineRule="auto"/>
        <w:rPr/>
      </w:pPr>
      <w:r/>
    </w:p>
    <w:p>
      <w:pPr>
        <w:ind w:left="960"/>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1、关于加强上市公司监管的意见（试行）</w:t>
      </w:r>
    </w:p>
    <w:p>
      <w:pPr>
        <w:ind w:left="923" w:right="343" w:firstLine="460"/>
        <w:spacing w:before="319" w:line="219"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中国证监会各派出机构，各交易所，各下属单位</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2"/>
        </w:rPr>
        <w:t>，各协会，会内各司局：上市公司</w:t>
      </w:r>
      <w:r>
        <w:rPr>
          <w:rFonts w:ascii="Microsoft YaHei" w:hAnsi="Microsoft YaHei" w:eastAsia="Microsoft YaHei" w:cs="Microsoft YaHei"/>
          <w:sz w:val="22"/>
          <w:szCs w:val="22"/>
          <w:spacing w:val="-3"/>
        </w:rPr>
        <w:t>是国民经济的基本盘，</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是经济高质量发展的重要微观基础。2020年10月国务院印发《关于进一步提高上市</w:t>
      </w:r>
      <w:r>
        <w:rPr>
          <w:rFonts w:ascii="Microsoft YaHei" w:hAnsi="Microsoft YaHei" w:eastAsia="Microsoft YaHei" w:cs="Microsoft YaHei"/>
          <w:sz w:val="22"/>
          <w:szCs w:val="22"/>
          <w:spacing w:val="-4"/>
        </w:rPr>
        <w:t>公司质量的意见》（国发〔</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2020〕14号）以来</w:t>
      </w:r>
      <w:r>
        <w:rPr>
          <w:rFonts w:ascii="Microsoft YaHei" w:hAnsi="Microsoft YaHei" w:eastAsia="Microsoft YaHei" w:cs="Microsoft YaHei"/>
          <w:sz w:val="22"/>
          <w:szCs w:val="22"/>
          <w:spacing w:val="-27"/>
        </w:rPr>
        <w:t xml:space="preserve"> </w:t>
      </w:r>
      <w:r>
        <w:rPr>
          <w:rFonts w:ascii="Microsoft YaHei" w:hAnsi="Microsoft YaHei" w:eastAsia="Microsoft YaHei" w:cs="Microsoft YaHei"/>
          <w:sz w:val="22"/>
          <w:szCs w:val="22"/>
          <w:spacing w:val="-5"/>
        </w:rPr>
        <w:t>，上市公司结构持续优化，创新能力不断增强</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5"/>
        </w:rPr>
        <w:t>，回报能力稳步提升，总体面貌明显改善。</w:t>
      </w:r>
    </w:p>
    <w:p>
      <w:pPr>
        <w:ind w:left="9116"/>
        <w:spacing w:before="299" w:line="641"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position w:val="33"/>
        </w:rPr>
        <w:t>中国证券监督管理委员会</w:t>
      </w:r>
    </w:p>
    <w:p>
      <w:pPr>
        <w:ind w:left="9780"/>
        <w:spacing w:before="1"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2024年03月15日</w:t>
      </w:r>
    </w:p>
    <w:p>
      <w:pPr>
        <w:pStyle w:val="BodyText"/>
        <w:spacing w:line="265" w:lineRule="auto"/>
        <w:rPr/>
      </w:pPr>
      <w:r/>
    </w:p>
    <w:p>
      <w:pPr>
        <w:ind w:firstLine="4605"/>
        <w:spacing w:line="2700" w:lineRule="exact"/>
        <w:rPr/>
      </w:pPr>
      <w:r>
        <w:rPr>
          <w:position w:val="-54"/>
        </w:rPr>
        <w:drawing>
          <wp:inline distT="0" distB="0" distL="0" distR="0">
            <wp:extent cx="1714500" cy="1714500"/>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714500" cy="1714500"/>
                    </a:xfrm>
                    <a:prstGeom prst="rect">
                      <a:avLst/>
                    </a:prstGeom>
                  </pic:spPr>
                </pic:pic>
              </a:graphicData>
            </a:graphic>
          </wp:inline>
        </w:drawing>
      </w:r>
    </w:p>
    <w:p>
      <w:pPr>
        <w:ind w:left="3867"/>
        <w:spacing w:before="268"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关于加强上市公司监管的意见（试行）</w:t>
      </w:r>
    </w:p>
    <w:p>
      <w:pPr>
        <w:spacing w:line="225"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ind w:left="12"/>
        <w:spacing w:before="67"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2、关于加强证券公司和公募基金监管加快推进建设一流投资银行和投资机</w:t>
      </w:r>
      <w:r>
        <w:rPr>
          <w:rFonts w:ascii="Microsoft YaHei" w:hAnsi="Microsoft YaHei" w:eastAsia="Microsoft YaHei" w:cs="Microsoft YaHei"/>
          <w:sz w:val="24"/>
          <w:szCs w:val="24"/>
          <w:b/>
          <w:bCs/>
          <w:color w:val="333333"/>
          <w:spacing w:val="-3"/>
        </w:rPr>
        <w:t>构的意见（试行）</w:t>
      </w:r>
    </w:p>
    <w:p>
      <w:pPr>
        <w:ind w:firstLine="452"/>
        <w:spacing w:before="305" w:line="21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中国证监会各派出机构，各交易所，各下属单位，各协会，会内各司局：近年来，证券基金</w:t>
      </w:r>
      <w:r>
        <w:rPr>
          <w:rFonts w:ascii="Microsoft YaHei" w:hAnsi="Microsoft YaHei" w:eastAsia="Microsoft YaHei" w:cs="Microsoft YaHei"/>
          <w:sz w:val="22"/>
          <w:szCs w:val="22"/>
          <w:spacing w:val="-7"/>
        </w:rPr>
        <w:t>经营机构（以下   </w:t>
      </w:r>
      <w:r>
        <w:rPr>
          <w:rFonts w:ascii="Microsoft YaHei" w:hAnsi="Microsoft YaHei" w:eastAsia="Microsoft YaHei" w:cs="Microsoft YaHei"/>
          <w:sz w:val="22"/>
          <w:szCs w:val="22"/>
          <w:spacing w:val="-7"/>
        </w:rPr>
        <w:t>简称行业机构或机构）稳步发展，成为我国资本市场乃至金融体系的重要中介力量，在服务实体经济、国家战略、</w:t>
      </w:r>
      <w:r>
        <w:rPr>
          <w:rFonts w:ascii="Microsoft YaHei" w:hAnsi="Microsoft YaHei" w:eastAsia="Microsoft YaHei" w:cs="Microsoft YaHei"/>
          <w:sz w:val="22"/>
          <w:szCs w:val="22"/>
          <w:spacing w:val="8"/>
        </w:rPr>
        <w:t xml:space="preserve"> </w:t>
      </w:r>
      <w:r>
        <w:rPr>
          <w:rFonts w:ascii="Microsoft YaHei" w:hAnsi="Microsoft YaHei" w:eastAsia="Microsoft YaHei" w:cs="Microsoft YaHei"/>
          <w:sz w:val="22"/>
          <w:szCs w:val="22"/>
          <w:spacing w:val="-6"/>
        </w:rPr>
        <w:t>居民财富管理等方面作用日益增强，守住了不发生系统性风险的底线。</w:t>
      </w:r>
    </w:p>
    <w:p>
      <w:pPr>
        <w:ind w:left="8139"/>
        <w:spacing w:before="289" w:line="640"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position w:val="33"/>
        </w:rPr>
        <w:t>中国证券监督管理委员会</w:t>
      </w:r>
    </w:p>
    <w:p>
      <w:pPr>
        <w:ind w:left="8861"/>
        <w:spacing w:before="1"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2024年03月15日</w:t>
      </w:r>
    </w:p>
    <w:p>
      <w:pPr>
        <w:pStyle w:val="BodyText"/>
        <w:spacing w:line="254" w:lineRule="auto"/>
        <w:rPr/>
      </w:pPr>
      <w:r/>
    </w:p>
    <w:p>
      <w:pPr>
        <w:ind w:firstLine="3813"/>
        <w:spacing w:line="2700" w:lineRule="exact"/>
        <w:rPr/>
      </w:pPr>
      <w:r>
        <w:rPr>
          <w:position w:val="-54"/>
        </w:rPr>
        <w:drawing>
          <wp:inline distT="0" distB="0" distL="0" distR="0">
            <wp:extent cx="1714500" cy="1714500"/>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714500" cy="1714500"/>
                    </a:xfrm>
                    <a:prstGeom prst="rect">
                      <a:avLst/>
                    </a:prstGeom>
                  </pic:spPr>
                </pic:pic>
              </a:graphicData>
            </a:graphic>
          </wp:inline>
        </w:drawing>
      </w:r>
    </w:p>
    <w:p>
      <w:pPr>
        <w:ind w:left="3298"/>
        <w:spacing w:before="277"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流投资银行和投资机构的意见（试行）</w:t>
      </w:r>
    </w:p>
    <w:p>
      <w:pPr>
        <w:spacing w:line="225" w:lineRule="auto"/>
        <w:sectPr>
          <w:pgSz w:w="11910" w:h="16840"/>
          <w:pgMar w:top="400" w:right="319" w:bottom="0" w:left="931" w:header="0" w:footer="0" w:gutter="0"/>
        </w:sectPr>
        <w:rPr>
          <w:rFonts w:ascii="Microsoft YaHei" w:hAnsi="Microsoft YaHei" w:eastAsia="Microsoft YaHei" w:cs="Microsoft YaHei"/>
          <w:sz w:val="24"/>
          <w:szCs w:val="24"/>
        </w:rPr>
      </w:pPr>
    </w:p>
    <w:p>
      <w:pPr>
        <w:ind w:left="14"/>
        <w:spacing w:before="67"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3、关于严把发行上市准入关从源头上提高</w:t>
      </w:r>
      <w:r>
        <w:rPr>
          <w:rFonts w:ascii="Microsoft YaHei" w:hAnsi="Microsoft YaHei" w:eastAsia="Microsoft YaHei" w:cs="Microsoft YaHei"/>
          <w:sz w:val="24"/>
          <w:szCs w:val="24"/>
          <w:b/>
          <w:bCs/>
          <w:color w:val="333333"/>
          <w:spacing w:val="-3"/>
        </w:rPr>
        <w:t>上市公司质量的意见（试行）</w:t>
      </w:r>
    </w:p>
    <w:p>
      <w:pPr>
        <w:pStyle w:val="BodyText"/>
        <w:spacing w:line="247" w:lineRule="auto"/>
        <w:rPr/>
      </w:pPr>
      <w:r/>
    </w:p>
    <w:p>
      <w:pPr>
        <w:ind w:right="21" w:firstLine="448"/>
        <w:spacing w:before="94" w:line="209"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中国证监会各派出机构，各交易所，各下属单位，各协会，会内各司局：为从严</w:t>
      </w:r>
      <w:r>
        <w:rPr>
          <w:rFonts w:ascii="Microsoft YaHei" w:hAnsi="Microsoft YaHei" w:eastAsia="Microsoft YaHei" w:cs="Microsoft YaHei"/>
          <w:sz w:val="22"/>
          <w:szCs w:val="22"/>
          <w:spacing w:val="-7"/>
        </w:rPr>
        <w:t>监管企业发行上市活动，压</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紧压实发行监管全链条各方责任，切实树立对</w:t>
      </w:r>
      <w:r>
        <w:rPr>
          <w:rFonts w:ascii="Microsoft YaHei" w:hAnsi="Microsoft YaHei" w:eastAsia="Microsoft YaHei" w:cs="Microsoft YaHei"/>
          <w:sz w:val="22"/>
          <w:szCs w:val="22"/>
          <w:spacing w:val="-7"/>
        </w:rPr>
        <w:t>投资者负责的理念</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7"/>
        </w:rPr>
        <w:t>，强化资本市场功能发挥，从源头上提高上市公</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司质量，现提出以下措施。</w:t>
      </w:r>
    </w:p>
    <w:p>
      <w:pPr>
        <w:spacing w:before="289" w:line="64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position w:val="33"/>
        </w:rPr>
        <w:t>中国</w:t>
      </w:r>
      <w:r>
        <w:rPr>
          <w:rFonts w:ascii="Microsoft YaHei" w:hAnsi="Microsoft YaHei" w:eastAsia="Microsoft YaHei" w:cs="Microsoft YaHei"/>
          <w:sz w:val="22"/>
          <w:szCs w:val="22"/>
          <w:spacing w:val="-4"/>
          <w:position w:val="33"/>
        </w:rPr>
        <w:t>证券监督管理委员</w:t>
      </w:r>
      <w:r>
        <w:rPr>
          <w:rFonts w:ascii="Microsoft YaHei" w:hAnsi="Microsoft YaHei" w:eastAsia="Microsoft YaHei" w:cs="Microsoft YaHei"/>
          <w:sz w:val="22"/>
          <w:szCs w:val="22"/>
          <w:spacing w:val="-2"/>
          <w:position w:val="33"/>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2024年03月15日</w:t>
      </w:r>
    </w:p>
    <w:p>
      <w:pPr>
        <w:pStyle w:val="BodyText"/>
        <w:spacing w:line="358" w:lineRule="auto"/>
        <w:rPr/>
      </w:pPr>
      <w:r/>
    </w:p>
    <w:p>
      <w:pPr>
        <w:ind w:firstLine="3670"/>
        <w:spacing w:before="1" w:line="2700" w:lineRule="exact"/>
        <w:rPr/>
      </w:pPr>
      <w:r>
        <w:rPr>
          <w:position w:val="-54"/>
        </w:rPr>
        <w:drawing>
          <wp:inline distT="0" distB="0" distL="0" distR="0">
            <wp:extent cx="1714500" cy="1714500"/>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714500" cy="1714500"/>
                    </a:xfrm>
                    <a:prstGeom prst="rect">
                      <a:avLst/>
                    </a:prstGeom>
                  </pic:spPr>
                </pic:pic>
              </a:graphicData>
            </a:graphic>
          </wp:inline>
        </w:drawing>
      </w:r>
    </w:p>
    <w:p>
      <w:pPr>
        <w:ind w:left="1747"/>
        <w:spacing w:before="172"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关于严把发行上市准入关从源头上提高上市公司质量的意见（试行）</w:t>
      </w:r>
    </w:p>
    <w:p>
      <w:pPr>
        <w:spacing w:line="225" w:lineRule="auto"/>
        <w:sectPr>
          <w:pgSz w:w="11910" w:h="16840"/>
          <w:pgMar w:top="400" w:right="457" w:bottom="0" w:left="934" w:header="0" w:footer="0" w:gutter="0"/>
        </w:sectPr>
        <w:rPr>
          <w:rFonts w:ascii="Microsoft YaHei" w:hAnsi="Microsoft YaHei" w:eastAsia="Microsoft YaHei" w:cs="Microsoft YaHei"/>
          <w:sz w:val="24"/>
          <w:szCs w:val="24"/>
        </w:rPr>
      </w:pPr>
    </w:p>
    <w:p>
      <w:pPr>
        <w:spacing w:before="67"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4、首发企业现场检查规定（2024年修订）</w:t>
      </w:r>
    </w:p>
    <w:p>
      <w:pPr>
        <w:ind w:left="433"/>
        <w:spacing w:before="304" w:line="226"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现公布《首发企业现场检查规定》，</w:t>
      </w:r>
      <w:r>
        <w:rPr>
          <w:rFonts w:ascii="Microsoft YaHei" w:hAnsi="Microsoft YaHei" w:eastAsia="Microsoft YaHei" w:cs="Microsoft YaHei"/>
          <w:sz w:val="22"/>
          <w:szCs w:val="22"/>
          <w:spacing w:val="-31"/>
        </w:rPr>
        <w:t xml:space="preserve"> </w:t>
      </w:r>
      <w:r>
        <w:rPr>
          <w:rFonts w:ascii="Microsoft YaHei" w:hAnsi="Microsoft YaHei" w:eastAsia="Microsoft YaHei" w:cs="Microsoft YaHei"/>
          <w:sz w:val="22"/>
          <w:szCs w:val="22"/>
          <w:spacing w:val="-7"/>
        </w:rPr>
        <w:t>自公布之日起施行。</w:t>
      </w:r>
    </w:p>
    <w:p>
      <w:pPr>
        <w:spacing w:before="266"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position w:val="32"/>
        </w:rPr>
        <w:t>中国</w:t>
      </w:r>
      <w:r>
        <w:rPr>
          <w:rFonts w:ascii="Microsoft YaHei" w:hAnsi="Microsoft YaHei" w:eastAsia="Microsoft YaHei" w:cs="Microsoft YaHei"/>
          <w:sz w:val="22"/>
          <w:szCs w:val="22"/>
          <w:spacing w:val="-4"/>
          <w:position w:val="32"/>
        </w:rPr>
        <w:t>证券监督管理委员</w:t>
      </w:r>
      <w:r>
        <w:rPr>
          <w:rFonts w:ascii="Microsoft YaHei" w:hAnsi="Microsoft YaHei" w:eastAsia="Microsoft YaHei" w:cs="Microsoft YaHei"/>
          <w:sz w:val="22"/>
          <w:szCs w:val="22"/>
          <w:spacing w:val="-2"/>
          <w:position w:val="32"/>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2024年03月15日</w:t>
      </w:r>
    </w:p>
    <w:p>
      <w:pPr>
        <w:pStyle w:val="BodyText"/>
        <w:spacing w:line="320" w:lineRule="auto"/>
        <w:rPr/>
      </w:pPr>
      <w:r/>
    </w:p>
    <w:p>
      <w:pPr>
        <w:ind w:firstLine="3670"/>
        <w:spacing w:line="2700" w:lineRule="exact"/>
        <w:rPr/>
      </w:pPr>
      <w:r>
        <w:rPr>
          <w:position w:val="-54"/>
        </w:rPr>
        <w:drawing>
          <wp:inline distT="0" distB="0" distL="0" distR="0">
            <wp:extent cx="1714500" cy="1714500"/>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714500" cy="1714500"/>
                    </a:xfrm>
                    <a:prstGeom prst="rect">
                      <a:avLst/>
                    </a:prstGeom>
                  </pic:spPr>
                </pic:pic>
              </a:graphicData>
            </a:graphic>
          </wp:inline>
        </w:drawing>
      </w:r>
    </w:p>
    <w:p>
      <w:pPr>
        <w:ind w:left="3240"/>
        <w:spacing w:before="212"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首发企业现场检查规定（2024年修订）</w:t>
      </w:r>
    </w:p>
    <w:p>
      <w:pPr>
        <w:spacing w:line="225" w:lineRule="auto"/>
        <w:sectPr>
          <w:pgSz w:w="11910" w:h="16840"/>
          <w:pgMar w:top="400" w:right="457" w:bottom="0" w:left="935" w:header="0" w:footer="0" w:gutter="0"/>
        </w:sectPr>
        <w:rPr>
          <w:rFonts w:ascii="Microsoft YaHei" w:hAnsi="Microsoft YaHei" w:eastAsia="Microsoft YaHei" w:cs="Microsoft YaHei"/>
          <w:sz w:val="24"/>
          <w:szCs w:val="24"/>
        </w:rPr>
      </w:pPr>
    </w:p>
    <w:p>
      <w:pPr>
        <w:spacing w:before="67"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5、首次公开发行股票并上市辅导监管规定（2024年修订）</w:t>
      </w:r>
    </w:p>
    <w:p>
      <w:pPr>
        <w:ind w:left="417"/>
        <w:spacing w:before="304" w:line="226"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现公布《首次公开发行股票并上市辅导监管规定》</w:t>
      </w:r>
      <w:r>
        <w:rPr>
          <w:rFonts w:ascii="Microsoft YaHei" w:hAnsi="Microsoft YaHei" w:eastAsia="Microsoft YaHei" w:cs="Microsoft YaHei"/>
          <w:sz w:val="22"/>
          <w:szCs w:val="22"/>
          <w:spacing w:val="-25"/>
        </w:rPr>
        <w:t xml:space="preserve"> </w:t>
      </w:r>
      <w:r>
        <w:rPr>
          <w:rFonts w:ascii="Microsoft YaHei" w:hAnsi="Microsoft YaHei" w:eastAsia="Microsoft YaHei" w:cs="Microsoft YaHei"/>
          <w:sz w:val="22"/>
          <w:szCs w:val="22"/>
          <w:spacing w:val="-7"/>
        </w:rPr>
        <w:t>，自公布之日起施行。</w:t>
      </w:r>
    </w:p>
    <w:p>
      <w:pPr>
        <w:spacing w:before="266"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position w:val="32"/>
        </w:rPr>
        <w:t>中国</w:t>
      </w:r>
      <w:r>
        <w:rPr>
          <w:rFonts w:ascii="Microsoft YaHei" w:hAnsi="Microsoft YaHei" w:eastAsia="Microsoft YaHei" w:cs="Microsoft YaHei"/>
          <w:sz w:val="22"/>
          <w:szCs w:val="22"/>
          <w:spacing w:val="-4"/>
          <w:position w:val="32"/>
        </w:rPr>
        <w:t>证券监督管理委员</w:t>
      </w:r>
      <w:r>
        <w:rPr>
          <w:rFonts w:ascii="Microsoft YaHei" w:hAnsi="Microsoft YaHei" w:eastAsia="Microsoft YaHei" w:cs="Microsoft YaHei"/>
          <w:sz w:val="22"/>
          <w:szCs w:val="22"/>
          <w:spacing w:val="-2"/>
          <w:position w:val="32"/>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2024年03月15日</w:t>
      </w:r>
    </w:p>
    <w:p>
      <w:pPr>
        <w:pStyle w:val="BodyText"/>
        <w:spacing w:line="268" w:lineRule="auto"/>
        <w:rPr/>
      </w:pPr>
      <w:r/>
    </w:p>
    <w:p>
      <w:pPr>
        <w:ind w:firstLine="3654"/>
        <w:spacing w:line="2700" w:lineRule="exact"/>
        <w:rPr/>
      </w:pPr>
      <w:r>
        <w:rPr>
          <w:position w:val="-54"/>
        </w:rPr>
        <w:drawing>
          <wp:inline distT="0" distB="0" distL="0" distR="0">
            <wp:extent cx="1714500" cy="1714500"/>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714500" cy="1714500"/>
                    </a:xfrm>
                    <a:prstGeom prst="rect">
                      <a:avLst/>
                    </a:prstGeom>
                  </pic:spPr>
                </pic:pic>
              </a:graphicData>
            </a:graphic>
          </wp:inline>
        </w:drawing>
      </w:r>
    </w:p>
    <w:p>
      <w:pPr>
        <w:ind w:left="2391"/>
        <w:spacing w:before="265"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首次公开发行股票并上市辅导监管规定（2024年修订）</w:t>
      </w:r>
    </w:p>
    <w:p>
      <w:pPr>
        <w:spacing w:line="225" w:lineRule="auto"/>
        <w:sectPr>
          <w:pgSz w:w="11910" w:h="16840"/>
          <w:pgMar w:top="400" w:right="457" w:bottom="0" w:left="951" w:header="0" w:footer="0" w:gutter="0"/>
        </w:sectPr>
        <w:rPr>
          <w:rFonts w:ascii="Microsoft YaHei" w:hAnsi="Microsoft YaHei" w:eastAsia="Microsoft YaHei" w:cs="Microsoft YaHei"/>
          <w:sz w:val="24"/>
          <w:szCs w:val="24"/>
        </w:rPr>
      </w:pPr>
    </w:p>
    <w:p>
      <w:pPr>
        <w:ind w:left="11"/>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6、关于做好定期报告转融通信息披露相关工作的提醒</w:t>
      </w:r>
    </w:p>
    <w:p>
      <w:pPr>
        <w:ind w:right="64" w:firstLine="434"/>
        <w:spacing w:before="327" w:line="21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各上市公司：前期，本所修订《上海证券交易所上市公司自律监管指南第2号——业务办理》中的《第十一</w:t>
      </w:r>
      <w:r>
        <w:rPr>
          <w:rFonts w:ascii="Microsoft YaHei" w:hAnsi="Microsoft YaHei" w:eastAsia="Microsoft YaHei" w:cs="Microsoft YaHei"/>
          <w:sz w:val="22"/>
          <w:szCs w:val="22"/>
          <w:spacing w:val="8"/>
        </w:rPr>
        <w:t xml:space="preserve"> </w:t>
      </w:r>
      <w:r>
        <w:rPr>
          <w:rFonts w:ascii="Microsoft YaHei" w:hAnsi="Microsoft YaHei" w:eastAsia="Microsoft YaHei" w:cs="Microsoft YaHei"/>
          <w:sz w:val="22"/>
          <w:szCs w:val="22"/>
          <w:spacing w:val="-6"/>
        </w:rPr>
        <w:t>号融资融券、转融通相关事项》</w:t>
      </w:r>
      <w:r>
        <w:rPr>
          <w:rFonts w:ascii="Microsoft YaHei" w:hAnsi="Microsoft YaHei" w:eastAsia="Microsoft YaHei" w:cs="Microsoft YaHei"/>
          <w:sz w:val="22"/>
          <w:szCs w:val="22"/>
          <w:spacing w:val="-39"/>
        </w:rPr>
        <w:t xml:space="preserve"> </w:t>
      </w:r>
      <w:r>
        <w:rPr>
          <w:rFonts w:ascii="Microsoft YaHei" w:hAnsi="Microsoft YaHei" w:eastAsia="Microsoft YaHei" w:cs="Microsoft YaHei"/>
          <w:sz w:val="22"/>
          <w:szCs w:val="22"/>
          <w:spacing w:val="-6"/>
        </w:rPr>
        <w:t>，明确上市公司应当在定期报告中披露持股5%以上股东、前10名</w:t>
      </w:r>
      <w:r>
        <w:rPr>
          <w:rFonts w:ascii="Microsoft YaHei" w:hAnsi="Microsoft YaHei" w:eastAsia="Microsoft YaHei" w:cs="Microsoft YaHei"/>
          <w:sz w:val="22"/>
          <w:szCs w:val="22"/>
          <w:spacing w:val="-7"/>
        </w:rPr>
        <w:t>股东及前10名</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无限售流通股股东在报告期内参与融资融券及转融通业务的具体情况。</w:t>
      </w:r>
    </w:p>
    <w:p>
      <w:pPr>
        <w:spacing w:before="289" w:line="64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3"/>
        </w:rPr>
        <w:t>上海证券交易所公司管理部,上海证券交易所科创板公</w:t>
      </w:r>
      <w:r>
        <w:rPr>
          <w:rFonts w:ascii="Microsoft YaHei" w:hAnsi="Microsoft YaHei" w:eastAsia="Microsoft YaHei" w:cs="Microsoft YaHei"/>
          <w:sz w:val="22"/>
          <w:szCs w:val="22"/>
          <w:spacing w:val="-3"/>
          <w:position w:val="33"/>
        </w:rPr>
        <w:t>司管理部</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2024年03月15日</w:t>
      </w:r>
    </w:p>
    <w:p>
      <w:pPr>
        <w:pStyle w:val="BodyText"/>
        <w:spacing w:line="292" w:lineRule="auto"/>
        <w:rPr/>
      </w:pPr>
      <w:r/>
    </w:p>
    <w:p>
      <w:pPr>
        <w:ind w:firstLine="3673"/>
        <w:spacing w:line="2700" w:lineRule="exact"/>
        <w:rPr/>
      </w:pPr>
      <w:r>
        <w:rPr>
          <w:position w:val="-54"/>
        </w:rPr>
        <w:drawing>
          <wp:inline distT="0" distB="0" distL="0" distR="0">
            <wp:extent cx="1714500" cy="1714500"/>
            <wp:effectExtent l="0" t="0" r="0" b="0"/>
            <wp:docPr id="14" name="IM 14"/>
            <wp:cNvGraphicFramePr/>
            <a:graphic>
              <a:graphicData uri="http://schemas.openxmlformats.org/drawingml/2006/picture">
                <pic:pic>
                  <pic:nvPicPr>
                    <pic:cNvPr id="14" name="IM 14"/>
                    <pic:cNvPicPr/>
                  </pic:nvPicPr>
                  <pic:blipFill>
                    <a:blip r:embed="rId8"/>
                    <a:stretch>
                      <a:fillRect/>
                    </a:stretch>
                  </pic:blipFill>
                  <pic:spPr>
                    <a:xfrm rot="0">
                      <a:off x="0" y="0"/>
                      <a:ext cx="1714500" cy="1714500"/>
                    </a:xfrm>
                    <a:prstGeom prst="rect">
                      <a:avLst/>
                    </a:prstGeom>
                  </pic:spPr>
                </pic:pic>
              </a:graphicData>
            </a:graphic>
          </wp:inline>
        </w:drawing>
      </w:r>
    </w:p>
    <w:p>
      <w:pPr>
        <w:ind w:left="2642"/>
        <w:spacing w:before="289"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关于做好定期报告转融通信息披露相关工作的</w:t>
      </w:r>
      <w:r>
        <w:rPr>
          <w:rFonts w:ascii="Microsoft YaHei" w:hAnsi="Microsoft YaHei" w:eastAsia="Microsoft YaHei" w:cs="Microsoft YaHei"/>
          <w:sz w:val="24"/>
          <w:szCs w:val="24"/>
          <w:b/>
          <w:bCs/>
          <w:color w:val="333333"/>
          <w:spacing w:val="-3"/>
        </w:rPr>
        <w:t>提醒</w:t>
      </w:r>
    </w:p>
    <w:p>
      <w:pPr>
        <w:spacing w:line="183" w:lineRule="auto"/>
        <w:sectPr>
          <w:pgSz w:w="11910" w:h="16840"/>
          <w:pgMar w:top="400" w:right="457" w:bottom="0" w:left="932" w:header="0" w:footer="0" w:gutter="0"/>
        </w:sectPr>
        <w:rPr>
          <w:rFonts w:ascii="Microsoft YaHei" w:hAnsi="Microsoft YaHei" w:eastAsia="Microsoft YaHei" w:cs="Microsoft YaHei"/>
          <w:sz w:val="24"/>
          <w:szCs w:val="24"/>
        </w:rPr>
      </w:pPr>
    </w:p>
    <w:p>
      <w:pPr>
        <w:ind w:left="11"/>
        <w:spacing w:before="115" w:line="18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7、关于年报期间进一步落实独立董事改革要</w:t>
      </w:r>
      <w:r>
        <w:rPr>
          <w:rFonts w:ascii="Microsoft YaHei" w:hAnsi="Microsoft YaHei" w:eastAsia="Microsoft YaHei" w:cs="Microsoft YaHei"/>
          <w:sz w:val="24"/>
          <w:szCs w:val="24"/>
          <w:b/>
          <w:bCs/>
          <w:color w:val="333333"/>
          <w:spacing w:val="-3"/>
        </w:rPr>
        <w:t>求的工作通知</w:t>
      </w:r>
    </w:p>
    <w:p>
      <w:pPr>
        <w:pStyle w:val="BodyText"/>
        <w:spacing w:line="269" w:lineRule="auto"/>
        <w:rPr/>
      </w:pPr>
      <w:r/>
    </w:p>
    <w:p>
      <w:pPr>
        <w:ind w:right="21" w:firstLine="435"/>
        <w:spacing w:before="94" w:line="20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各上市公司：为进一步推动提高独立董事履职效能特别是发挥对定期报告的监督作用，确保年报相关披露文</w:t>
      </w:r>
      <w:r>
        <w:rPr>
          <w:rFonts w:ascii="Microsoft YaHei" w:hAnsi="Microsoft YaHei" w:eastAsia="Microsoft YaHei" w:cs="Microsoft YaHei"/>
          <w:sz w:val="22"/>
          <w:szCs w:val="22"/>
          <w:spacing w:val="5"/>
        </w:rPr>
        <w:t xml:space="preserve"> </w:t>
      </w:r>
      <w:r>
        <w:rPr>
          <w:rFonts w:ascii="Microsoft YaHei" w:hAnsi="Microsoft YaHei" w:eastAsia="Microsoft YaHei" w:cs="Microsoft YaHei"/>
          <w:sz w:val="22"/>
          <w:szCs w:val="22"/>
          <w:spacing w:val="-6"/>
        </w:rPr>
        <w:t>件的齐备性、完整性和披露质量，现就年报期间独立董事履职相关公告、上网文件等要求，明确如下。</w:t>
      </w:r>
    </w:p>
    <w:p>
      <w:pPr>
        <w:spacing w:before="289" w:line="64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3"/>
        </w:rPr>
        <w:t>上海证券交易所公司管理部,上海证券交易所科创板公</w:t>
      </w:r>
      <w:r>
        <w:rPr>
          <w:rFonts w:ascii="Microsoft YaHei" w:hAnsi="Microsoft YaHei" w:eastAsia="Microsoft YaHei" w:cs="Microsoft YaHei"/>
          <w:sz w:val="22"/>
          <w:szCs w:val="22"/>
          <w:spacing w:val="-3"/>
          <w:position w:val="33"/>
        </w:rPr>
        <w:t>司管理部</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2024年03月15日</w:t>
      </w:r>
    </w:p>
    <w:p>
      <w:pPr>
        <w:pStyle w:val="BodyText"/>
        <w:spacing w:line="280" w:lineRule="auto"/>
        <w:rPr/>
      </w:pPr>
      <w:r/>
    </w:p>
    <w:p>
      <w:pPr>
        <w:ind w:firstLine="3674"/>
        <w:spacing w:line="2700" w:lineRule="exact"/>
        <w:rPr/>
      </w:pPr>
      <w:r>
        <w:rPr>
          <w:position w:val="-54"/>
        </w:rPr>
        <w:drawing>
          <wp:inline distT="0" distB="0" distL="0" distR="0">
            <wp:extent cx="1714500" cy="1714500"/>
            <wp:effectExtent l="0" t="0" r="0" b="0"/>
            <wp:docPr id="16" name="IM 16"/>
            <wp:cNvGraphicFramePr/>
            <a:graphic>
              <a:graphicData uri="http://schemas.openxmlformats.org/drawingml/2006/picture">
                <pic:pic>
                  <pic:nvPicPr>
                    <pic:cNvPr id="16" name="IM 16"/>
                    <pic:cNvPicPr/>
                  </pic:nvPicPr>
                  <pic:blipFill>
                    <a:blip r:embed="rId9"/>
                    <a:stretch>
                      <a:fillRect/>
                    </a:stretch>
                  </pic:blipFill>
                  <pic:spPr>
                    <a:xfrm rot="0">
                      <a:off x="0" y="0"/>
                      <a:ext cx="1714500" cy="1714500"/>
                    </a:xfrm>
                    <a:prstGeom prst="rect">
                      <a:avLst/>
                    </a:prstGeom>
                  </pic:spPr>
                </pic:pic>
              </a:graphicData>
            </a:graphic>
          </wp:inline>
        </w:drawing>
      </w:r>
    </w:p>
    <w:p>
      <w:pPr>
        <w:ind w:left="2465"/>
        <w:spacing w:before="299"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关于年报期间进一步落实独立董事改革要求的工作通知</w:t>
      </w:r>
    </w:p>
    <w:p>
      <w:pPr>
        <w:spacing w:line="184" w:lineRule="auto"/>
        <w:sectPr>
          <w:pgSz w:w="11910" w:h="16840"/>
          <w:pgMar w:top="400" w:right="457" w:bottom="0" w:left="931" w:header="0" w:footer="0" w:gutter="0"/>
        </w:sectPr>
        <w:rPr>
          <w:rFonts w:ascii="Microsoft YaHei" w:hAnsi="Microsoft YaHei" w:eastAsia="Microsoft YaHei" w:cs="Microsoft YaHei"/>
          <w:sz w:val="24"/>
          <w:szCs w:val="24"/>
        </w:rPr>
      </w:pPr>
    </w:p>
    <w:p>
      <w:pPr>
        <w:pStyle w:val="BodyText"/>
        <w:spacing w:line="268" w:lineRule="auto"/>
        <w:rPr/>
      </w:pPr>
      <w:r>
        <w:pict>
          <v:rect id="_x0000_s10" style="position:absolute;margin-left:67.8pt;margin-top:91.8pt;mso-position-vertical-relative:page;mso-position-horizontal-relative:page;width:525.65pt;height:2.65pt;z-index:251673600;" o:allowincell="f" fillcolor="#A61C20" filled="true" stroked="false"/>
        </w:pict>
      </w:r>
      <w:r>
        <w:pict>
          <v:group id="_x0000_s12" style="position:absolute;margin-left:0pt;margin-top:38.04pt;mso-position-vertical-relative:page;mso-position-horizontal-relative:page;width:67.85pt;height:56.8pt;z-index:251672576;" o:allowincell="f" filled="false" stroked="false" coordsize="1356,1135" coordorigin="0,0">
            <v:shape id="_x0000_s14" style="position:absolute;left:0;top:0;width:1356;height:1135;" fillcolor="#A61C20" filled="true" stroked="false" coordsize="1356,1135" coordorigin="0,0" path="m,l1356,0l1356,1135l0,1135l0,0xe"/>
            <v:shape id="_x0000_s16"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pStyle w:val="BodyText"/>
        <w:spacing w:line="268" w:lineRule="auto"/>
        <w:rPr/>
      </w:pP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8"/>
        </w:rPr>
        <w:t>监管动态</w:t>
      </w:r>
    </w:p>
    <w:p>
      <w:pPr>
        <w:pStyle w:val="BodyText"/>
        <w:spacing w:line="268" w:lineRule="auto"/>
        <w:rPr/>
      </w:pPr>
      <w:r/>
    </w:p>
    <w:p>
      <w:pPr>
        <w:pStyle w:val="BodyText"/>
        <w:spacing w:line="268"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10"/>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4"/>
                      </w:rPr>
                      <w:t>市场监管概览</w:t>
                    </w:r>
                  </w:p>
                </w:txbxContent>
              </v:textbox>
            </v:shape>
          </v:group>
        </w:pict>
      </w:r>
    </w:p>
    <w:p>
      <w:pPr>
        <w:pStyle w:val="BodyText"/>
        <w:spacing w:line="314" w:lineRule="auto"/>
        <w:rPr/>
      </w:pPr>
      <w:r/>
    </w:p>
    <w:p>
      <w:pPr>
        <w:ind w:left="446" w:right="239" w:firstLine="456"/>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2024年3月11日-3月17日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2"/>
        </w:rPr>
        <w:t>，证监会作出6份监管文书；证</w:t>
      </w:r>
      <w:r>
        <w:rPr>
          <w:rFonts w:ascii="Microsoft YaHei" w:hAnsi="Microsoft YaHei" w:eastAsia="Microsoft YaHei" w:cs="Microsoft YaHei"/>
          <w:sz w:val="22"/>
          <w:szCs w:val="22"/>
          <w:spacing w:val="-3"/>
        </w:rPr>
        <w:t>监局作出25份监管文书；上交所作出14份监管文书；深</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交所作出15份监管文书。</w:t>
      </w:r>
    </w:p>
    <w:p>
      <w:pPr>
        <w:pStyle w:val="BodyText"/>
        <w:spacing w:line="272" w:lineRule="auto"/>
        <w:rPr/>
      </w:pPr>
      <w:r/>
    </w:p>
    <w:p>
      <w:pPr>
        <w:ind w:left="457" w:right="458" w:firstLine="433"/>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上周  ，证监会作出1份行政处罚决定事先告知书</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3"/>
        </w:rPr>
        <w:t>，2份行政处罚决定书，对3个对象进行立案调查；证监局作出</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5份行政处罚决定事先告知书</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4"/>
        </w:rPr>
        <w:t>，6份行政处罚决定书</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4"/>
        </w:rPr>
        <w:t>，14份行政监管措施决定书。</w:t>
      </w:r>
    </w:p>
    <w:p>
      <w:pPr>
        <w:pStyle w:val="BodyText"/>
        <w:spacing w:line="277" w:lineRule="auto"/>
        <w:rPr/>
      </w:pPr>
      <w:r/>
    </w:p>
    <w:p>
      <w:pPr>
        <w:ind w:left="463" w:right="585" w:firstLine="429"/>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上周  ，上交所公司监管部门作出9份监管警示函</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，对5宗行为予以纪律处分。同时，加大信息披露和股价</w:t>
      </w:r>
      <w:r>
        <w:rPr>
          <w:rFonts w:ascii="Microsoft YaHei" w:hAnsi="Microsoft YaHei" w:eastAsia="Microsoft YaHei" w:cs="Microsoft YaHei"/>
          <w:sz w:val="22"/>
          <w:szCs w:val="22"/>
          <w:spacing w:val="-4"/>
        </w:rPr>
        <w:t>异常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的联动监管</w:t>
      </w:r>
      <w:r>
        <w:rPr>
          <w:rFonts w:ascii="Microsoft YaHei" w:hAnsi="Microsoft YaHei" w:eastAsia="Microsoft YaHei" w:cs="Microsoft YaHei"/>
          <w:sz w:val="22"/>
          <w:szCs w:val="22"/>
          <w:spacing w:val="-25"/>
        </w:rPr>
        <w:t xml:space="preserve"> </w:t>
      </w:r>
      <w:r>
        <w:rPr>
          <w:rFonts w:ascii="Microsoft YaHei" w:hAnsi="Microsoft YaHei" w:eastAsia="Microsoft YaHei" w:cs="Microsoft YaHei"/>
          <w:sz w:val="22"/>
          <w:szCs w:val="22"/>
          <w:spacing w:val="-3"/>
        </w:rPr>
        <w:t>，针对公司披露敏感信息或股价发生明显异常的，提请启动内幕交易、异常交易核查49单。</w:t>
      </w:r>
    </w:p>
    <w:p>
      <w:pPr>
        <w:pStyle w:val="BodyText"/>
        <w:spacing w:line="276" w:lineRule="auto"/>
        <w:rPr/>
      </w:pPr>
      <w:r/>
    </w:p>
    <w:p>
      <w:pPr>
        <w:ind w:left="893"/>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上周  ，深交所发出12份监管函</w:t>
      </w:r>
      <w:r>
        <w:rPr>
          <w:rFonts w:ascii="Microsoft YaHei" w:hAnsi="Microsoft YaHei" w:eastAsia="Microsoft YaHei" w:cs="Microsoft YaHei"/>
          <w:sz w:val="22"/>
          <w:szCs w:val="22"/>
          <w:spacing w:val="-20"/>
        </w:rPr>
        <w:t xml:space="preserve"> </w:t>
      </w:r>
      <w:r>
        <w:rPr>
          <w:rFonts w:ascii="Microsoft YaHei" w:hAnsi="Microsoft YaHei" w:eastAsia="Microsoft YaHei" w:cs="Microsoft YaHei"/>
          <w:sz w:val="22"/>
          <w:szCs w:val="22"/>
          <w:spacing w:val="-4"/>
        </w:rPr>
        <w:t>，对3宗行为予以纪律处分；共发出关注函2份</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4"/>
        </w:rPr>
        <w:t>，年报问询函1份。</w:t>
      </w:r>
    </w:p>
    <w:p>
      <w:pPr>
        <w:pStyle w:val="BodyText"/>
        <w:spacing w:line="318" w:lineRule="auto"/>
        <w:rPr/>
      </w:pPr>
      <w:r/>
    </w:p>
    <w:p>
      <w:pPr>
        <w:ind w:firstLine="1930"/>
        <w:spacing w:before="1" w:line="3315" w:lineRule="exact"/>
        <w:rPr/>
      </w:pPr>
      <w:r>
        <w:rPr>
          <w:position w:val="-66"/>
        </w:rPr>
        <w:drawing>
          <wp:inline distT="0" distB="0" distL="0" distR="0">
            <wp:extent cx="5137784" cy="2105025"/>
            <wp:effectExtent l="0" t="0" r="0" b="0"/>
            <wp:docPr id="18" name="IM 18"/>
            <wp:cNvGraphicFramePr/>
            <a:graphic>
              <a:graphicData uri="http://schemas.openxmlformats.org/drawingml/2006/picture">
                <pic:pic>
                  <pic:nvPicPr>
                    <pic:cNvPr id="18" name="IM 18"/>
                    <pic:cNvPicPr/>
                  </pic:nvPicPr>
                  <pic:blipFill>
                    <a:blip r:embed="rId11"/>
                    <a:stretch>
                      <a:fillRect/>
                    </a:stretch>
                  </pic:blipFill>
                  <pic:spPr>
                    <a:xfrm rot="0">
                      <a:off x="0" y="0"/>
                      <a:ext cx="5137784" cy="2105025"/>
                    </a:xfrm>
                    <a:prstGeom prst="rect">
                      <a:avLst/>
                    </a:prstGeom>
                  </pic:spPr>
                </pic:pic>
              </a:graphicData>
            </a:graphic>
          </wp:inline>
        </w:drawing>
      </w:r>
    </w:p>
    <w:p>
      <w:pPr>
        <w:pStyle w:val="BodyText"/>
        <w:spacing w:line="245" w:lineRule="auto"/>
        <w:rPr/>
      </w:pPr>
      <w:r/>
    </w:p>
    <w:p>
      <w:pPr>
        <w:pStyle w:val="BodyText"/>
        <w:spacing w:line="246" w:lineRule="auto"/>
        <w:rPr/>
      </w:pPr>
      <w:r/>
    </w:p>
    <w:p>
      <w:pPr>
        <w:pStyle w:val="BodyText"/>
        <w:spacing w:line="246" w:lineRule="auto"/>
        <w:rPr/>
      </w:pPr>
      <w:r/>
    </w:p>
    <w:p>
      <w:pPr>
        <w:ind w:firstLine="1848"/>
        <w:spacing w:before="1" w:line="4156" w:lineRule="exact"/>
        <w:rPr/>
      </w:pPr>
      <w:r>
        <w:rPr>
          <w:position w:val="-83"/>
        </w:rPr>
        <w:drawing>
          <wp:inline distT="0" distB="0" distL="0" distR="0">
            <wp:extent cx="5402580" cy="2639059"/>
            <wp:effectExtent l="0" t="0" r="0" b="0"/>
            <wp:docPr id="20" name="IM 20"/>
            <wp:cNvGraphicFramePr/>
            <a:graphic>
              <a:graphicData uri="http://schemas.openxmlformats.org/drawingml/2006/picture">
                <pic:pic>
                  <pic:nvPicPr>
                    <pic:cNvPr id="20" name="IM 20"/>
                    <pic:cNvPicPr/>
                  </pic:nvPicPr>
                  <pic:blipFill>
                    <a:blip r:embed="rId12"/>
                    <a:stretch>
                      <a:fillRect/>
                    </a:stretch>
                  </pic:blipFill>
                  <pic:spPr>
                    <a:xfrm rot="0">
                      <a:off x="0" y="0"/>
                      <a:ext cx="5402580" cy="2639059"/>
                    </a:xfrm>
                    <a:prstGeom prst="rect">
                      <a:avLst/>
                    </a:prstGeom>
                  </pic:spPr>
                </pic:pic>
              </a:graphicData>
            </a:graphic>
          </wp:inline>
        </w:drawing>
      </w:r>
    </w:p>
    <w:p>
      <w:pPr>
        <w:spacing w:line="4156" w:lineRule="exact"/>
        <w:sectPr>
          <w:pgSz w:w="11910" w:h="16840"/>
          <w:pgMar w:top="400" w:right="41" w:bottom="0" w:left="0" w:header="0" w:footer="0" w:gutter="0"/>
        </w:sectPr>
        <w:rPr/>
      </w:pPr>
    </w:p>
    <w:p>
      <w:pPr>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14"/>
            </v:shape>
            <v:shape id="_x0000_s28" style="position:absolute;left:-20;top:-20;width:3806;height:965;" filled="false" stroked="false" type="#_x0000_t202">
              <v:fill on="false"/>
              <v:stroke on="false"/>
              <v:path/>
              <v:imagedata o:title=""/>
              <o:lock v:ext="edit" aspectratio="false"/>
              <v:textbox inset="0mm,0mm,0mm,0mm">
                <w:txbxContent>
                  <w:p>
                    <w:pPr>
                      <w:ind w:left="391"/>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pStyle w:val="BodyText"/>
        <w:spacing w:line="317" w:lineRule="auto"/>
        <w:rPr/>
      </w:pPr>
      <w:r/>
    </w:p>
    <w:p>
      <w:pPr>
        <w:ind w:left="437" w:right="219" w:firstLine="446"/>
        <w:spacing w:before="94" w:line="203"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2024年3月11日-3月17日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，证监会作出1份行</w:t>
      </w:r>
      <w:r>
        <w:rPr>
          <w:rFonts w:ascii="Microsoft YaHei" w:hAnsi="Microsoft YaHei" w:eastAsia="Microsoft YaHei" w:cs="Microsoft YaHei"/>
          <w:sz w:val="22"/>
          <w:szCs w:val="22"/>
          <w:spacing w:val="-4"/>
        </w:rPr>
        <w:t>政处罚决定事先告知书</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4"/>
        </w:rPr>
        <w:t>，2份行政处罚决</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定书，对3个对象进行立案调查；证监局作出5份行政处罚决定事先告知书</w:t>
      </w:r>
      <w:r>
        <w:rPr>
          <w:rFonts w:ascii="Microsoft YaHei" w:hAnsi="Microsoft YaHei" w:eastAsia="Microsoft YaHei" w:cs="Microsoft YaHei"/>
          <w:sz w:val="22"/>
          <w:szCs w:val="22"/>
          <w:spacing w:val="-22"/>
        </w:rPr>
        <w:t xml:space="preserve"> </w:t>
      </w:r>
      <w:r>
        <w:rPr>
          <w:rFonts w:ascii="Microsoft YaHei" w:hAnsi="Microsoft YaHei" w:eastAsia="Microsoft YaHei" w:cs="Microsoft YaHei"/>
          <w:sz w:val="22"/>
          <w:szCs w:val="22"/>
          <w:spacing w:val="-3"/>
        </w:rPr>
        <w:t>，6份行政处罚决</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定书，</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4"/>
        </w:rPr>
        <w:t>14份行政监管措施决定书。</w:t>
      </w:r>
    </w:p>
    <w:p>
      <w:pPr>
        <w:ind w:left="241"/>
        <w:spacing w:before="93" w:line="20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4"/>
          <w:w w:val="98"/>
        </w:rPr>
        <w:t>（</w:t>
      </w:r>
      <w:r>
        <w:rPr>
          <w:rFonts w:ascii="Microsoft YaHei" w:hAnsi="Microsoft YaHei" w:eastAsia="Microsoft YaHei" w:cs="Microsoft YaHei"/>
          <w:sz w:val="24"/>
          <w:szCs w:val="24"/>
          <w:b/>
          <w:bCs/>
          <w:color w:val="333333"/>
          <w:spacing w:val="55"/>
        </w:rPr>
        <w:t xml:space="preserve"> </w:t>
      </w:r>
      <w:r>
        <w:rPr>
          <w:rFonts w:ascii="Microsoft YaHei" w:hAnsi="Microsoft YaHei" w:eastAsia="Microsoft YaHei" w:cs="Microsoft YaHei"/>
          <w:sz w:val="24"/>
          <w:szCs w:val="24"/>
          <w:b/>
          <w:bCs/>
          <w:color w:val="333333"/>
          <w:spacing w:val="-14"/>
          <w:w w:val="98"/>
        </w:rPr>
        <w:t>1</w:t>
      </w:r>
      <w:r>
        <w:rPr>
          <w:rFonts w:ascii="Microsoft YaHei" w:hAnsi="Microsoft YaHei" w:eastAsia="Microsoft YaHei" w:cs="Microsoft YaHei"/>
          <w:sz w:val="24"/>
          <w:szCs w:val="24"/>
          <w:b/>
          <w:bCs/>
          <w:color w:val="333333"/>
          <w:spacing w:val="39"/>
        </w:rPr>
        <w:t xml:space="preserve"> </w:t>
      </w:r>
      <w:r>
        <w:rPr>
          <w:rFonts w:ascii="Microsoft YaHei" w:hAnsi="Microsoft YaHei" w:eastAsia="Microsoft YaHei" w:cs="Microsoft YaHei"/>
          <w:sz w:val="24"/>
          <w:szCs w:val="24"/>
          <w:b/>
          <w:bCs/>
          <w:color w:val="333333"/>
          <w:spacing w:val="-14"/>
          <w:w w:val="98"/>
        </w:rPr>
        <w:t>）行政处罚决定书</w:t>
      </w:r>
    </w:p>
    <w:tbl>
      <w:tblPr>
        <w:tblStyle w:val="TableNormal"/>
        <w:tblW w:w="8891" w:type="dxa"/>
        <w:tblInd w:w="426"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125"/>
        <w:gridCol w:w="1091"/>
        <w:gridCol w:w="6675"/>
      </w:tblGrid>
      <w:tr>
        <w:trPr>
          <w:trHeight w:val="387" w:hRule="atLeast"/>
        </w:trPr>
        <w:tc>
          <w:tcPr>
            <w:shd w:val="clear" w:fill="4F81BD"/>
            <w:tcW w:w="1125" w:type="dxa"/>
            <w:vAlign w:val="top"/>
            <w:tcBorders>
              <w:bottom w:val="single" w:color="4F81BD" w:sz="2" w:space="0"/>
            </w:tcBorders>
          </w:tcPr>
          <w:p>
            <w:pPr>
              <w:pStyle w:val="TableText"/>
              <w:ind w:left="136"/>
              <w:spacing w:before="108" w:line="188" w:lineRule="auto"/>
              <w:rPr/>
            </w:pPr>
            <w:r>
              <w:rPr>
                <w:b/>
                <w:bCs/>
                <w:color w:val="FFFFFF"/>
                <w:spacing w:val="8"/>
              </w:rPr>
              <w:t>公司代码</w:t>
            </w:r>
          </w:p>
        </w:tc>
        <w:tc>
          <w:tcPr>
            <w:shd w:val="clear" w:fill="4F81BD"/>
            <w:tcW w:w="1091" w:type="dxa"/>
            <w:vAlign w:val="top"/>
            <w:tcBorders>
              <w:bottom w:val="single" w:color="4F81BD" w:sz="2" w:space="0"/>
            </w:tcBorders>
          </w:tcPr>
          <w:p>
            <w:pPr>
              <w:pStyle w:val="TableText"/>
              <w:ind w:left="117"/>
              <w:spacing w:before="109" w:line="187" w:lineRule="auto"/>
              <w:rPr/>
            </w:pPr>
            <w:r>
              <w:rPr>
                <w:b/>
                <w:bCs/>
                <w:color w:val="FFFFFF"/>
                <w:spacing w:val="8"/>
              </w:rPr>
              <w:t>公司简称</w:t>
            </w:r>
          </w:p>
        </w:tc>
        <w:tc>
          <w:tcPr>
            <w:shd w:val="clear" w:fill="4F81BD"/>
            <w:tcW w:w="6675" w:type="dxa"/>
            <w:vAlign w:val="top"/>
            <w:tcBorders>
              <w:bottom w:val="single" w:color="4F81BD" w:sz="2" w:space="0"/>
            </w:tcBorders>
          </w:tcPr>
          <w:p>
            <w:pPr>
              <w:pStyle w:val="TableText"/>
              <w:ind w:left="2908"/>
              <w:spacing w:before="108" w:line="188" w:lineRule="auto"/>
              <w:rPr/>
            </w:pPr>
            <w:r>
              <w:rPr>
                <w:b/>
                <w:bCs/>
                <w:color w:val="FFFFFF"/>
                <w:spacing w:val="8"/>
              </w:rPr>
              <w:t>违规行为</w:t>
            </w:r>
          </w:p>
        </w:tc>
      </w:tr>
      <w:tr>
        <w:trPr>
          <w:trHeight w:val="730" w:hRule="atLeast"/>
        </w:trPr>
        <w:tc>
          <w:tcPr>
            <w:shd w:val="clear" w:fill="B8CCE4"/>
            <w:tcW w:w="1125" w:type="dxa"/>
            <w:vAlign w:val="top"/>
            <w:tcBorders>
              <w:top w:val="single" w:color="4F81BD" w:sz="2" w:space="0"/>
            </w:tcBorders>
          </w:tcPr>
          <w:p>
            <w:pPr>
              <w:pStyle w:val="TableText"/>
              <w:ind w:left="197"/>
              <w:spacing w:before="279" w:line="179" w:lineRule="auto"/>
              <w:rPr/>
            </w:pPr>
            <w:r>
              <w:rPr>
                <w:spacing w:val="3"/>
              </w:rPr>
              <w:t>300651</w:t>
            </w:r>
          </w:p>
        </w:tc>
        <w:tc>
          <w:tcPr>
            <w:shd w:val="clear" w:fill="B8CCE4"/>
            <w:tcW w:w="1091" w:type="dxa"/>
            <w:vAlign w:val="top"/>
            <w:tcBorders>
              <w:top w:val="single" w:color="4F81BD" w:sz="2" w:space="0"/>
            </w:tcBorders>
          </w:tcPr>
          <w:p>
            <w:pPr>
              <w:pStyle w:val="TableText"/>
              <w:ind w:left="115"/>
              <w:spacing w:before="266" w:line="189" w:lineRule="auto"/>
              <w:rPr/>
            </w:pPr>
            <w:r>
              <w:rPr>
                <w:spacing w:val="9"/>
              </w:rPr>
              <w:t>金陵体育</w:t>
            </w:r>
          </w:p>
        </w:tc>
        <w:tc>
          <w:tcPr>
            <w:shd w:val="clear" w:fill="B8CCE4"/>
            <w:tcW w:w="6675" w:type="dxa"/>
            <w:vAlign w:val="top"/>
            <w:tcBorders>
              <w:top w:val="single" w:color="4F81BD" w:sz="2" w:space="0"/>
            </w:tcBorders>
          </w:tcPr>
          <w:p>
            <w:pPr>
              <w:pStyle w:val="TableText"/>
              <w:ind w:left="114" w:right="104" w:hanging="14"/>
              <w:spacing w:before="50" w:line="234" w:lineRule="auto"/>
              <w:rPr/>
            </w:pPr>
            <w:r>
              <w:rPr>
                <w:spacing w:val="12"/>
              </w:rPr>
              <w:t>持股5%以上的股东,实际控制人之一且在任职董事期间股份</w:t>
            </w:r>
            <w:r>
              <w:rPr>
                <w:b/>
                <w:bCs/>
                <w:spacing w:val="12"/>
              </w:rPr>
              <w:t>变动达到1</w:t>
            </w:r>
            <w:r>
              <w:rPr>
                <w:b/>
                <w:bCs/>
                <w:spacing w:val="2"/>
              </w:rPr>
              <w:t xml:space="preserve"> </w:t>
            </w:r>
            <w:r>
              <w:rPr>
                <w:b/>
                <w:bCs/>
                <w:spacing w:val="8"/>
              </w:rPr>
              <w:t>%</w:t>
            </w:r>
            <w:r>
              <w:rPr>
                <w:spacing w:val="8"/>
              </w:rPr>
              <w:t>未披露；存在</w:t>
            </w:r>
            <w:r>
              <w:rPr>
                <w:b/>
                <w:bCs/>
                <w:spacing w:val="8"/>
              </w:rPr>
              <w:t>短线交易</w:t>
            </w:r>
            <w:r>
              <w:rPr>
                <w:spacing w:val="8"/>
              </w:rPr>
              <w:t>行为。</w:t>
            </w:r>
          </w:p>
        </w:tc>
      </w:tr>
      <w:tr>
        <w:trPr>
          <w:trHeight w:val="724" w:hRule="atLeast"/>
        </w:trPr>
        <w:tc>
          <w:tcPr>
            <w:tcW w:w="8891" w:type="dxa"/>
            <w:vAlign w:val="top"/>
            <w:gridSpan w:val="3"/>
          </w:tcPr>
          <w:p>
            <w:pPr>
              <w:pStyle w:val="TableText"/>
              <w:ind w:left="105" w:right="106" w:firstLine="17"/>
              <w:spacing w:before="38" w:line="236" w:lineRule="auto"/>
              <w:rPr/>
            </w:pPr>
            <w:r>
              <w:rPr>
                <w:b/>
                <w:bCs/>
                <w:spacing w:val="10"/>
              </w:rPr>
              <w:t>【行政处罚决定】</w:t>
            </w:r>
            <w:r>
              <w:rPr>
                <w:spacing w:val="10"/>
              </w:rPr>
              <w:t>中国证监会决定:对时任董事、大股东、实控人之一李某峰共处罚200万元罚</w:t>
            </w:r>
            <w:r>
              <w:rPr>
                <w:spacing w:val="15"/>
                <w:w w:val="101"/>
              </w:rPr>
              <w:t xml:space="preserve"> </w:t>
            </w:r>
            <w:r>
              <w:rPr>
                <w:spacing w:val="3"/>
              </w:rPr>
              <w:t>款。</w:t>
            </w:r>
          </w:p>
        </w:tc>
      </w:tr>
      <w:tr>
        <w:trPr>
          <w:trHeight w:val="724" w:hRule="atLeast"/>
        </w:trPr>
        <w:tc>
          <w:tcPr>
            <w:shd w:val="clear" w:fill="B8CCE4"/>
            <w:tcW w:w="1125" w:type="dxa"/>
            <w:vAlign w:val="top"/>
          </w:tcPr>
          <w:p>
            <w:pPr>
              <w:pStyle w:val="TableText"/>
              <w:ind w:left="194"/>
              <w:spacing w:before="277" w:line="178" w:lineRule="auto"/>
              <w:rPr/>
            </w:pPr>
            <w:r>
              <w:rPr>
                <w:spacing w:val="3"/>
              </w:rPr>
              <w:t>600734</w:t>
            </w:r>
          </w:p>
        </w:tc>
        <w:tc>
          <w:tcPr>
            <w:shd w:val="clear" w:fill="B8CCE4"/>
            <w:tcW w:w="1091" w:type="dxa"/>
            <w:vAlign w:val="top"/>
          </w:tcPr>
          <w:p>
            <w:pPr>
              <w:pStyle w:val="TableText"/>
              <w:ind w:left="215"/>
              <w:spacing w:before="263" w:line="189" w:lineRule="auto"/>
              <w:rPr/>
            </w:pPr>
            <w:r>
              <w:rPr/>
              <w:t>ST</w:t>
            </w:r>
            <w:r>
              <w:rPr>
                <w:spacing w:val="7"/>
              </w:rPr>
              <w:t>实达</w:t>
            </w:r>
          </w:p>
        </w:tc>
        <w:tc>
          <w:tcPr>
            <w:shd w:val="clear" w:fill="B8CCE4"/>
            <w:tcW w:w="6675" w:type="dxa"/>
            <w:vAlign w:val="top"/>
          </w:tcPr>
          <w:p>
            <w:pPr>
              <w:pStyle w:val="TableText"/>
              <w:ind w:left="99" w:right="103" w:firstLine="1"/>
              <w:spacing w:before="84" w:line="220" w:lineRule="auto"/>
              <w:rPr/>
            </w:pPr>
            <w:r>
              <w:rPr>
                <w:spacing w:val="11"/>
              </w:rPr>
              <w:t>未按规定披露重要</w:t>
            </w:r>
            <w:r>
              <w:rPr>
                <w:b/>
                <w:bCs/>
                <w:spacing w:val="11"/>
              </w:rPr>
              <w:t>合同订立</w:t>
            </w:r>
            <w:r>
              <w:rPr>
                <w:spacing w:val="11"/>
              </w:rPr>
              <w:t>事项；</w:t>
            </w:r>
            <w:r>
              <w:rPr>
                <w:spacing w:val="-26"/>
              </w:rPr>
              <w:t xml:space="preserve"> </w:t>
            </w:r>
            <w:r>
              <w:rPr>
                <w:spacing w:val="11"/>
              </w:rPr>
              <w:t>2020年审计报告保留意见所涉及事</w:t>
            </w:r>
            <w:r>
              <w:rPr/>
              <w:t xml:space="preserve"> </w:t>
            </w:r>
            <w:r>
              <w:rPr>
                <w:spacing w:val="9"/>
              </w:rPr>
              <w:t>项影响已消除的临时报告存在</w:t>
            </w:r>
            <w:r>
              <w:rPr>
                <w:b/>
                <w:bCs/>
                <w:spacing w:val="9"/>
              </w:rPr>
              <w:t>虚假记载。</w:t>
            </w:r>
          </w:p>
        </w:tc>
      </w:tr>
      <w:tr>
        <w:trPr>
          <w:trHeight w:val="1805" w:hRule="atLeast"/>
        </w:trPr>
        <w:tc>
          <w:tcPr>
            <w:tcW w:w="8891" w:type="dxa"/>
            <w:vAlign w:val="top"/>
            <w:gridSpan w:val="3"/>
          </w:tcPr>
          <w:p>
            <w:pPr>
              <w:pStyle w:val="TableText"/>
              <w:ind w:left="123"/>
              <w:spacing w:before="42" w:line="237" w:lineRule="auto"/>
              <w:rPr/>
            </w:pPr>
            <w:r>
              <w:rPr>
                <w:b/>
                <w:bCs/>
                <w:spacing w:val="8"/>
              </w:rPr>
              <w:t>【行政处罚决定】</w:t>
            </w:r>
            <w:r>
              <w:rPr>
                <w:spacing w:val="8"/>
              </w:rPr>
              <w:t>中国证监会决定：</w:t>
            </w:r>
          </w:p>
          <w:p>
            <w:pPr>
              <w:pStyle w:val="TableText"/>
              <w:ind w:left="139"/>
              <w:spacing w:before="25" w:line="229" w:lineRule="auto"/>
              <w:rPr/>
            </w:pPr>
            <w:r>
              <w:rPr>
                <w:spacing w:val="7"/>
              </w:rPr>
              <w:t>（一）对福建实达集团股份有限公司责令改</w:t>
            </w:r>
            <w:r>
              <w:rPr>
                <w:spacing w:val="6"/>
              </w:rPr>
              <w:t>正</w:t>
            </w:r>
            <w:r>
              <w:rPr>
                <w:spacing w:val="-25"/>
              </w:rPr>
              <w:t xml:space="preserve"> </w:t>
            </w:r>
            <w:r>
              <w:rPr>
                <w:spacing w:val="6"/>
              </w:rPr>
              <w:t>，给予警告</w:t>
            </w:r>
            <w:r>
              <w:rPr>
                <w:spacing w:val="-28"/>
              </w:rPr>
              <w:t xml:space="preserve"> </w:t>
            </w:r>
            <w:r>
              <w:rPr>
                <w:spacing w:val="6"/>
              </w:rPr>
              <w:t>，并处以250万元罚款；</w:t>
            </w:r>
          </w:p>
          <w:p>
            <w:pPr>
              <w:pStyle w:val="TableText"/>
              <w:ind w:left="105" w:right="106" w:firstLine="33"/>
              <w:spacing w:before="32" w:line="234" w:lineRule="auto"/>
              <w:rPr/>
            </w:pPr>
            <w:r>
              <w:rPr>
                <w:spacing w:val="11"/>
              </w:rPr>
              <w:t>（二）对法定代表人,时任董事长,时任董秘,时任财务总监景某孚给予警告</w:t>
            </w:r>
            <w:r>
              <w:rPr>
                <w:spacing w:val="-11"/>
              </w:rPr>
              <w:t xml:space="preserve"> </w:t>
            </w:r>
            <w:r>
              <w:rPr>
                <w:spacing w:val="11"/>
              </w:rPr>
              <w:t>，并处以130万元罚</w:t>
            </w:r>
            <w:r>
              <w:rPr/>
              <w:t xml:space="preserve"> </w:t>
            </w:r>
            <w:r>
              <w:rPr>
                <w:spacing w:val="3"/>
              </w:rPr>
              <w:t>款；</w:t>
            </w:r>
          </w:p>
          <w:p>
            <w:pPr>
              <w:pStyle w:val="TableText"/>
              <w:ind w:left="139"/>
              <w:spacing w:before="50" w:line="216" w:lineRule="auto"/>
              <w:rPr/>
            </w:pPr>
            <w:r>
              <w:rPr>
                <w:spacing w:val="6"/>
              </w:rPr>
              <w:t>（三）对时任董事周某给予警告</w:t>
            </w:r>
            <w:r>
              <w:rPr>
                <w:spacing w:val="-20"/>
              </w:rPr>
              <w:t xml:space="preserve"> </w:t>
            </w:r>
            <w:r>
              <w:rPr>
                <w:spacing w:val="6"/>
              </w:rPr>
              <w:t>，并处以120万元罚款。</w:t>
            </w:r>
          </w:p>
        </w:tc>
      </w:tr>
      <w:tr>
        <w:trPr>
          <w:trHeight w:val="724" w:hRule="atLeast"/>
        </w:trPr>
        <w:tc>
          <w:tcPr>
            <w:shd w:val="clear" w:fill="B8CCE4"/>
            <w:tcW w:w="1125" w:type="dxa"/>
            <w:vAlign w:val="top"/>
          </w:tcPr>
          <w:p>
            <w:pPr>
              <w:pStyle w:val="TableText"/>
              <w:ind w:left="191"/>
              <w:spacing w:before="279" w:line="178" w:lineRule="auto"/>
              <w:rPr/>
            </w:pPr>
            <w:r>
              <w:rPr>
                <w:spacing w:val="3"/>
              </w:rPr>
              <w:t>002397</w:t>
            </w:r>
          </w:p>
        </w:tc>
        <w:tc>
          <w:tcPr>
            <w:shd w:val="clear" w:fill="B8CCE4"/>
            <w:tcW w:w="1091" w:type="dxa"/>
            <w:vAlign w:val="top"/>
          </w:tcPr>
          <w:p>
            <w:pPr>
              <w:pStyle w:val="TableText"/>
              <w:ind w:left="116"/>
              <w:spacing w:before="266" w:line="188" w:lineRule="auto"/>
              <w:rPr/>
            </w:pPr>
            <w:r>
              <w:rPr>
                <w:spacing w:val="8"/>
              </w:rPr>
              <w:t>梦洁股份</w:t>
            </w:r>
          </w:p>
        </w:tc>
        <w:tc>
          <w:tcPr>
            <w:shd w:val="clear" w:fill="B8CCE4"/>
            <w:tcW w:w="6675" w:type="dxa"/>
            <w:vAlign w:val="top"/>
          </w:tcPr>
          <w:p>
            <w:pPr>
              <w:pStyle w:val="TableText"/>
              <w:ind w:left="99" w:right="101" w:firstLine="3"/>
              <w:spacing w:before="47" w:line="233" w:lineRule="auto"/>
              <w:rPr/>
            </w:pPr>
            <w:r>
              <w:rPr>
                <w:spacing w:val="14"/>
              </w:rPr>
              <w:t>长沙金森作为信息披露义务人</w:t>
            </w:r>
            <w:r>
              <w:rPr>
                <w:spacing w:val="-20"/>
              </w:rPr>
              <w:t xml:space="preserve"> </w:t>
            </w:r>
            <w:r>
              <w:rPr>
                <w:spacing w:val="14"/>
              </w:rPr>
              <w:t>，在《详式权益变动报告书</w:t>
            </w:r>
            <w:r>
              <w:rPr>
                <w:spacing w:val="13"/>
              </w:rPr>
              <w:t>》关于控股</w:t>
            </w:r>
            <w:r>
              <w:rPr/>
              <w:t xml:space="preserve"> </w:t>
            </w:r>
            <w:r>
              <w:rPr>
                <w:spacing w:val="9"/>
              </w:rPr>
              <w:t>股东和实际控制人的信息披露存在</w:t>
            </w:r>
            <w:r>
              <w:rPr>
                <w:b/>
                <w:bCs/>
                <w:spacing w:val="9"/>
              </w:rPr>
              <w:t>虚假记载</w:t>
            </w:r>
            <w:r>
              <w:rPr>
                <w:spacing w:val="9"/>
              </w:rPr>
              <w:t>。</w:t>
            </w:r>
          </w:p>
        </w:tc>
      </w:tr>
      <w:tr>
        <w:trPr>
          <w:trHeight w:val="724" w:hRule="atLeast"/>
        </w:trPr>
        <w:tc>
          <w:tcPr>
            <w:tcW w:w="8891" w:type="dxa"/>
            <w:vAlign w:val="top"/>
            <w:gridSpan w:val="3"/>
          </w:tcPr>
          <w:p>
            <w:pPr>
              <w:pStyle w:val="TableText"/>
              <w:ind w:left="107" w:right="150" w:firstLine="15"/>
              <w:spacing w:before="44" w:line="234" w:lineRule="auto"/>
              <w:rPr/>
            </w:pPr>
            <w:r>
              <w:rPr>
                <w:b/>
                <w:bCs/>
                <w:spacing w:val="9"/>
              </w:rPr>
              <w:t>【行政处罚决定】</w:t>
            </w:r>
            <w:r>
              <w:rPr>
                <w:spacing w:val="9"/>
              </w:rPr>
              <w:t>中国证券监督管理委员会湖南监管局决定对长沙金森责令改正</w:t>
            </w:r>
            <w:r>
              <w:rPr>
                <w:spacing w:val="-26"/>
              </w:rPr>
              <w:t xml:space="preserve"> </w:t>
            </w:r>
            <w:r>
              <w:rPr>
                <w:spacing w:val="9"/>
              </w:rPr>
              <w:t>，给予警告，</w:t>
            </w:r>
            <w:r>
              <w:rPr/>
              <w:t xml:space="preserve"> </w:t>
            </w:r>
            <w:r>
              <w:rPr>
                <w:spacing w:val="7"/>
              </w:rPr>
              <w:t>并处以150万元罚款。</w:t>
            </w:r>
          </w:p>
        </w:tc>
      </w:tr>
      <w:tr>
        <w:trPr>
          <w:trHeight w:val="366" w:hRule="atLeast"/>
        </w:trPr>
        <w:tc>
          <w:tcPr>
            <w:shd w:val="clear" w:fill="B8CCE4"/>
            <w:tcW w:w="1125" w:type="dxa"/>
            <w:vAlign w:val="top"/>
          </w:tcPr>
          <w:p>
            <w:pPr>
              <w:pStyle w:val="TableText"/>
              <w:ind w:left="194"/>
              <w:spacing w:before="102" w:line="177" w:lineRule="auto"/>
              <w:rPr/>
            </w:pPr>
            <w:r>
              <w:rPr>
                <w:spacing w:val="3"/>
              </w:rPr>
              <w:t>603110</w:t>
            </w:r>
          </w:p>
        </w:tc>
        <w:tc>
          <w:tcPr>
            <w:shd w:val="clear" w:fill="B8CCE4"/>
            <w:tcW w:w="1091" w:type="dxa"/>
            <w:vAlign w:val="top"/>
          </w:tcPr>
          <w:p>
            <w:pPr>
              <w:pStyle w:val="TableText"/>
              <w:ind w:left="115"/>
              <w:spacing w:before="90" w:line="186" w:lineRule="auto"/>
              <w:rPr/>
            </w:pPr>
            <w:r>
              <w:rPr>
                <w:spacing w:val="8"/>
              </w:rPr>
              <w:t>东方材料</w:t>
            </w:r>
          </w:p>
        </w:tc>
        <w:tc>
          <w:tcPr>
            <w:shd w:val="clear" w:fill="B8CCE4"/>
            <w:tcW w:w="6675" w:type="dxa"/>
            <w:vAlign w:val="top"/>
          </w:tcPr>
          <w:p>
            <w:pPr>
              <w:pStyle w:val="TableText"/>
              <w:ind w:left="113"/>
              <w:spacing w:before="90" w:line="186" w:lineRule="auto"/>
              <w:rPr/>
            </w:pPr>
            <w:r>
              <w:rPr>
                <w:b/>
                <w:bCs/>
                <w:spacing w:val="6"/>
              </w:rPr>
              <w:t>内幕交易</w:t>
            </w:r>
            <w:r>
              <w:rPr>
                <w:spacing w:val="6"/>
              </w:rPr>
              <w:t>公司股票。</w:t>
            </w:r>
          </w:p>
        </w:tc>
      </w:tr>
      <w:tr>
        <w:trPr>
          <w:trHeight w:val="365" w:hRule="atLeast"/>
        </w:trPr>
        <w:tc>
          <w:tcPr>
            <w:tcW w:w="8891" w:type="dxa"/>
            <w:vAlign w:val="top"/>
            <w:gridSpan w:val="3"/>
          </w:tcPr>
          <w:p>
            <w:pPr>
              <w:pStyle w:val="TableText"/>
              <w:ind w:left="123"/>
              <w:spacing w:before="44" w:line="217" w:lineRule="auto"/>
              <w:rPr/>
            </w:pPr>
            <w:r>
              <w:rPr>
                <w:b/>
                <w:bCs/>
                <w:spacing w:val="7"/>
              </w:rPr>
              <w:t>【行政处罚决定】</w:t>
            </w:r>
            <w:r>
              <w:rPr>
                <w:spacing w:val="7"/>
              </w:rPr>
              <w:t>云南证监局决定</w:t>
            </w:r>
            <w:r>
              <w:rPr>
                <w:spacing w:val="-18"/>
              </w:rPr>
              <w:t xml:space="preserve"> </w:t>
            </w:r>
            <w:r>
              <w:rPr>
                <w:spacing w:val="7"/>
              </w:rPr>
              <w:t>：对朱某斐处以100万元罚款。</w:t>
            </w:r>
          </w:p>
        </w:tc>
      </w:tr>
      <w:tr>
        <w:trPr>
          <w:trHeight w:val="365" w:hRule="atLeast"/>
        </w:trPr>
        <w:tc>
          <w:tcPr>
            <w:shd w:val="clear" w:fill="B8CCE4"/>
            <w:tcW w:w="1125" w:type="dxa"/>
            <w:vAlign w:val="top"/>
          </w:tcPr>
          <w:p>
            <w:pPr>
              <w:pStyle w:val="TableText"/>
              <w:ind w:left="191"/>
              <w:spacing w:before="101" w:line="177" w:lineRule="auto"/>
              <w:rPr/>
            </w:pPr>
            <w:r>
              <w:rPr>
                <w:spacing w:val="3"/>
              </w:rPr>
              <w:t>002992</w:t>
            </w:r>
          </w:p>
        </w:tc>
        <w:tc>
          <w:tcPr>
            <w:shd w:val="clear" w:fill="B8CCE4"/>
            <w:tcW w:w="1091" w:type="dxa"/>
            <w:vAlign w:val="top"/>
          </w:tcPr>
          <w:p>
            <w:pPr>
              <w:pStyle w:val="TableText"/>
              <w:ind w:left="118"/>
              <w:spacing w:before="87" w:line="187" w:lineRule="auto"/>
              <w:rPr/>
            </w:pPr>
            <w:r>
              <w:rPr>
                <w:spacing w:val="8"/>
              </w:rPr>
              <w:t>宝明科技</w:t>
            </w:r>
          </w:p>
        </w:tc>
        <w:tc>
          <w:tcPr>
            <w:shd w:val="clear" w:fill="B8CCE4"/>
            <w:tcW w:w="6675" w:type="dxa"/>
            <w:vAlign w:val="top"/>
          </w:tcPr>
          <w:p>
            <w:pPr>
              <w:pStyle w:val="TableText"/>
              <w:ind w:left="113"/>
              <w:spacing w:before="87" w:line="187" w:lineRule="auto"/>
              <w:rPr/>
            </w:pPr>
            <w:r>
              <w:rPr>
                <w:b/>
                <w:bCs/>
                <w:spacing w:val="6"/>
              </w:rPr>
              <w:t>内幕交易</w:t>
            </w:r>
            <w:r>
              <w:rPr>
                <w:spacing w:val="6"/>
              </w:rPr>
              <w:t>公司股票。</w:t>
            </w:r>
          </w:p>
        </w:tc>
      </w:tr>
      <w:tr>
        <w:trPr>
          <w:trHeight w:val="725" w:hRule="atLeast"/>
        </w:trPr>
        <w:tc>
          <w:tcPr>
            <w:tcW w:w="8891" w:type="dxa"/>
            <w:vAlign w:val="top"/>
            <w:gridSpan w:val="3"/>
          </w:tcPr>
          <w:p>
            <w:pPr>
              <w:pStyle w:val="TableText"/>
              <w:ind w:left="124" w:right="103" w:hanging="1"/>
              <w:spacing w:before="45" w:line="234" w:lineRule="auto"/>
              <w:rPr/>
            </w:pPr>
            <w:r>
              <w:rPr>
                <w:b/>
                <w:bCs/>
                <w:spacing w:val="34"/>
              </w:rPr>
              <w:t>【</w:t>
            </w:r>
            <w:r>
              <w:rPr>
                <w:b/>
                <w:bCs/>
                <w:spacing w:val="-13"/>
              </w:rPr>
              <w:t xml:space="preserve"> </w:t>
            </w:r>
            <w:r>
              <w:rPr>
                <w:b/>
                <w:bCs/>
                <w:spacing w:val="34"/>
              </w:rPr>
              <w:t>行政处罚决定</w:t>
            </w:r>
            <w:r>
              <w:rPr>
                <w:b/>
                <w:bCs/>
                <w:spacing w:val="-15"/>
              </w:rPr>
              <w:t xml:space="preserve"> </w:t>
            </w:r>
            <w:r>
              <w:rPr>
                <w:b/>
                <w:bCs/>
                <w:spacing w:val="34"/>
              </w:rPr>
              <w:t>】</w:t>
            </w:r>
            <w:r>
              <w:rPr>
                <w:b/>
                <w:bCs/>
                <w:spacing w:val="-4"/>
              </w:rPr>
              <w:t xml:space="preserve"> </w:t>
            </w:r>
            <w:r>
              <w:rPr>
                <w:spacing w:val="34"/>
              </w:rPr>
              <w:t>中国证券监督管理委员会深圳监管局决定</w:t>
            </w:r>
            <w:r>
              <w:rPr>
                <w:spacing w:val="-23"/>
              </w:rPr>
              <w:t xml:space="preserve"> </w:t>
            </w:r>
            <w:r>
              <w:rPr>
                <w:spacing w:val="34"/>
              </w:rPr>
              <w:t>：</w:t>
            </w:r>
            <w:r>
              <w:rPr>
                <w:spacing w:val="-17"/>
              </w:rPr>
              <w:t xml:space="preserve"> </w:t>
            </w:r>
            <w:r>
              <w:rPr>
                <w:spacing w:val="34"/>
              </w:rPr>
              <w:t>没收金某宇违法</w:t>
            </w:r>
            <w:r>
              <w:rPr>
                <w:spacing w:val="33"/>
              </w:rPr>
              <w:t>所得</w:t>
            </w:r>
            <w:r>
              <w:rPr/>
              <w:t xml:space="preserve"> </w:t>
            </w:r>
            <w:r>
              <w:rPr>
                <w:spacing w:val="4"/>
              </w:rPr>
              <w:t>1,395,205.89元</w:t>
            </w:r>
            <w:r>
              <w:rPr>
                <w:spacing w:val="-17"/>
              </w:rPr>
              <w:t xml:space="preserve"> </w:t>
            </w:r>
            <w:r>
              <w:rPr>
                <w:spacing w:val="4"/>
              </w:rPr>
              <w:t>，并处以2,790,411.78元罚款。</w:t>
            </w:r>
          </w:p>
        </w:tc>
      </w:tr>
      <w:tr>
        <w:trPr>
          <w:trHeight w:val="1443" w:hRule="atLeast"/>
        </w:trPr>
        <w:tc>
          <w:tcPr>
            <w:shd w:val="clear" w:fill="B8CCE4"/>
            <w:tcW w:w="1125" w:type="dxa"/>
            <w:vAlign w:val="top"/>
          </w:tcPr>
          <w:p>
            <w:pPr>
              <w:spacing w:line="276" w:lineRule="auto"/>
              <w:rPr>
                <w:rFonts w:ascii="Arial"/>
                <w:sz w:val="21"/>
              </w:rPr>
            </w:pPr>
            <w:r/>
          </w:p>
          <w:p>
            <w:pPr>
              <w:spacing w:line="277" w:lineRule="auto"/>
              <w:rPr>
                <w:rFonts w:ascii="Arial"/>
                <w:sz w:val="21"/>
              </w:rPr>
            </w:pPr>
            <w:r/>
          </w:p>
          <w:p>
            <w:pPr>
              <w:pStyle w:val="TableText"/>
              <w:ind w:left="191"/>
              <w:spacing w:before="86" w:line="178" w:lineRule="auto"/>
              <w:rPr/>
            </w:pPr>
            <w:r>
              <w:rPr>
                <w:spacing w:val="3"/>
              </w:rPr>
              <w:t>002397</w:t>
            </w:r>
          </w:p>
        </w:tc>
        <w:tc>
          <w:tcPr>
            <w:shd w:val="clear" w:fill="B8CCE4"/>
            <w:tcW w:w="1091" w:type="dxa"/>
            <w:vAlign w:val="top"/>
          </w:tcPr>
          <w:p>
            <w:pPr>
              <w:spacing w:line="270" w:lineRule="auto"/>
              <w:rPr>
                <w:rFonts w:ascii="Arial"/>
                <w:sz w:val="21"/>
              </w:rPr>
            </w:pPr>
            <w:r/>
          </w:p>
          <w:p>
            <w:pPr>
              <w:spacing w:line="270" w:lineRule="auto"/>
              <w:rPr>
                <w:rFonts w:ascii="Arial"/>
                <w:sz w:val="21"/>
              </w:rPr>
            </w:pPr>
            <w:r/>
          </w:p>
          <w:p>
            <w:pPr>
              <w:pStyle w:val="TableText"/>
              <w:ind w:left="116"/>
              <w:spacing w:before="86" w:line="188" w:lineRule="auto"/>
              <w:rPr/>
            </w:pPr>
            <w:r>
              <w:rPr>
                <w:spacing w:val="8"/>
              </w:rPr>
              <w:t>梦洁股份</w:t>
            </w:r>
          </w:p>
        </w:tc>
        <w:tc>
          <w:tcPr>
            <w:shd w:val="clear" w:fill="B8CCE4"/>
            <w:tcW w:w="6675" w:type="dxa"/>
            <w:vAlign w:val="top"/>
          </w:tcPr>
          <w:p>
            <w:pPr>
              <w:pStyle w:val="TableText"/>
              <w:ind w:left="99" w:right="101" w:firstLine="3"/>
              <w:spacing w:before="48" w:line="242" w:lineRule="auto"/>
              <w:jc w:val="both"/>
              <w:rPr/>
            </w:pPr>
            <w:r>
              <w:rPr>
                <w:spacing w:val="14"/>
              </w:rPr>
              <w:t>长沙金森作为信息披露义务人</w:t>
            </w:r>
            <w:r>
              <w:rPr>
                <w:spacing w:val="-20"/>
              </w:rPr>
              <w:t xml:space="preserve"> </w:t>
            </w:r>
            <w:r>
              <w:rPr>
                <w:spacing w:val="14"/>
              </w:rPr>
              <w:t>，在《详式权益变动报告书</w:t>
            </w:r>
            <w:r>
              <w:rPr>
                <w:spacing w:val="13"/>
              </w:rPr>
              <w:t>》关于控股</w:t>
            </w:r>
            <w:r>
              <w:rPr/>
              <w:t xml:space="preserve"> </w:t>
            </w:r>
            <w:r>
              <w:rPr>
                <w:spacing w:val="15"/>
              </w:rPr>
              <w:t>股东和实际控制人的信息披露存在</w:t>
            </w:r>
            <w:r>
              <w:rPr>
                <w:b/>
                <w:bCs/>
                <w:spacing w:val="15"/>
              </w:rPr>
              <w:t>虚假记载</w:t>
            </w:r>
            <w:r>
              <w:rPr>
                <w:spacing w:val="15"/>
              </w:rPr>
              <w:t>。长沙金森的法定代表人</w:t>
            </w:r>
            <w:r>
              <w:rPr>
                <w:spacing w:val="5"/>
              </w:rPr>
              <w:t xml:space="preserve"> </w:t>
            </w:r>
            <w:r>
              <w:rPr>
                <w:spacing w:val="14"/>
              </w:rPr>
              <w:t>、总经理未如实告知代持股份的事实</w:t>
            </w:r>
            <w:r>
              <w:rPr>
                <w:spacing w:val="-21"/>
              </w:rPr>
              <w:t xml:space="preserve"> </w:t>
            </w:r>
            <w:r>
              <w:rPr>
                <w:spacing w:val="14"/>
              </w:rPr>
              <w:t>，参与、实施信息披露违法行为</w:t>
            </w:r>
            <w:r>
              <w:rPr/>
              <w:t xml:space="preserve"> </w:t>
            </w:r>
            <w:r>
              <w:rPr>
                <w:spacing w:val="9"/>
              </w:rPr>
              <w:t>,  导致长沙金森所披露的信息存在虚假记载</w:t>
            </w:r>
            <w:r>
              <w:rPr>
                <w:spacing w:val="-28"/>
              </w:rPr>
              <w:t xml:space="preserve"> </w:t>
            </w:r>
            <w:r>
              <w:rPr>
                <w:spacing w:val="9"/>
              </w:rPr>
              <w:t>，是其他直接责任人员。</w:t>
            </w:r>
          </w:p>
        </w:tc>
      </w:tr>
      <w:tr>
        <w:trPr>
          <w:trHeight w:val="725" w:hRule="atLeast"/>
        </w:trPr>
        <w:tc>
          <w:tcPr>
            <w:tcW w:w="8891" w:type="dxa"/>
            <w:vAlign w:val="top"/>
            <w:gridSpan w:val="3"/>
          </w:tcPr>
          <w:p>
            <w:pPr>
              <w:pStyle w:val="TableText"/>
              <w:ind w:left="109" w:right="103" w:firstLine="13"/>
              <w:spacing w:before="48" w:line="233" w:lineRule="auto"/>
              <w:rPr/>
            </w:pPr>
            <w:r>
              <w:rPr>
                <w:b/>
                <w:bCs/>
                <w:spacing w:val="11"/>
              </w:rPr>
              <w:t>【行政处罚决定】</w:t>
            </w:r>
            <w:r>
              <w:rPr>
                <w:spacing w:val="11"/>
              </w:rPr>
              <w:t>中国证券监督管理委员会湖南监管局决定对刘某茗给予警告</w:t>
            </w:r>
            <w:r>
              <w:rPr>
                <w:spacing w:val="-24"/>
              </w:rPr>
              <w:t xml:space="preserve"> </w:t>
            </w:r>
            <w:r>
              <w:rPr>
                <w:spacing w:val="11"/>
              </w:rPr>
              <w:t>，处以100</w:t>
            </w:r>
            <w:r>
              <w:rPr>
                <w:spacing w:val="10"/>
              </w:rPr>
              <w:t>万元</w:t>
            </w:r>
            <w:r>
              <w:rPr/>
              <w:t xml:space="preserve"> </w:t>
            </w:r>
            <w:r>
              <w:rPr>
                <w:spacing w:val="3"/>
              </w:rPr>
              <w:t>罚款。</w:t>
            </w:r>
          </w:p>
        </w:tc>
      </w:tr>
      <w:tr>
        <w:trPr>
          <w:trHeight w:val="2164" w:hRule="atLeast"/>
        </w:trPr>
        <w:tc>
          <w:tcPr>
            <w:shd w:val="clear" w:fill="B8CCE4"/>
            <w:tcW w:w="1125" w:type="dxa"/>
            <w:vAlign w:val="top"/>
          </w:tcPr>
          <w:p>
            <w:pPr>
              <w:spacing w:line="305" w:lineRule="auto"/>
              <w:rPr>
                <w:rFonts w:ascii="Arial"/>
                <w:sz w:val="21"/>
              </w:rPr>
            </w:pPr>
            <w:r/>
          </w:p>
          <w:p>
            <w:pPr>
              <w:spacing w:line="305" w:lineRule="auto"/>
              <w:rPr>
                <w:rFonts w:ascii="Arial"/>
                <w:sz w:val="21"/>
              </w:rPr>
            </w:pPr>
            <w:r/>
          </w:p>
          <w:p>
            <w:pPr>
              <w:spacing w:line="306" w:lineRule="auto"/>
              <w:rPr>
                <w:rFonts w:ascii="Arial"/>
                <w:sz w:val="21"/>
              </w:rPr>
            </w:pPr>
            <w:r/>
          </w:p>
          <w:p>
            <w:pPr>
              <w:pStyle w:val="TableText"/>
              <w:ind w:left="191"/>
              <w:spacing w:before="86" w:line="178" w:lineRule="auto"/>
              <w:rPr/>
            </w:pPr>
            <w:r>
              <w:rPr>
                <w:spacing w:val="3"/>
              </w:rPr>
              <w:t>002397</w:t>
            </w:r>
          </w:p>
        </w:tc>
        <w:tc>
          <w:tcPr>
            <w:shd w:val="clear" w:fill="B8CCE4"/>
            <w:tcW w:w="1091" w:type="dxa"/>
            <w:vAlign w:val="top"/>
          </w:tcPr>
          <w:p>
            <w:pPr>
              <w:spacing w:line="301" w:lineRule="auto"/>
              <w:rPr>
                <w:rFonts w:ascii="Arial"/>
                <w:sz w:val="21"/>
              </w:rPr>
            </w:pPr>
            <w:r/>
          </w:p>
          <w:p>
            <w:pPr>
              <w:spacing w:line="301" w:lineRule="auto"/>
              <w:rPr>
                <w:rFonts w:ascii="Arial"/>
                <w:sz w:val="21"/>
              </w:rPr>
            </w:pPr>
            <w:r/>
          </w:p>
          <w:p>
            <w:pPr>
              <w:spacing w:line="301" w:lineRule="auto"/>
              <w:rPr>
                <w:rFonts w:ascii="Arial"/>
                <w:sz w:val="21"/>
              </w:rPr>
            </w:pPr>
            <w:r/>
          </w:p>
          <w:p>
            <w:pPr>
              <w:pStyle w:val="TableText"/>
              <w:ind w:left="116"/>
              <w:spacing w:before="86" w:line="188" w:lineRule="auto"/>
              <w:rPr/>
            </w:pPr>
            <w:r>
              <w:rPr>
                <w:spacing w:val="8"/>
              </w:rPr>
              <w:t>梦洁股份</w:t>
            </w:r>
          </w:p>
        </w:tc>
        <w:tc>
          <w:tcPr>
            <w:shd w:val="clear" w:fill="B8CCE4"/>
            <w:tcW w:w="6675" w:type="dxa"/>
            <w:vAlign w:val="top"/>
          </w:tcPr>
          <w:p>
            <w:pPr>
              <w:pStyle w:val="TableText"/>
              <w:ind w:left="99" w:right="101" w:firstLine="3"/>
              <w:spacing w:before="52" w:line="245" w:lineRule="auto"/>
              <w:jc w:val="both"/>
              <w:rPr/>
            </w:pPr>
            <w:r>
              <w:rPr>
                <w:spacing w:val="14"/>
              </w:rPr>
              <w:t>长沙金森作为信息披露义务人</w:t>
            </w:r>
            <w:r>
              <w:rPr>
                <w:spacing w:val="-20"/>
              </w:rPr>
              <w:t xml:space="preserve"> </w:t>
            </w:r>
            <w:r>
              <w:rPr>
                <w:spacing w:val="14"/>
              </w:rPr>
              <w:t>，在《详式权益变动报告书</w:t>
            </w:r>
            <w:r>
              <w:rPr>
                <w:spacing w:val="13"/>
              </w:rPr>
              <w:t>》关于控股</w:t>
            </w:r>
            <w:r>
              <w:rPr/>
              <w:t xml:space="preserve"> </w:t>
            </w:r>
            <w:r>
              <w:rPr>
                <w:spacing w:val="15"/>
              </w:rPr>
              <w:t>股东和实际控制人的信息披露存在</w:t>
            </w:r>
            <w:r>
              <w:rPr>
                <w:b/>
                <w:bCs/>
                <w:spacing w:val="15"/>
              </w:rPr>
              <w:t>虚假记载</w:t>
            </w:r>
            <w:r>
              <w:rPr>
                <w:spacing w:val="15"/>
              </w:rPr>
              <w:t>。长沙金森的实际控制人</w:t>
            </w:r>
            <w:r>
              <w:rPr>
                <w:spacing w:val="5"/>
              </w:rPr>
              <w:t xml:space="preserve"> </w:t>
            </w:r>
            <w:r>
              <w:rPr>
                <w:spacing w:val="14"/>
              </w:rPr>
              <w:t>,  筹措资金、设立长沙金森用于收购梦洁股份</w:t>
            </w:r>
            <w:r>
              <w:rPr>
                <w:spacing w:val="-17"/>
              </w:rPr>
              <w:t xml:space="preserve"> </w:t>
            </w:r>
            <w:r>
              <w:rPr>
                <w:spacing w:val="14"/>
              </w:rPr>
              <w:t>，安排李某富、刘某茗</w:t>
            </w:r>
            <w:r>
              <w:rPr/>
              <w:t xml:space="preserve"> </w:t>
            </w:r>
            <w:r>
              <w:rPr>
                <w:spacing w:val="14"/>
              </w:rPr>
              <w:t>为长沙金森的名义上的股东。未如实告知代持股份的事实</w:t>
            </w:r>
            <w:r>
              <w:rPr>
                <w:spacing w:val="-22"/>
              </w:rPr>
              <w:t xml:space="preserve"> </w:t>
            </w:r>
            <w:r>
              <w:rPr>
                <w:spacing w:val="14"/>
              </w:rPr>
              <w:t>，组织、指</w:t>
            </w:r>
            <w:r>
              <w:rPr/>
              <w:t xml:space="preserve"> </w:t>
            </w:r>
            <w:r>
              <w:rPr>
                <w:spacing w:val="14"/>
              </w:rPr>
              <w:t>使从事信息披露违法行为</w:t>
            </w:r>
            <w:r>
              <w:rPr>
                <w:spacing w:val="-21"/>
              </w:rPr>
              <w:t xml:space="preserve"> </w:t>
            </w:r>
            <w:r>
              <w:rPr>
                <w:spacing w:val="14"/>
              </w:rPr>
              <w:t>，导致长沙金森所披露的信息存在虚假记载</w:t>
            </w:r>
          </w:p>
          <w:p>
            <w:pPr>
              <w:pStyle w:val="TableText"/>
              <w:ind w:left="110"/>
              <w:spacing w:before="238" w:line="112" w:lineRule="exact"/>
              <w:rPr/>
            </w:pPr>
            <w:r>
              <w:rPr>
                <w:position w:val="3"/>
              </w:rPr>
              <w:t>。</w:t>
            </w:r>
          </w:p>
        </w:tc>
      </w:tr>
      <w:tr>
        <w:trPr>
          <w:trHeight w:val="725" w:hRule="atLeast"/>
        </w:trPr>
        <w:tc>
          <w:tcPr>
            <w:tcW w:w="8891" w:type="dxa"/>
            <w:vAlign w:val="top"/>
            <w:gridSpan w:val="3"/>
          </w:tcPr>
          <w:p>
            <w:pPr>
              <w:pStyle w:val="TableText"/>
              <w:ind w:left="106" w:right="103" w:firstLine="16"/>
              <w:spacing w:before="51" w:line="232" w:lineRule="auto"/>
              <w:rPr/>
            </w:pPr>
            <w:r>
              <w:rPr>
                <w:b/>
                <w:bCs/>
                <w:spacing w:val="11"/>
              </w:rPr>
              <w:t>【行政处罚决定】</w:t>
            </w:r>
            <w:r>
              <w:rPr>
                <w:spacing w:val="11"/>
              </w:rPr>
              <w:t>中国证券监督管理委员会湖南监管局决定对刘某安给予警告</w:t>
            </w:r>
            <w:r>
              <w:rPr>
                <w:spacing w:val="-24"/>
              </w:rPr>
              <w:t xml:space="preserve"> </w:t>
            </w:r>
            <w:r>
              <w:rPr>
                <w:spacing w:val="11"/>
              </w:rPr>
              <w:t>，并处以15</w:t>
            </w:r>
            <w:r>
              <w:rPr>
                <w:spacing w:val="10"/>
              </w:rPr>
              <w:t>0万</w:t>
            </w:r>
            <w:r>
              <w:rPr/>
              <w:t xml:space="preserve"> </w:t>
            </w:r>
            <w:r>
              <w:rPr>
                <w:spacing w:val="6"/>
              </w:rPr>
              <w:t>元罚款。</w:t>
            </w:r>
          </w:p>
        </w:tc>
      </w:tr>
      <w:tr>
        <w:trPr>
          <w:trHeight w:val="732" w:hRule="atLeast"/>
        </w:trPr>
        <w:tc>
          <w:tcPr>
            <w:shd w:val="clear" w:fill="B8CCE4"/>
            <w:tcW w:w="1125" w:type="dxa"/>
            <w:vAlign w:val="top"/>
          </w:tcPr>
          <w:p>
            <w:pPr>
              <w:pStyle w:val="TableText"/>
              <w:ind w:left="191"/>
              <w:spacing w:before="290" w:line="178" w:lineRule="auto"/>
              <w:rPr/>
            </w:pPr>
            <w:r>
              <w:rPr>
                <w:spacing w:val="3"/>
              </w:rPr>
              <w:t>002397</w:t>
            </w:r>
          </w:p>
        </w:tc>
        <w:tc>
          <w:tcPr>
            <w:shd w:val="clear" w:fill="B8CCE4"/>
            <w:tcW w:w="1091" w:type="dxa"/>
            <w:vAlign w:val="top"/>
          </w:tcPr>
          <w:p>
            <w:pPr>
              <w:pStyle w:val="TableText"/>
              <w:ind w:left="116"/>
              <w:spacing w:before="276" w:line="188" w:lineRule="auto"/>
              <w:rPr/>
            </w:pPr>
            <w:r>
              <w:rPr>
                <w:spacing w:val="8"/>
              </w:rPr>
              <w:t>梦洁股份</w:t>
            </w:r>
          </w:p>
        </w:tc>
        <w:tc>
          <w:tcPr>
            <w:shd w:val="clear" w:fill="B8CCE4"/>
            <w:tcW w:w="6675" w:type="dxa"/>
            <w:vAlign w:val="top"/>
          </w:tcPr>
          <w:p>
            <w:pPr>
              <w:pStyle w:val="TableText"/>
              <w:ind w:left="99" w:right="101" w:firstLine="3"/>
              <w:spacing w:before="55" w:line="233" w:lineRule="auto"/>
              <w:rPr/>
            </w:pPr>
            <w:r>
              <w:rPr>
                <w:spacing w:val="14"/>
              </w:rPr>
              <w:t>长沙金森作为信息披露义务人</w:t>
            </w:r>
            <w:r>
              <w:rPr>
                <w:spacing w:val="-20"/>
              </w:rPr>
              <w:t xml:space="preserve"> </w:t>
            </w:r>
            <w:r>
              <w:rPr>
                <w:spacing w:val="14"/>
              </w:rPr>
              <w:t>，在《详式权益变动报告书</w:t>
            </w:r>
            <w:r>
              <w:rPr>
                <w:spacing w:val="13"/>
              </w:rPr>
              <w:t>》关于控股</w:t>
            </w:r>
            <w:r>
              <w:rPr/>
              <w:t xml:space="preserve"> </w:t>
            </w:r>
            <w:r>
              <w:rPr>
                <w:spacing w:val="15"/>
              </w:rPr>
              <w:t>股东和实际控制人的信息披露存在</w:t>
            </w:r>
            <w:r>
              <w:rPr>
                <w:b/>
                <w:bCs/>
                <w:spacing w:val="15"/>
              </w:rPr>
              <w:t>虚假记载</w:t>
            </w:r>
            <w:r>
              <w:rPr>
                <w:spacing w:val="15"/>
              </w:rPr>
              <w:t>。作为长沙金森的执行董</w:t>
            </w:r>
          </w:p>
        </w:tc>
      </w:tr>
    </w:tbl>
    <w:p>
      <w:pPr>
        <w:pStyle w:val="BodyText"/>
        <w:spacing w:line="35" w:lineRule="exact"/>
        <w:rPr>
          <w:sz w:val="3"/>
        </w:rPr>
      </w:pPr>
      <w:r/>
    </w:p>
    <w:p>
      <w:pPr>
        <w:spacing w:line="35" w:lineRule="exact"/>
        <w:sectPr>
          <w:footerReference w:type="default" r:id="rId13"/>
          <w:pgSz w:w="11910" w:h="16840"/>
          <w:pgMar w:top="374" w:right="1708" w:bottom="1" w:left="875" w:header="0" w:footer="0" w:gutter="0"/>
        </w:sectPr>
        <w:rPr>
          <w:sz w:val="3"/>
          <w:szCs w:val="3"/>
        </w:rPr>
      </w:pPr>
    </w:p>
    <w:tbl>
      <w:tblPr>
        <w:tblStyle w:val="TableNormal"/>
        <w:tblW w:w="8891" w:type="dxa"/>
        <w:tblInd w:w="192"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125"/>
        <w:gridCol w:w="1091"/>
        <w:gridCol w:w="6675"/>
      </w:tblGrid>
      <w:tr>
        <w:trPr>
          <w:trHeight w:val="737" w:hRule="atLeast"/>
        </w:trPr>
        <w:tc>
          <w:tcPr>
            <w:shd w:val="clear" w:fill="B8CCE4"/>
            <w:tcW w:w="1125" w:type="dxa"/>
            <w:vAlign w:val="top"/>
            <w:tcBorders>
              <w:top w:val="single" w:color="4F81BD" w:sz="2" w:space="0"/>
            </w:tcBorders>
          </w:tcPr>
          <w:p>
            <w:pPr>
              <w:rPr>
                <w:rFonts w:ascii="Arial"/>
                <w:sz w:val="21"/>
              </w:rPr>
            </w:pPr>
            <w:r/>
          </w:p>
        </w:tc>
        <w:tc>
          <w:tcPr>
            <w:shd w:val="clear" w:fill="B8CCE4"/>
            <w:tcW w:w="1091" w:type="dxa"/>
            <w:vAlign w:val="top"/>
            <w:tcBorders>
              <w:top w:val="single" w:color="4F81BD" w:sz="2" w:space="0"/>
            </w:tcBorders>
          </w:tcPr>
          <w:p>
            <w:pPr>
              <w:rPr>
                <w:rFonts w:ascii="Arial"/>
                <w:sz w:val="21"/>
              </w:rPr>
            </w:pPr>
            <w:r/>
          </w:p>
        </w:tc>
        <w:tc>
          <w:tcPr>
            <w:shd w:val="clear" w:fill="B8CCE4"/>
            <w:tcW w:w="6675" w:type="dxa"/>
            <w:vAlign w:val="top"/>
            <w:tcBorders>
              <w:top w:val="single" w:color="4F81BD" w:sz="2" w:space="0"/>
            </w:tcBorders>
          </w:tcPr>
          <w:p>
            <w:pPr>
              <w:pStyle w:val="TableText"/>
              <w:ind w:left="98" w:right="101" w:firstLine="3"/>
              <w:spacing w:before="100" w:line="219" w:lineRule="auto"/>
              <w:rPr/>
            </w:pPr>
            <w:r>
              <w:rPr>
                <w:spacing w:val="12"/>
              </w:rPr>
              <w:t>事</w:t>
            </w:r>
            <w:r>
              <w:rPr>
                <w:spacing w:val="-3"/>
              </w:rPr>
              <w:t xml:space="preserve"> </w:t>
            </w:r>
            <w:r>
              <w:rPr>
                <w:spacing w:val="12"/>
              </w:rPr>
              <w:t>，参与、实施信息披露违法行为</w:t>
            </w:r>
            <w:r>
              <w:rPr>
                <w:spacing w:val="-20"/>
              </w:rPr>
              <w:t xml:space="preserve"> </w:t>
            </w:r>
            <w:r>
              <w:rPr>
                <w:spacing w:val="12"/>
              </w:rPr>
              <w:t>，导致长沙金森所披露的信息存在</w:t>
            </w:r>
            <w:r>
              <w:rPr/>
              <w:t xml:space="preserve"> </w:t>
            </w:r>
            <w:r>
              <w:rPr>
                <w:spacing w:val="6"/>
              </w:rPr>
              <w:t>虚假记载</w:t>
            </w:r>
            <w:r>
              <w:rPr>
                <w:spacing w:val="-14"/>
              </w:rPr>
              <w:t xml:space="preserve"> </w:t>
            </w:r>
            <w:r>
              <w:rPr>
                <w:spacing w:val="6"/>
              </w:rPr>
              <w:t>，是其他直接责任人员。</w:t>
            </w:r>
          </w:p>
        </w:tc>
      </w:tr>
      <w:tr>
        <w:trPr>
          <w:trHeight w:val="728" w:hRule="atLeast"/>
        </w:trPr>
        <w:tc>
          <w:tcPr>
            <w:tcW w:w="8891" w:type="dxa"/>
            <w:vAlign w:val="top"/>
            <w:gridSpan w:val="3"/>
          </w:tcPr>
          <w:p>
            <w:pPr>
              <w:pStyle w:val="TableText"/>
              <w:ind w:left="109" w:right="103" w:firstLine="13"/>
              <w:spacing w:before="45" w:line="235" w:lineRule="auto"/>
              <w:rPr/>
            </w:pPr>
            <w:r>
              <w:rPr>
                <w:b/>
                <w:bCs/>
                <w:spacing w:val="11"/>
              </w:rPr>
              <w:t>【行政处罚决定】</w:t>
            </w:r>
            <w:r>
              <w:rPr>
                <w:spacing w:val="11"/>
              </w:rPr>
              <w:t>中国证券监督管理委员会湖南监管局决定对李国富给予警告</w:t>
            </w:r>
            <w:r>
              <w:rPr>
                <w:spacing w:val="-24"/>
              </w:rPr>
              <w:t xml:space="preserve"> </w:t>
            </w:r>
            <w:r>
              <w:rPr>
                <w:spacing w:val="11"/>
              </w:rPr>
              <w:t>，处以100</w:t>
            </w:r>
            <w:r>
              <w:rPr>
                <w:spacing w:val="10"/>
              </w:rPr>
              <w:t>万元</w:t>
            </w:r>
            <w:r>
              <w:rPr/>
              <w:t xml:space="preserve"> </w:t>
            </w:r>
            <w:r>
              <w:rPr>
                <w:spacing w:val="3"/>
              </w:rPr>
              <w:t>罚款。</w:t>
            </w:r>
          </w:p>
        </w:tc>
      </w:tr>
    </w:tbl>
    <w:p>
      <w:pPr>
        <w:spacing w:before="129"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0"/>
          <w:w w:val="95"/>
        </w:rPr>
        <w:t>（</w:t>
      </w:r>
      <w:r>
        <w:rPr>
          <w:rFonts w:ascii="Microsoft YaHei" w:hAnsi="Microsoft YaHei" w:eastAsia="Microsoft YaHei" w:cs="Microsoft YaHei"/>
          <w:sz w:val="24"/>
          <w:szCs w:val="24"/>
          <w:b/>
          <w:bCs/>
          <w:color w:val="333333"/>
          <w:spacing w:val="12"/>
        </w:rPr>
        <w:t xml:space="preserve"> </w:t>
      </w:r>
      <w:r>
        <w:rPr>
          <w:rFonts w:ascii="Microsoft YaHei" w:hAnsi="Microsoft YaHei" w:eastAsia="Microsoft YaHei" w:cs="Microsoft YaHei"/>
          <w:sz w:val="24"/>
          <w:szCs w:val="24"/>
          <w:b/>
          <w:bCs/>
          <w:color w:val="333333"/>
          <w:spacing w:val="-10"/>
          <w:w w:val="95"/>
        </w:rPr>
        <w:t>2</w:t>
      </w:r>
      <w:r>
        <w:rPr>
          <w:rFonts w:ascii="Microsoft YaHei" w:hAnsi="Microsoft YaHei" w:eastAsia="Microsoft YaHei" w:cs="Microsoft YaHei"/>
          <w:sz w:val="24"/>
          <w:szCs w:val="24"/>
          <w:b/>
          <w:bCs/>
          <w:color w:val="333333"/>
          <w:spacing w:val="27"/>
        </w:rPr>
        <w:t xml:space="preserve"> </w:t>
      </w:r>
      <w:r>
        <w:rPr>
          <w:rFonts w:ascii="Microsoft YaHei" w:hAnsi="Microsoft YaHei" w:eastAsia="Microsoft YaHei" w:cs="Microsoft YaHei"/>
          <w:sz w:val="24"/>
          <w:szCs w:val="24"/>
          <w:b/>
          <w:bCs/>
          <w:color w:val="333333"/>
          <w:spacing w:val="-10"/>
          <w:w w:val="95"/>
        </w:rPr>
        <w:t>）</w:t>
      </w:r>
      <w:r>
        <w:rPr>
          <w:rFonts w:ascii="Microsoft YaHei" w:hAnsi="Microsoft YaHei" w:eastAsia="Microsoft YaHei" w:cs="Microsoft YaHei"/>
          <w:sz w:val="24"/>
          <w:szCs w:val="24"/>
          <w:b/>
          <w:bCs/>
          <w:spacing w:val="-10"/>
          <w:w w:val="95"/>
        </w:rPr>
        <w:t>行政处罚决定事先告知书</w:t>
      </w:r>
    </w:p>
    <w:tbl>
      <w:tblPr>
        <w:tblStyle w:val="TableNormal"/>
        <w:tblW w:w="8891" w:type="dxa"/>
        <w:tblInd w:w="192"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125"/>
        <w:gridCol w:w="1103"/>
        <w:gridCol w:w="6663"/>
      </w:tblGrid>
      <w:tr>
        <w:trPr>
          <w:trHeight w:val="387" w:hRule="atLeast"/>
        </w:trPr>
        <w:tc>
          <w:tcPr>
            <w:shd w:val="clear" w:fill="4F81BD"/>
            <w:tcW w:w="1125" w:type="dxa"/>
            <w:vAlign w:val="top"/>
            <w:tcBorders>
              <w:bottom w:val="single" w:color="4F81BD" w:sz="2" w:space="0"/>
            </w:tcBorders>
          </w:tcPr>
          <w:p>
            <w:pPr>
              <w:pStyle w:val="TableText"/>
              <w:ind w:left="136"/>
              <w:spacing w:before="109" w:line="187" w:lineRule="auto"/>
              <w:rPr/>
            </w:pPr>
            <w:r>
              <w:rPr>
                <w:b/>
                <w:bCs/>
                <w:color w:val="FFFFFF"/>
                <w:spacing w:val="8"/>
              </w:rPr>
              <w:t>公司代码</w:t>
            </w:r>
          </w:p>
        </w:tc>
        <w:tc>
          <w:tcPr>
            <w:shd w:val="clear" w:fill="4F81BD"/>
            <w:tcW w:w="1103" w:type="dxa"/>
            <w:vAlign w:val="top"/>
            <w:tcBorders>
              <w:bottom w:val="single" w:color="4F81BD" w:sz="2" w:space="0"/>
            </w:tcBorders>
          </w:tcPr>
          <w:p>
            <w:pPr>
              <w:pStyle w:val="TableText"/>
              <w:ind w:left="122"/>
              <w:spacing w:before="109" w:line="187" w:lineRule="auto"/>
              <w:rPr/>
            </w:pPr>
            <w:r>
              <w:rPr>
                <w:b/>
                <w:bCs/>
                <w:color w:val="FFFFFF"/>
                <w:spacing w:val="8"/>
              </w:rPr>
              <w:t>公司简称</w:t>
            </w:r>
          </w:p>
        </w:tc>
        <w:tc>
          <w:tcPr>
            <w:shd w:val="clear" w:fill="4F81BD"/>
            <w:tcW w:w="6663" w:type="dxa"/>
            <w:vAlign w:val="top"/>
            <w:tcBorders>
              <w:bottom w:val="single" w:color="4F81BD" w:sz="2" w:space="0"/>
            </w:tcBorders>
          </w:tcPr>
          <w:p>
            <w:pPr>
              <w:pStyle w:val="TableText"/>
              <w:ind w:left="2904"/>
              <w:spacing w:before="109" w:line="187" w:lineRule="auto"/>
              <w:rPr/>
            </w:pPr>
            <w:r>
              <w:rPr>
                <w:b/>
                <w:bCs/>
                <w:color w:val="FFFFFF"/>
                <w:spacing w:val="8"/>
              </w:rPr>
              <w:t>违规行为</w:t>
            </w:r>
          </w:p>
        </w:tc>
      </w:tr>
      <w:tr>
        <w:trPr>
          <w:trHeight w:val="369" w:hRule="atLeast"/>
        </w:trPr>
        <w:tc>
          <w:tcPr>
            <w:shd w:val="clear" w:fill="B8CCE4"/>
            <w:tcW w:w="1125" w:type="dxa"/>
            <w:vAlign w:val="top"/>
            <w:tcBorders>
              <w:top w:val="single" w:color="4F81BD" w:sz="2" w:space="0"/>
            </w:tcBorders>
          </w:tcPr>
          <w:p>
            <w:pPr>
              <w:pStyle w:val="TableText"/>
              <w:ind w:left="191"/>
              <w:spacing w:before="99" w:line="179" w:lineRule="auto"/>
              <w:rPr/>
            </w:pPr>
            <w:r>
              <w:rPr>
                <w:spacing w:val="3"/>
              </w:rPr>
              <w:t>002166</w:t>
            </w:r>
          </w:p>
        </w:tc>
        <w:tc>
          <w:tcPr>
            <w:shd w:val="clear" w:fill="B8CCE4"/>
            <w:tcW w:w="1103" w:type="dxa"/>
            <w:vAlign w:val="top"/>
            <w:tcBorders>
              <w:top w:val="single" w:color="4F81BD" w:sz="2" w:space="0"/>
            </w:tcBorders>
          </w:tcPr>
          <w:p>
            <w:pPr>
              <w:pStyle w:val="TableText"/>
              <w:ind w:left="121"/>
              <w:spacing w:before="86" w:line="189" w:lineRule="auto"/>
              <w:rPr/>
            </w:pPr>
            <w:r>
              <w:rPr>
                <w:spacing w:val="8"/>
              </w:rPr>
              <w:t>莱茵生物</w:t>
            </w:r>
          </w:p>
        </w:tc>
        <w:tc>
          <w:tcPr>
            <w:shd w:val="clear" w:fill="B8CCE4"/>
            <w:tcW w:w="6663" w:type="dxa"/>
            <w:vAlign w:val="top"/>
            <w:tcBorders>
              <w:top w:val="single" w:color="4F81BD" w:sz="2" w:space="0"/>
            </w:tcBorders>
          </w:tcPr>
          <w:p>
            <w:pPr>
              <w:pStyle w:val="TableText"/>
              <w:ind w:left="101"/>
              <w:spacing w:before="85" w:line="190" w:lineRule="auto"/>
              <w:rPr/>
            </w:pPr>
            <w:r>
              <w:rPr>
                <w:spacing w:val="8"/>
              </w:rPr>
              <w:t>实际控制人与他人操纵证券市场。</w:t>
            </w:r>
          </w:p>
        </w:tc>
      </w:tr>
      <w:tr>
        <w:trPr>
          <w:trHeight w:val="2884" w:hRule="atLeast"/>
        </w:trPr>
        <w:tc>
          <w:tcPr>
            <w:tcW w:w="8891" w:type="dxa"/>
            <w:vAlign w:val="top"/>
            <w:gridSpan w:val="3"/>
          </w:tcPr>
          <w:p>
            <w:pPr>
              <w:pStyle w:val="TableText"/>
              <w:ind w:left="104" w:right="103" w:firstLine="18"/>
              <w:spacing w:before="37" w:line="248" w:lineRule="auto"/>
              <w:jc w:val="both"/>
              <w:rPr/>
            </w:pPr>
            <w:r>
              <w:rPr>
                <w:b/>
                <w:bCs/>
                <w:spacing w:val="10"/>
              </w:rPr>
              <w:t>【行政处罚决定（拟）】</w:t>
            </w:r>
            <w:r>
              <w:rPr>
                <w:spacing w:val="10"/>
              </w:rPr>
              <w:t>中国证监会决定</w:t>
            </w:r>
            <w:r>
              <w:rPr>
                <w:spacing w:val="-18"/>
              </w:rPr>
              <w:t xml:space="preserve"> </w:t>
            </w:r>
            <w:r>
              <w:rPr>
                <w:spacing w:val="10"/>
              </w:rPr>
              <w:t>：对王某、实际控制人秦某军操纵“莱茵生</w:t>
            </w:r>
            <w:r>
              <w:rPr>
                <w:spacing w:val="9"/>
              </w:rPr>
              <w:t>物”行为</w:t>
            </w:r>
            <w:r>
              <w:rPr/>
              <w:t xml:space="preserve"> </w:t>
            </w:r>
            <w:r>
              <w:rPr>
                <w:spacing w:val="1"/>
              </w:rPr>
              <w:t>,   没 收</w:t>
            </w:r>
            <w:r>
              <w:rPr>
                <w:spacing w:val="6"/>
              </w:rPr>
              <w:t xml:space="preserve"> </w:t>
            </w:r>
            <w:r>
              <w:rPr>
                <w:spacing w:val="1"/>
              </w:rPr>
              <w:t>违</w:t>
            </w:r>
            <w:r>
              <w:rPr>
                <w:spacing w:val="-11"/>
              </w:rPr>
              <w:t xml:space="preserve"> </w:t>
            </w:r>
            <w:r>
              <w:rPr>
                <w:spacing w:val="1"/>
              </w:rPr>
              <w:t>法</w:t>
            </w:r>
            <w:r>
              <w:rPr>
                <w:spacing w:val="-11"/>
              </w:rPr>
              <w:t xml:space="preserve"> </w:t>
            </w:r>
            <w:r>
              <w:rPr>
                <w:spacing w:val="1"/>
              </w:rPr>
              <w:t>所</w:t>
            </w:r>
            <w:r>
              <w:rPr>
                <w:spacing w:val="-12"/>
              </w:rPr>
              <w:t xml:space="preserve"> </w:t>
            </w:r>
            <w:r>
              <w:rPr>
                <w:spacing w:val="1"/>
              </w:rPr>
              <w:t>得 1,381,849.02</w:t>
            </w:r>
            <w:r>
              <w:rPr>
                <w:spacing w:val="-10"/>
              </w:rPr>
              <w:t xml:space="preserve"> </w:t>
            </w:r>
            <w:r>
              <w:rPr>
                <w:spacing w:val="1"/>
              </w:rPr>
              <w:t>元</w:t>
            </w:r>
            <w:r>
              <w:rPr>
                <w:spacing w:val="18"/>
              </w:rPr>
              <w:t xml:space="preserve"> </w:t>
            </w:r>
            <w:r>
              <w:rPr>
                <w:spacing w:val="1"/>
              </w:rPr>
              <w:t>， 并</w:t>
            </w:r>
            <w:r>
              <w:rPr>
                <w:spacing w:val="-12"/>
              </w:rPr>
              <w:t xml:space="preserve"> </w:t>
            </w:r>
            <w:r>
              <w:rPr>
                <w:spacing w:val="1"/>
              </w:rPr>
              <w:t>处 以</w:t>
            </w:r>
            <w:r>
              <w:rPr>
                <w:spacing w:val="-12"/>
              </w:rPr>
              <w:t xml:space="preserve"> </w:t>
            </w:r>
            <w:r>
              <w:rPr>
                <w:spacing w:val="1"/>
              </w:rPr>
              <w:t>4,145,547.06 元 罚</w:t>
            </w:r>
            <w:r>
              <w:rPr>
                <w:spacing w:val="-11"/>
              </w:rPr>
              <w:t xml:space="preserve"> </w:t>
            </w:r>
            <w:r>
              <w:rPr>
                <w:spacing w:val="1"/>
              </w:rPr>
              <w:t>款</w:t>
            </w:r>
            <w:r>
              <w:rPr>
                <w:spacing w:val="18"/>
              </w:rPr>
              <w:t xml:space="preserve"> </w:t>
            </w:r>
            <w:r>
              <w:rPr>
                <w:spacing w:val="1"/>
              </w:rPr>
              <w:t>， 其 中</w:t>
            </w:r>
            <w:r>
              <w:rPr>
                <w:spacing w:val="17"/>
                <w:w w:val="101"/>
              </w:rPr>
              <w:t xml:space="preserve"> </w:t>
            </w:r>
            <w:r>
              <w:rPr>
                <w:spacing w:val="1"/>
              </w:rPr>
              <w:t>， 对 王</w:t>
            </w:r>
            <w:r>
              <w:rPr>
                <w:spacing w:val="-10"/>
              </w:rPr>
              <w:t xml:space="preserve"> </w:t>
            </w:r>
            <w:r>
              <w:rPr>
                <w:spacing w:val="1"/>
              </w:rPr>
              <w:t>某</w:t>
            </w:r>
            <w:r>
              <w:rPr>
                <w:spacing w:val="-12"/>
              </w:rPr>
              <w:t xml:space="preserve"> </w:t>
            </w:r>
            <w:r>
              <w:rPr>
                <w:spacing w:val="1"/>
              </w:rPr>
              <w:t>处 以</w:t>
            </w:r>
            <w:r>
              <w:rPr/>
              <w:t xml:space="preserve"> </w:t>
            </w:r>
            <w:r>
              <w:rPr>
                <w:spacing w:val="8"/>
              </w:rPr>
              <w:t>2,072,773.53元罚款</w:t>
            </w:r>
            <w:r>
              <w:rPr>
                <w:spacing w:val="-17"/>
              </w:rPr>
              <w:t xml:space="preserve"> </w:t>
            </w:r>
            <w:r>
              <w:rPr>
                <w:spacing w:val="8"/>
              </w:rPr>
              <w:t>，对秦某军处以2,072,773.53元罚款。依据《证券法》第二百二十一条和</w:t>
            </w:r>
            <w:r>
              <w:rPr/>
              <w:t xml:space="preserve"> </w:t>
            </w:r>
            <w:r>
              <w:rPr>
                <w:spacing w:val="11"/>
              </w:rPr>
              <w:t>《证券市场禁入规定》（证监会令185号）第三条第一项、第五项、第六项</w:t>
            </w:r>
            <w:r>
              <w:rPr>
                <w:spacing w:val="-7"/>
              </w:rPr>
              <w:t xml:space="preserve"> </w:t>
            </w:r>
            <w:r>
              <w:rPr>
                <w:spacing w:val="11"/>
              </w:rPr>
              <w:t>，第四条第一款第</w:t>
            </w:r>
            <w:r>
              <w:rPr/>
              <w:t xml:space="preserve"> </w:t>
            </w:r>
            <w:r>
              <w:rPr>
                <w:spacing w:val="13"/>
              </w:rPr>
              <w:t>一项、第五条和第七条第一款的规定</w:t>
            </w:r>
            <w:r>
              <w:rPr>
                <w:spacing w:val="-23"/>
              </w:rPr>
              <w:t xml:space="preserve"> </w:t>
            </w:r>
            <w:r>
              <w:rPr>
                <w:spacing w:val="13"/>
              </w:rPr>
              <w:t>，证监会拟</w:t>
            </w:r>
            <w:r>
              <w:rPr>
                <w:spacing w:val="12"/>
              </w:rPr>
              <w:t>决定对王某、秦某军分别采取5年市场禁入措</w:t>
            </w:r>
            <w:r>
              <w:rPr/>
              <w:t xml:space="preserve"> </w:t>
            </w:r>
            <w:r>
              <w:rPr>
                <w:spacing w:val="8"/>
              </w:rPr>
              <w:t>施</w:t>
            </w:r>
            <w:r>
              <w:rPr>
                <w:spacing w:val="-25"/>
              </w:rPr>
              <w:t xml:space="preserve"> </w:t>
            </w:r>
            <w:r>
              <w:rPr>
                <w:spacing w:val="8"/>
              </w:rPr>
              <w:t>，</w:t>
            </w:r>
            <w:r>
              <w:rPr>
                <w:spacing w:val="-26"/>
              </w:rPr>
              <w:t xml:space="preserve"> </w:t>
            </w:r>
            <w:r>
              <w:rPr>
                <w:spacing w:val="8"/>
              </w:rPr>
              <w:t>自宣布决定之日起</w:t>
            </w:r>
            <w:r>
              <w:rPr>
                <w:spacing w:val="-25"/>
              </w:rPr>
              <w:t xml:space="preserve"> </w:t>
            </w:r>
            <w:r>
              <w:rPr>
                <w:spacing w:val="8"/>
              </w:rPr>
              <w:t>，在禁入期间内</w:t>
            </w:r>
            <w:r>
              <w:rPr>
                <w:spacing w:val="-26"/>
              </w:rPr>
              <w:t xml:space="preserve"> </w:t>
            </w:r>
            <w:r>
              <w:rPr>
                <w:spacing w:val="8"/>
              </w:rPr>
              <w:t>，</w:t>
            </w:r>
            <w:r>
              <w:rPr>
                <w:spacing w:val="-37"/>
              </w:rPr>
              <w:t xml:space="preserve"> </w:t>
            </w:r>
            <w:r>
              <w:rPr>
                <w:spacing w:val="8"/>
              </w:rPr>
              <w:t>除不得继</w:t>
            </w:r>
            <w:r>
              <w:rPr>
                <w:spacing w:val="7"/>
              </w:rPr>
              <w:t>续在原机构从事证券业务、证券服务业务或</w:t>
            </w:r>
            <w:r>
              <w:rPr/>
              <w:t xml:space="preserve"> </w:t>
            </w:r>
            <w:r>
              <w:rPr>
                <w:spacing w:val="11"/>
              </w:rPr>
              <w:t>者担任原证券发行人的董事、监事、高级管理人员</w:t>
            </w:r>
            <w:r>
              <w:rPr>
                <w:spacing w:val="10"/>
              </w:rPr>
              <w:t>职务外</w:t>
            </w:r>
            <w:r>
              <w:rPr>
                <w:spacing w:val="-25"/>
              </w:rPr>
              <w:t xml:space="preserve"> </w:t>
            </w:r>
            <w:r>
              <w:rPr>
                <w:spacing w:val="10"/>
              </w:rPr>
              <w:t>，也不得在其他任何机构中从事证券</w:t>
            </w:r>
            <w:r>
              <w:rPr/>
              <w:t xml:space="preserve"> </w:t>
            </w:r>
            <w:r>
              <w:rPr>
                <w:spacing w:val="10"/>
              </w:rPr>
              <w:t>业务、证券服务业务或者担任其他证券发行人的董</w:t>
            </w:r>
            <w:r>
              <w:rPr>
                <w:spacing w:val="9"/>
              </w:rPr>
              <w:t>事、监事、高级管理人员职务。</w:t>
            </w:r>
          </w:p>
        </w:tc>
      </w:tr>
      <w:tr>
        <w:trPr>
          <w:trHeight w:val="724" w:hRule="atLeast"/>
        </w:trPr>
        <w:tc>
          <w:tcPr>
            <w:shd w:val="clear" w:fill="B8CCE4"/>
            <w:tcW w:w="1125" w:type="dxa"/>
            <w:vAlign w:val="top"/>
          </w:tcPr>
          <w:p>
            <w:pPr>
              <w:pStyle w:val="TableText"/>
              <w:ind w:left="191"/>
              <w:spacing w:before="279" w:line="178" w:lineRule="auto"/>
              <w:rPr/>
            </w:pPr>
            <w:r>
              <w:rPr>
                <w:spacing w:val="3"/>
              </w:rPr>
              <w:t>002793</w:t>
            </w:r>
          </w:p>
        </w:tc>
        <w:tc>
          <w:tcPr>
            <w:shd w:val="clear" w:fill="B8CCE4"/>
            <w:tcW w:w="1103" w:type="dxa"/>
            <w:vAlign w:val="top"/>
          </w:tcPr>
          <w:p>
            <w:pPr>
              <w:pStyle w:val="TableText"/>
              <w:ind w:left="122"/>
              <w:spacing w:before="266" w:line="188" w:lineRule="auto"/>
              <w:rPr/>
            </w:pPr>
            <w:r>
              <w:rPr>
                <w:spacing w:val="8"/>
              </w:rPr>
              <w:t>罗欣药业</w:t>
            </w:r>
          </w:p>
        </w:tc>
        <w:tc>
          <w:tcPr>
            <w:shd w:val="clear" w:fill="B8CCE4"/>
            <w:tcW w:w="6663" w:type="dxa"/>
            <w:vAlign w:val="top"/>
          </w:tcPr>
          <w:p>
            <w:pPr>
              <w:pStyle w:val="TableText"/>
              <w:ind w:left="100" w:right="103" w:firstLine="1"/>
              <w:spacing w:before="44" w:line="234" w:lineRule="auto"/>
              <w:rPr/>
            </w:pPr>
            <w:r>
              <w:rPr>
                <w:spacing w:val="10"/>
              </w:rPr>
              <w:t>罗欣控股合计持有罗欣药业5%以上股份</w:t>
            </w:r>
            <w:r>
              <w:rPr>
                <w:spacing w:val="-24"/>
              </w:rPr>
              <w:t xml:space="preserve"> </w:t>
            </w:r>
            <w:r>
              <w:rPr>
                <w:spacing w:val="10"/>
              </w:rPr>
              <w:t>，在合计</w:t>
            </w:r>
            <w:r>
              <w:rPr>
                <w:b/>
                <w:bCs/>
                <w:spacing w:val="10"/>
              </w:rPr>
              <w:t>减持罗欣药业股份比</w:t>
            </w:r>
            <w:r>
              <w:rPr>
                <w:b/>
                <w:bCs/>
              </w:rPr>
              <w:t xml:space="preserve"> </w:t>
            </w:r>
            <w:r>
              <w:rPr>
                <w:b/>
                <w:bCs/>
                <w:spacing w:val="6"/>
              </w:rPr>
              <w:t>例达到5%后</w:t>
            </w:r>
            <w:r>
              <w:rPr>
                <w:b/>
                <w:bCs/>
                <w:spacing w:val="-17"/>
              </w:rPr>
              <w:t xml:space="preserve"> </w:t>
            </w:r>
            <w:r>
              <w:rPr>
                <w:spacing w:val="6"/>
              </w:rPr>
              <w:t>，未按规定停止交易。</w:t>
            </w:r>
          </w:p>
        </w:tc>
      </w:tr>
      <w:tr>
        <w:trPr>
          <w:trHeight w:val="725" w:hRule="atLeast"/>
        </w:trPr>
        <w:tc>
          <w:tcPr>
            <w:tcW w:w="8891" w:type="dxa"/>
            <w:vAlign w:val="top"/>
            <w:gridSpan w:val="3"/>
          </w:tcPr>
          <w:p>
            <w:pPr>
              <w:pStyle w:val="TableText"/>
              <w:ind w:left="109" w:right="104" w:firstLine="14"/>
              <w:spacing w:before="42" w:line="235" w:lineRule="auto"/>
              <w:rPr/>
            </w:pPr>
            <w:r>
              <w:rPr>
                <w:b/>
                <w:bCs/>
                <w:spacing w:val="10"/>
              </w:rPr>
              <w:t>【行政处罚决定（拟）】</w:t>
            </w:r>
            <w:r>
              <w:rPr>
                <w:spacing w:val="10"/>
              </w:rPr>
              <w:t>中国证券监督管理委员会浙江监管局拟决定</w:t>
            </w:r>
            <w:r>
              <w:rPr>
                <w:spacing w:val="-15"/>
              </w:rPr>
              <w:t xml:space="preserve"> </w:t>
            </w:r>
            <w:r>
              <w:rPr>
                <w:spacing w:val="10"/>
              </w:rPr>
              <w:t>：对山东</w:t>
            </w:r>
            <w:r>
              <w:rPr>
                <w:spacing w:val="9"/>
              </w:rPr>
              <w:t>罗欣控股有限公</w:t>
            </w:r>
            <w:r>
              <w:rPr/>
              <w:t xml:space="preserve"> </w:t>
            </w:r>
            <w:r>
              <w:rPr>
                <w:spacing w:val="6"/>
              </w:rPr>
              <w:t>司给予警告</w:t>
            </w:r>
            <w:r>
              <w:rPr>
                <w:spacing w:val="-28"/>
              </w:rPr>
              <w:t xml:space="preserve"> </w:t>
            </w:r>
            <w:r>
              <w:rPr>
                <w:spacing w:val="6"/>
              </w:rPr>
              <w:t>，没收违法所得2,300,982.2</w:t>
            </w:r>
            <w:r>
              <w:rPr>
                <w:spacing w:val="5"/>
              </w:rPr>
              <w:t>8元</w:t>
            </w:r>
            <w:r>
              <w:rPr>
                <w:spacing w:val="-28"/>
              </w:rPr>
              <w:t xml:space="preserve"> </w:t>
            </w:r>
            <w:r>
              <w:rPr>
                <w:spacing w:val="5"/>
              </w:rPr>
              <w:t>，并处罚款50万元。</w:t>
            </w:r>
          </w:p>
        </w:tc>
      </w:tr>
      <w:tr>
        <w:trPr>
          <w:trHeight w:val="1804" w:hRule="atLeast"/>
        </w:trPr>
        <w:tc>
          <w:tcPr>
            <w:shd w:val="clear" w:fill="B8CCE4"/>
            <w:tcW w:w="1125" w:type="dxa"/>
            <w:vAlign w:val="top"/>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TableText"/>
              <w:ind w:left="197"/>
              <w:spacing w:before="85" w:line="178" w:lineRule="auto"/>
              <w:rPr/>
            </w:pPr>
            <w:r>
              <w:rPr>
                <w:spacing w:val="3"/>
              </w:rPr>
              <w:t>300368</w:t>
            </w:r>
          </w:p>
        </w:tc>
        <w:tc>
          <w:tcPr>
            <w:shd w:val="clear" w:fill="B8CCE4"/>
            <w:tcW w:w="1103" w:type="dxa"/>
            <w:vAlign w:val="top"/>
          </w:tcPr>
          <w:p>
            <w:pPr>
              <w:spacing w:line="359" w:lineRule="auto"/>
              <w:rPr>
                <w:rFonts w:ascii="Arial"/>
                <w:sz w:val="21"/>
              </w:rPr>
            </w:pPr>
            <w:r/>
          </w:p>
          <w:p>
            <w:pPr>
              <w:spacing w:line="360" w:lineRule="auto"/>
              <w:rPr>
                <w:rFonts w:ascii="Arial"/>
                <w:sz w:val="21"/>
              </w:rPr>
            </w:pPr>
            <w:r/>
          </w:p>
          <w:p>
            <w:pPr>
              <w:pStyle w:val="TableText"/>
              <w:ind w:left="119"/>
              <w:spacing w:before="86" w:line="188" w:lineRule="auto"/>
              <w:rPr/>
            </w:pPr>
            <w:r>
              <w:rPr>
                <w:spacing w:val="9"/>
              </w:rPr>
              <w:t>汇金股份</w:t>
            </w:r>
          </w:p>
        </w:tc>
        <w:tc>
          <w:tcPr>
            <w:shd w:val="clear" w:fill="B8CCE4"/>
            <w:tcW w:w="6663" w:type="dxa"/>
            <w:vAlign w:val="top"/>
          </w:tcPr>
          <w:p>
            <w:pPr>
              <w:pStyle w:val="TableText"/>
              <w:ind w:left="100" w:right="101"/>
              <w:spacing w:before="89" w:line="236" w:lineRule="auto"/>
              <w:jc w:val="both"/>
              <w:rPr/>
            </w:pPr>
            <w:r>
              <w:rPr>
                <w:spacing w:val="14"/>
              </w:rPr>
              <w:t>公允价值变动损益计算错误；</w:t>
            </w:r>
            <w:r>
              <w:rPr>
                <w:spacing w:val="-34"/>
              </w:rPr>
              <w:t xml:space="preserve"> </w:t>
            </w:r>
            <w:r>
              <w:rPr>
                <w:spacing w:val="14"/>
              </w:rPr>
              <w:t>未按已披露的会计政策计提信用减值损</w:t>
            </w:r>
            <w:r>
              <w:rPr/>
              <w:t xml:space="preserve"> </w:t>
            </w:r>
            <w:r>
              <w:rPr>
                <w:spacing w:val="12"/>
              </w:rPr>
              <w:t>失；导致2021年年度报告存在</w:t>
            </w:r>
            <w:r>
              <w:rPr>
                <w:b/>
                <w:bCs/>
                <w:spacing w:val="12"/>
              </w:rPr>
              <w:t>虚假记载</w:t>
            </w:r>
            <w:r>
              <w:rPr>
                <w:spacing w:val="12"/>
              </w:rPr>
              <w:t>。魏</w:t>
            </w:r>
            <w:r>
              <w:rPr>
                <w:spacing w:val="11"/>
              </w:rPr>
              <w:t>某生作为汇金股份时任独</w:t>
            </w:r>
            <w:r>
              <w:rPr/>
              <w:t xml:space="preserve"> </w:t>
            </w:r>
            <w:r>
              <w:rPr>
                <w:spacing w:val="10"/>
              </w:rPr>
              <w:t>立董事、</w:t>
            </w:r>
            <w:r>
              <w:rPr>
                <w:spacing w:val="-37"/>
              </w:rPr>
              <w:t xml:space="preserve"> </w:t>
            </w:r>
            <w:r>
              <w:rPr>
                <w:spacing w:val="10"/>
              </w:rPr>
              <w:t>审计委员会成员</w:t>
            </w:r>
            <w:r>
              <w:rPr>
                <w:spacing w:val="-23"/>
              </w:rPr>
              <w:t xml:space="preserve"> </w:t>
            </w:r>
            <w:r>
              <w:rPr>
                <w:spacing w:val="10"/>
              </w:rPr>
              <w:t>，签署确认意见保证汇金股份20</w:t>
            </w:r>
            <w:r>
              <w:rPr>
                <w:spacing w:val="9"/>
              </w:rPr>
              <w:t>21年年度报</w:t>
            </w:r>
            <w:r>
              <w:rPr/>
              <w:t xml:space="preserve"> </w:t>
            </w:r>
            <w:r>
              <w:rPr>
                <w:spacing w:val="13"/>
              </w:rPr>
              <w:t>告真实、准确、完整</w:t>
            </w:r>
            <w:r>
              <w:rPr>
                <w:spacing w:val="-5"/>
              </w:rPr>
              <w:t xml:space="preserve"> </w:t>
            </w:r>
            <w:r>
              <w:rPr>
                <w:spacing w:val="13"/>
              </w:rPr>
              <w:t>，是汇金股份上述违法行为的其他直接责任人员</w:t>
            </w:r>
          </w:p>
          <w:p>
            <w:pPr>
              <w:pStyle w:val="TableText"/>
              <w:ind w:left="110"/>
              <w:spacing w:before="238" w:line="117" w:lineRule="exact"/>
              <w:rPr/>
            </w:pPr>
            <w:r>
              <w:rPr>
                <w:position w:val="3"/>
              </w:rPr>
              <w:t>。</w:t>
            </w:r>
          </w:p>
        </w:tc>
      </w:tr>
      <w:tr>
        <w:trPr>
          <w:trHeight w:val="724" w:hRule="atLeast"/>
        </w:trPr>
        <w:tc>
          <w:tcPr>
            <w:tcW w:w="8891" w:type="dxa"/>
            <w:vAlign w:val="top"/>
            <w:gridSpan w:val="3"/>
          </w:tcPr>
          <w:p>
            <w:pPr>
              <w:pStyle w:val="TableText"/>
              <w:ind w:left="108" w:right="104" w:firstLine="14"/>
              <w:spacing w:before="44" w:line="234" w:lineRule="auto"/>
              <w:rPr/>
            </w:pPr>
            <w:r>
              <w:rPr>
                <w:b/>
                <w:bCs/>
                <w:spacing w:val="10"/>
              </w:rPr>
              <w:t>【行政处罚决定（拟）】</w:t>
            </w:r>
            <w:r>
              <w:rPr>
                <w:spacing w:val="10"/>
              </w:rPr>
              <w:t>中国证券监督管理委员会河北监管局拟决定</w:t>
            </w:r>
            <w:r>
              <w:rPr>
                <w:spacing w:val="-15"/>
              </w:rPr>
              <w:t xml:space="preserve"> </w:t>
            </w:r>
            <w:r>
              <w:rPr>
                <w:spacing w:val="10"/>
              </w:rPr>
              <w:t>：对时任</w:t>
            </w:r>
            <w:r>
              <w:rPr>
                <w:spacing w:val="9"/>
              </w:rPr>
              <w:t>独董魏某生给予</w:t>
            </w:r>
            <w:r>
              <w:rPr/>
              <w:t xml:space="preserve"> </w:t>
            </w:r>
            <w:r>
              <w:rPr>
                <w:spacing w:val="5"/>
              </w:rPr>
              <w:t>警告</w:t>
            </w:r>
            <w:r>
              <w:rPr>
                <w:spacing w:val="-23"/>
              </w:rPr>
              <w:t xml:space="preserve"> </w:t>
            </w:r>
            <w:r>
              <w:rPr>
                <w:spacing w:val="5"/>
              </w:rPr>
              <w:t>，并处以50万元罚款。</w:t>
            </w:r>
          </w:p>
        </w:tc>
      </w:tr>
      <w:tr>
        <w:trPr>
          <w:trHeight w:val="1445" w:hRule="atLeast"/>
        </w:trPr>
        <w:tc>
          <w:tcPr>
            <w:shd w:val="clear" w:fill="B8CCE4"/>
            <w:tcW w:w="1125" w:type="dxa"/>
            <w:vAlign w:val="top"/>
          </w:tcPr>
          <w:p>
            <w:pPr>
              <w:spacing w:line="278" w:lineRule="auto"/>
              <w:rPr>
                <w:rFonts w:ascii="Arial"/>
                <w:sz w:val="21"/>
              </w:rPr>
            </w:pPr>
            <w:r/>
          </w:p>
          <w:p>
            <w:pPr>
              <w:spacing w:line="278" w:lineRule="auto"/>
              <w:rPr>
                <w:rFonts w:ascii="Arial"/>
                <w:sz w:val="21"/>
              </w:rPr>
            </w:pPr>
            <w:r/>
          </w:p>
          <w:p>
            <w:pPr>
              <w:pStyle w:val="TableText"/>
              <w:ind w:left="197"/>
              <w:spacing w:before="86" w:line="178" w:lineRule="auto"/>
              <w:rPr/>
            </w:pPr>
            <w:r>
              <w:rPr>
                <w:spacing w:val="3"/>
              </w:rPr>
              <w:t>300368</w:t>
            </w:r>
          </w:p>
        </w:tc>
        <w:tc>
          <w:tcPr>
            <w:shd w:val="clear" w:fill="B8CCE4"/>
            <w:tcW w:w="1103" w:type="dxa"/>
            <w:vAlign w:val="top"/>
          </w:tcPr>
          <w:p>
            <w:pPr>
              <w:spacing w:line="271" w:lineRule="auto"/>
              <w:rPr>
                <w:rFonts w:ascii="Arial"/>
                <w:sz w:val="21"/>
              </w:rPr>
            </w:pPr>
            <w:r/>
          </w:p>
          <w:p>
            <w:pPr>
              <w:spacing w:line="272" w:lineRule="auto"/>
              <w:rPr>
                <w:rFonts w:ascii="Arial"/>
                <w:sz w:val="21"/>
              </w:rPr>
            </w:pPr>
            <w:r/>
          </w:p>
          <w:p>
            <w:pPr>
              <w:pStyle w:val="TableText"/>
              <w:ind w:left="119"/>
              <w:spacing w:before="86" w:line="188" w:lineRule="auto"/>
              <w:rPr/>
            </w:pPr>
            <w:r>
              <w:rPr>
                <w:spacing w:val="9"/>
              </w:rPr>
              <w:t>汇金股份</w:t>
            </w:r>
          </w:p>
        </w:tc>
        <w:tc>
          <w:tcPr>
            <w:shd w:val="clear" w:fill="B8CCE4"/>
            <w:tcW w:w="6663" w:type="dxa"/>
            <w:vAlign w:val="top"/>
          </w:tcPr>
          <w:p>
            <w:pPr>
              <w:pStyle w:val="TableText"/>
              <w:ind w:left="98" w:right="101" w:firstLine="1"/>
              <w:spacing w:before="90" w:line="235" w:lineRule="auto"/>
              <w:jc w:val="both"/>
              <w:rPr/>
            </w:pPr>
            <w:r>
              <w:rPr>
                <w:spacing w:val="14"/>
              </w:rPr>
              <w:t>公允价值变动损益计算错误；</w:t>
            </w:r>
            <w:r>
              <w:rPr>
                <w:spacing w:val="-34"/>
              </w:rPr>
              <w:t xml:space="preserve"> </w:t>
            </w:r>
            <w:r>
              <w:rPr>
                <w:spacing w:val="14"/>
              </w:rPr>
              <w:t>未按已披露的会计政策计提信用减值损</w:t>
            </w:r>
            <w:r>
              <w:rPr/>
              <w:t xml:space="preserve"> </w:t>
            </w:r>
            <w:r>
              <w:rPr>
                <w:spacing w:val="12"/>
              </w:rPr>
              <w:t>失；导致2021年年度报告存在</w:t>
            </w:r>
            <w:r>
              <w:rPr>
                <w:b/>
                <w:bCs/>
                <w:spacing w:val="12"/>
              </w:rPr>
              <w:t>虚假记载</w:t>
            </w:r>
            <w:r>
              <w:rPr>
                <w:spacing w:val="12"/>
              </w:rPr>
              <w:t>。孙某恒</w:t>
            </w:r>
            <w:r>
              <w:rPr>
                <w:spacing w:val="11"/>
              </w:rPr>
              <w:t>作为汇金股份时任财</w:t>
            </w:r>
            <w:r>
              <w:rPr/>
              <w:t xml:space="preserve"> </w:t>
            </w:r>
            <w:r>
              <w:rPr>
                <w:spacing w:val="11"/>
              </w:rPr>
              <w:t>务总监</w:t>
            </w:r>
            <w:r>
              <w:rPr>
                <w:spacing w:val="-23"/>
              </w:rPr>
              <w:t xml:space="preserve"> </w:t>
            </w:r>
            <w:r>
              <w:rPr>
                <w:spacing w:val="11"/>
              </w:rPr>
              <w:t>，签署确认意见保证汇金股份202</w:t>
            </w:r>
            <w:r>
              <w:rPr>
                <w:spacing w:val="10"/>
              </w:rPr>
              <w:t>1年年度报告真实、准确、完</w:t>
            </w:r>
            <w:r>
              <w:rPr/>
              <w:t xml:space="preserve"> </w:t>
            </w:r>
            <w:r>
              <w:rPr>
                <w:spacing w:val="8"/>
              </w:rPr>
              <w:t>整</w:t>
            </w:r>
            <w:r>
              <w:rPr>
                <w:spacing w:val="-25"/>
              </w:rPr>
              <w:t xml:space="preserve"> </w:t>
            </w:r>
            <w:r>
              <w:rPr>
                <w:spacing w:val="8"/>
              </w:rPr>
              <w:t>，是对汇金股份上述违法行为直接负责的主管人员。</w:t>
            </w:r>
          </w:p>
        </w:tc>
      </w:tr>
      <w:tr>
        <w:trPr>
          <w:trHeight w:val="725" w:hRule="atLeast"/>
        </w:trPr>
        <w:tc>
          <w:tcPr>
            <w:tcW w:w="8891" w:type="dxa"/>
            <w:vAlign w:val="top"/>
            <w:gridSpan w:val="3"/>
          </w:tcPr>
          <w:p>
            <w:pPr>
              <w:pStyle w:val="TableText"/>
              <w:ind w:left="105" w:right="104" w:firstLine="17"/>
              <w:spacing w:before="48" w:line="233" w:lineRule="auto"/>
              <w:rPr/>
            </w:pPr>
            <w:r>
              <w:rPr>
                <w:b/>
                <w:bCs/>
                <w:spacing w:val="10"/>
              </w:rPr>
              <w:t>【行政处罚决定（拟）】</w:t>
            </w:r>
            <w:r>
              <w:rPr>
                <w:spacing w:val="10"/>
              </w:rPr>
              <w:t>中国证券监督管理委员会河北监管局拟决定</w:t>
            </w:r>
            <w:r>
              <w:rPr>
                <w:spacing w:val="-15"/>
              </w:rPr>
              <w:t xml:space="preserve"> </w:t>
            </w:r>
            <w:r>
              <w:rPr>
                <w:spacing w:val="10"/>
              </w:rPr>
              <w:t>：对时任</w:t>
            </w:r>
            <w:r>
              <w:rPr>
                <w:spacing w:val="9"/>
              </w:rPr>
              <w:t>财务总监孙某恒</w:t>
            </w:r>
            <w:r>
              <w:rPr/>
              <w:t xml:space="preserve"> </w:t>
            </w:r>
            <w:r>
              <w:rPr>
                <w:spacing w:val="6"/>
              </w:rPr>
              <w:t>给予警告</w:t>
            </w:r>
            <w:r>
              <w:rPr>
                <w:spacing w:val="-25"/>
              </w:rPr>
              <w:t xml:space="preserve"> </w:t>
            </w:r>
            <w:r>
              <w:rPr>
                <w:spacing w:val="6"/>
              </w:rPr>
              <w:t>，并处以80万元罚款。</w:t>
            </w:r>
          </w:p>
        </w:tc>
      </w:tr>
      <w:tr>
        <w:trPr>
          <w:trHeight w:val="365" w:hRule="atLeast"/>
        </w:trPr>
        <w:tc>
          <w:tcPr>
            <w:shd w:val="clear" w:fill="B8CCE4"/>
            <w:tcW w:w="1125" w:type="dxa"/>
            <w:vAlign w:val="top"/>
          </w:tcPr>
          <w:p>
            <w:pPr>
              <w:pStyle w:val="TableText"/>
              <w:ind w:left="191"/>
              <w:spacing w:before="106" w:line="174" w:lineRule="auto"/>
              <w:rPr/>
            </w:pPr>
            <w:r>
              <w:rPr>
                <w:spacing w:val="3"/>
              </w:rPr>
              <w:t>002748</w:t>
            </w:r>
          </w:p>
        </w:tc>
        <w:tc>
          <w:tcPr>
            <w:shd w:val="clear" w:fill="B8CCE4"/>
            <w:tcW w:w="1103" w:type="dxa"/>
            <w:vAlign w:val="top"/>
          </w:tcPr>
          <w:p>
            <w:pPr>
              <w:pStyle w:val="TableText"/>
              <w:ind w:left="123"/>
              <w:spacing w:before="93" w:line="183" w:lineRule="auto"/>
              <w:rPr/>
            </w:pPr>
            <w:r>
              <w:rPr>
                <w:spacing w:val="8"/>
              </w:rPr>
              <w:t>世龙实业</w:t>
            </w:r>
          </w:p>
        </w:tc>
        <w:tc>
          <w:tcPr>
            <w:shd w:val="clear" w:fill="B8CCE4"/>
            <w:tcW w:w="6663" w:type="dxa"/>
            <w:vAlign w:val="top"/>
          </w:tcPr>
          <w:p>
            <w:pPr>
              <w:pStyle w:val="TableText"/>
              <w:ind w:left="109"/>
              <w:spacing w:before="90" w:line="185" w:lineRule="auto"/>
              <w:rPr/>
            </w:pPr>
            <w:r>
              <w:rPr>
                <w:spacing w:val="7"/>
              </w:rPr>
              <w:t>2019年年度报告和2020年年度报告存在</w:t>
            </w:r>
            <w:r>
              <w:rPr>
                <w:b/>
                <w:bCs/>
                <w:spacing w:val="7"/>
              </w:rPr>
              <w:t>虚假记载</w:t>
            </w:r>
            <w:r>
              <w:rPr>
                <w:spacing w:val="7"/>
              </w:rPr>
              <w:t>。</w:t>
            </w:r>
          </w:p>
        </w:tc>
      </w:tr>
      <w:tr>
        <w:trPr>
          <w:trHeight w:val="2164" w:hRule="atLeast"/>
        </w:trPr>
        <w:tc>
          <w:tcPr>
            <w:tcW w:w="8891" w:type="dxa"/>
            <w:vAlign w:val="top"/>
            <w:gridSpan w:val="3"/>
          </w:tcPr>
          <w:p>
            <w:pPr>
              <w:pStyle w:val="TableText"/>
              <w:ind w:left="123"/>
              <w:spacing w:before="48" w:line="233" w:lineRule="auto"/>
              <w:rPr/>
            </w:pPr>
            <w:r>
              <w:rPr>
                <w:b/>
                <w:bCs/>
                <w:spacing w:val="9"/>
              </w:rPr>
              <w:t>【行政处罚决定（拟）】</w:t>
            </w:r>
            <w:r>
              <w:rPr>
                <w:spacing w:val="9"/>
              </w:rPr>
              <w:t>中国证券监督管理委员会江西监管局拟</w:t>
            </w:r>
            <w:r>
              <w:rPr>
                <w:spacing w:val="8"/>
              </w:rPr>
              <w:t>决定：</w:t>
            </w:r>
          </w:p>
          <w:p>
            <w:pPr>
              <w:pStyle w:val="TableText"/>
              <w:ind w:left="139"/>
              <w:spacing w:before="30" w:line="229" w:lineRule="auto"/>
              <w:rPr/>
            </w:pPr>
            <w:r>
              <w:rPr>
                <w:spacing w:val="7"/>
              </w:rPr>
              <w:t>（一）对江西世龙实业股份有限公司责令改正</w:t>
            </w:r>
            <w:r>
              <w:rPr>
                <w:spacing w:val="-26"/>
              </w:rPr>
              <w:t xml:space="preserve"> </w:t>
            </w:r>
            <w:r>
              <w:rPr>
                <w:spacing w:val="7"/>
              </w:rPr>
              <w:t>，给予警告</w:t>
            </w:r>
            <w:r>
              <w:rPr>
                <w:spacing w:val="-27"/>
              </w:rPr>
              <w:t xml:space="preserve"> </w:t>
            </w:r>
            <w:r>
              <w:rPr>
                <w:spacing w:val="7"/>
              </w:rPr>
              <w:t>，并处以两百八十万元罚款；</w:t>
            </w:r>
          </w:p>
          <w:p>
            <w:pPr>
              <w:pStyle w:val="TableText"/>
              <w:ind w:left="139" w:right="207"/>
              <w:spacing w:before="33"/>
              <w:rPr/>
            </w:pPr>
            <w:r>
              <w:rPr>
                <w:spacing w:val="7"/>
              </w:rPr>
              <w:t>（二）对时任总经理张某清、时任副总经理汪某中给予警告</w:t>
            </w:r>
            <w:r>
              <w:rPr>
                <w:spacing w:val="-19"/>
              </w:rPr>
              <w:t xml:space="preserve"> </w:t>
            </w:r>
            <w:r>
              <w:rPr>
                <w:spacing w:val="7"/>
              </w:rPr>
              <w:t>，并分别处以一百四十万元罚款；</w:t>
            </w:r>
            <w:r>
              <w:rPr/>
              <w:t xml:space="preserve"> </w:t>
            </w:r>
            <w:r>
              <w:rPr>
                <w:spacing w:val="7"/>
              </w:rPr>
              <w:t>（三）对时任董事长、董事刘某云给予警告</w:t>
            </w:r>
            <w:r>
              <w:rPr>
                <w:spacing w:val="-18"/>
              </w:rPr>
              <w:t xml:space="preserve"> </w:t>
            </w:r>
            <w:r>
              <w:rPr>
                <w:spacing w:val="7"/>
              </w:rPr>
              <w:t>，并处以一百万元罚款；</w:t>
            </w:r>
          </w:p>
          <w:p>
            <w:pPr>
              <w:pStyle w:val="TableText"/>
              <w:ind w:left="139" w:right="627"/>
              <w:spacing w:before="33" w:line="231" w:lineRule="auto"/>
              <w:rPr/>
            </w:pPr>
            <w:r>
              <w:rPr>
                <w:spacing w:val="7"/>
              </w:rPr>
              <w:t>（四）对时任财务总监胡某国、其他关系方冯某华给予警告</w:t>
            </w:r>
            <w:r>
              <w:rPr>
                <w:spacing w:val="-25"/>
              </w:rPr>
              <w:t xml:space="preserve"> </w:t>
            </w:r>
            <w:r>
              <w:rPr>
                <w:spacing w:val="7"/>
              </w:rPr>
              <w:t>，并分别处以六十万元罚款；</w:t>
            </w:r>
            <w:r>
              <w:rPr/>
              <w:t xml:space="preserve"> </w:t>
            </w:r>
            <w:r>
              <w:rPr>
                <w:spacing w:val="7"/>
              </w:rPr>
              <w:t>（五）对其他关系方车某根给予警告</w:t>
            </w:r>
            <w:r>
              <w:rPr>
                <w:spacing w:val="-25"/>
              </w:rPr>
              <w:t xml:space="preserve"> </w:t>
            </w:r>
            <w:r>
              <w:rPr>
                <w:spacing w:val="7"/>
              </w:rPr>
              <w:t>，并处以五十万元</w:t>
            </w:r>
            <w:r>
              <w:rPr>
                <w:spacing w:val="6"/>
              </w:rPr>
              <w:t>罚款。</w:t>
            </w:r>
          </w:p>
        </w:tc>
      </w:tr>
      <w:tr>
        <w:trPr>
          <w:trHeight w:val="725" w:hRule="atLeast"/>
        </w:trPr>
        <w:tc>
          <w:tcPr>
            <w:shd w:val="clear" w:fill="B8CCE4"/>
            <w:tcW w:w="1125" w:type="dxa"/>
            <w:vAlign w:val="top"/>
          </w:tcPr>
          <w:p>
            <w:pPr>
              <w:pStyle w:val="TableText"/>
              <w:ind w:left="197"/>
              <w:spacing w:before="288" w:line="178" w:lineRule="auto"/>
              <w:rPr/>
            </w:pPr>
            <w:r>
              <w:rPr>
                <w:spacing w:val="3"/>
              </w:rPr>
              <w:t>300368</w:t>
            </w:r>
          </w:p>
        </w:tc>
        <w:tc>
          <w:tcPr>
            <w:shd w:val="clear" w:fill="B8CCE4"/>
            <w:tcW w:w="1103" w:type="dxa"/>
            <w:vAlign w:val="top"/>
          </w:tcPr>
          <w:p>
            <w:pPr>
              <w:pStyle w:val="TableText"/>
              <w:ind w:left="119"/>
              <w:spacing w:before="275" w:line="188" w:lineRule="auto"/>
              <w:rPr/>
            </w:pPr>
            <w:r>
              <w:rPr>
                <w:spacing w:val="9"/>
              </w:rPr>
              <w:t>汇金股份</w:t>
            </w:r>
          </w:p>
        </w:tc>
        <w:tc>
          <w:tcPr>
            <w:shd w:val="clear" w:fill="B8CCE4"/>
            <w:tcW w:w="6663" w:type="dxa"/>
            <w:vAlign w:val="top"/>
          </w:tcPr>
          <w:p>
            <w:pPr>
              <w:pStyle w:val="TableText"/>
              <w:ind w:left="100" w:right="103" w:firstLine="9"/>
              <w:spacing w:before="94" w:line="217" w:lineRule="auto"/>
              <w:rPr/>
            </w:pPr>
            <w:r>
              <w:rPr>
                <w:spacing w:val="11"/>
              </w:rPr>
              <w:t>2021年年度报告存在</w:t>
            </w:r>
            <w:r>
              <w:rPr>
                <w:b/>
                <w:bCs/>
                <w:spacing w:val="11"/>
              </w:rPr>
              <w:t>虚假记载</w:t>
            </w:r>
            <w:r>
              <w:rPr>
                <w:spacing w:val="11"/>
              </w:rPr>
              <w:t>；</w:t>
            </w:r>
            <w:r>
              <w:rPr>
                <w:spacing w:val="-38"/>
              </w:rPr>
              <w:t xml:space="preserve"> </w:t>
            </w:r>
            <w:r>
              <w:rPr>
                <w:spacing w:val="11"/>
              </w:rPr>
              <w:t>未按规定披露</w:t>
            </w:r>
            <w:r>
              <w:rPr>
                <w:b/>
                <w:bCs/>
                <w:spacing w:val="11"/>
              </w:rPr>
              <w:t>时</w:t>
            </w:r>
            <w:r>
              <w:rPr>
                <w:b/>
                <w:bCs/>
                <w:spacing w:val="10"/>
              </w:rPr>
              <w:t>任董事、总经理被留</w:t>
            </w:r>
            <w:r>
              <w:rPr>
                <w:b/>
                <w:bCs/>
              </w:rPr>
              <w:t xml:space="preserve"> </w:t>
            </w:r>
            <w:r>
              <w:rPr>
                <w:b/>
                <w:bCs/>
                <w:spacing w:val="7"/>
              </w:rPr>
              <w:t>置</w:t>
            </w:r>
            <w:r>
              <w:rPr>
                <w:spacing w:val="7"/>
              </w:rPr>
              <w:t>的重大事项。</w:t>
            </w:r>
          </w:p>
        </w:tc>
      </w:tr>
      <w:tr>
        <w:trPr>
          <w:trHeight w:val="734" w:hRule="atLeast"/>
        </w:trPr>
        <w:tc>
          <w:tcPr>
            <w:tcW w:w="8891" w:type="dxa"/>
            <w:vAlign w:val="top"/>
            <w:gridSpan w:val="3"/>
          </w:tcPr>
          <w:p>
            <w:pPr>
              <w:pStyle w:val="TableText"/>
              <w:ind w:left="116" w:right="104" w:firstLine="6"/>
              <w:spacing w:before="51" w:line="235" w:lineRule="auto"/>
              <w:rPr/>
            </w:pPr>
            <w:r>
              <w:rPr>
                <w:b/>
                <w:bCs/>
                <w:spacing w:val="10"/>
              </w:rPr>
              <w:t>【行政处罚决定（拟）】</w:t>
            </w:r>
            <w:r>
              <w:rPr>
                <w:spacing w:val="10"/>
              </w:rPr>
              <w:t>中国证券监督管理委员会河北监管局拟决定</w:t>
            </w:r>
            <w:r>
              <w:rPr>
                <w:spacing w:val="-15"/>
              </w:rPr>
              <w:t xml:space="preserve"> </w:t>
            </w:r>
            <w:r>
              <w:rPr>
                <w:spacing w:val="10"/>
              </w:rPr>
              <w:t>：对河北</w:t>
            </w:r>
            <w:r>
              <w:rPr>
                <w:spacing w:val="9"/>
              </w:rPr>
              <w:t>汇金集团股份有</w:t>
            </w:r>
            <w:r>
              <w:rPr/>
              <w:t xml:space="preserve"> </w:t>
            </w:r>
            <w:r>
              <w:rPr>
                <w:spacing w:val="5"/>
              </w:rPr>
              <w:t>限公司责令改正</w:t>
            </w:r>
            <w:r>
              <w:rPr>
                <w:spacing w:val="-14"/>
              </w:rPr>
              <w:t xml:space="preserve"> </w:t>
            </w:r>
            <w:r>
              <w:rPr>
                <w:spacing w:val="5"/>
              </w:rPr>
              <w:t>，给予警告</w:t>
            </w:r>
            <w:r>
              <w:rPr>
                <w:spacing w:val="-26"/>
              </w:rPr>
              <w:t xml:space="preserve"> </w:t>
            </w:r>
            <w:r>
              <w:rPr>
                <w:spacing w:val="5"/>
              </w:rPr>
              <w:t>，并处以200万元罚款。</w:t>
            </w:r>
          </w:p>
        </w:tc>
      </w:tr>
    </w:tbl>
    <w:p>
      <w:pPr>
        <w:pStyle w:val="BodyText"/>
        <w:spacing w:line="64" w:lineRule="exact"/>
        <w:rPr>
          <w:sz w:val="5"/>
        </w:rPr>
      </w:pPr>
      <w:r/>
    </w:p>
    <w:p>
      <w:pPr>
        <w:spacing w:line="64" w:lineRule="exact"/>
        <w:sectPr>
          <w:pgSz w:w="11910" w:h="16840"/>
          <w:pgMar w:top="400" w:right="1708" w:bottom="400" w:left="1109" w:header="0" w:footer="0" w:gutter="0"/>
        </w:sectPr>
        <w:rPr>
          <w:sz w:val="5"/>
          <w:szCs w:val="5"/>
        </w:rPr>
      </w:pPr>
    </w:p>
    <w:p>
      <w:pPr>
        <w:pStyle w:val="BodyText"/>
        <w:spacing w:line="407" w:lineRule="auto"/>
        <w:rPr/>
      </w:pPr>
      <w:r/>
    </w:p>
    <w:p>
      <w:pPr>
        <w:spacing w:before="103" w:line="211"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2"/>
          <w:w w:val="96"/>
        </w:rPr>
        <w:t>（</w:t>
      </w:r>
      <w:r>
        <w:rPr>
          <w:rFonts w:ascii="Microsoft YaHei" w:hAnsi="Microsoft YaHei" w:eastAsia="Microsoft YaHei" w:cs="Microsoft YaHei"/>
          <w:sz w:val="24"/>
          <w:szCs w:val="24"/>
          <w:b/>
          <w:bCs/>
          <w:color w:val="333333"/>
          <w:spacing w:val="19"/>
        </w:rPr>
        <w:t xml:space="preserve"> </w:t>
      </w:r>
      <w:r>
        <w:rPr>
          <w:rFonts w:ascii="Microsoft YaHei" w:hAnsi="Microsoft YaHei" w:eastAsia="Microsoft YaHei" w:cs="Microsoft YaHei"/>
          <w:sz w:val="24"/>
          <w:szCs w:val="24"/>
          <w:b/>
          <w:bCs/>
          <w:color w:val="333333"/>
          <w:spacing w:val="-12"/>
          <w:w w:val="96"/>
        </w:rPr>
        <w:t>3</w:t>
      </w:r>
      <w:r>
        <w:rPr>
          <w:rFonts w:ascii="Microsoft YaHei" w:hAnsi="Microsoft YaHei" w:eastAsia="Microsoft YaHei" w:cs="Microsoft YaHei"/>
          <w:sz w:val="24"/>
          <w:szCs w:val="24"/>
          <w:b/>
          <w:bCs/>
          <w:color w:val="333333"/>
          <w:spacing w:val="27"/>
        </w:rPr>
        <w:t xml:space="preserve"> </w:t>
      </w:r>
      <w:r>
        <w:rPr>
          <w:rFonts w:ascii="Microsoft YaHei" w:hAnsi="Microsoft YaHei" w:eastAsia="Microsoft YaHei" w:cs="Microsoft YaHei"/>
          <w:sz w:val="24"/>
          <w:szCs w:val="24"/>
          <w:b/>
          <w:bCs/>
          <w:color w:val="333333"/>
          <w:spacing w:val="-12"/>
          <w:w w:val="96"/>
        </w:rPr>
        <w:t>）</w:t>
      </w:r>
      <w:r>
        <w:rPr>
          <w:rFonts w:ascii="Microsoft YaHei" w:hAnsi="Microsoft YaHei" w:eastAsia="Microsoft YaHei" w:cs="Microsoft YaHei"/>
          <w:sz w:val="24"/>
          <w:szCs w:val="24"/>
          <w:b/>
          <w:bCs/>
          <w:spacing w:val="-12"/>
          <w:w w:val="96"/>
        </w:rPr>
        <w:t>行政监管措施</w:t>
      </w:r>
    </w:p>
    <w:tbl>
      <w:tblPr>
        <w:tblStyle w:val="TableNormal"/>
        <w:tblW w:w="8891" w:type="dxa"/>
        <w:tblInd w:w="20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89"/>
        <w:gridCol w:w="1139"/>
        <w:gridCol w:w="6663"/>
      </w:tblGrid>
      <w:tr>
        <w:trPr>
          <w:trHeight w:val="387" w:hRule="atLeast"/>
        </w:trPr>
        <w:tc>
          <w:tcPr>
            <w:shd w:val="clear" w:fill="4F81BD"/>
            <w:tcW w:w="1089" w:type="dxa"/>
            <w:vAlign w:val="top"/>
            <w:tcBorders>
              <w:bottom w:val="single" w:color="4F81BD" w:sz="2" w:space="0"/>
            </w:tcBorders>
          </w:tcPr>
          <w:p>
            <w:pPr>
              <w:pStyle w:val="TableText"/>
              <w:ind w:left="119"/>
              <w:spacing w:before="108" w:line="188" w:lineRule="auto"/>
              <w:rPr/>
            </w:pPr>
            <w:r>
              <w:rPr>
                <w:b/>
                <w:bCs/>
                <w:color w:val="FFFFFF"/>
                <w:spacing w:val="8"/>
              </w:rPr>
              <w:t>公司代码</w:t>
            </w:r>
          </w:p>
        </w:tc>
        <w:tc>
          <w:tcPr>
            <w:shd w:val="clear" w:fill="4F81BD"/>
            <w:tcW w:w="1139" w:type="dxa"/>
            <w:vAlign w:val="top"/>
            <w:tcBorders>
              <w:bottom w:val="single" w:color="4F81BD" w:sz="2" w:space="0"/>
            </w:tcBorders>
          </w:tcPr>
          <w:p>
            <w:pPr>
              <w:pStyle w:val="TableText"/>
              <w:ind w:left="141"/>
              <w:spacing w:before="108" w:line="188" w:lineRule="auto"/>
              <w:rPr/>
            </w:pPr>
            <w:r>
              <w:rPr>
                <w:b/>
                <w:bCs/>
                <w:color w:val="FFFFFF"/>
                <w:spacing w:val="8"/>
              </w:rPr>
              <w:t>公司简称</w:t>
            </w:r>
          </w:p>
        </w:tc>
        <w:tc>
          <w:tcPr>
            <w:shd w:val="clear" w:fill="4F81BD"/>
            <w:tcW w:w="6663" w:type="dxa"/>
            <w:vAlign w:val="top"/>
            <w:tcBorders>
              <w:bottom w:val="single" w:color="4F81BD" w:sz="2" w:space="0"/>
            </w:tcBorders>
          </w:tcPr>
          <w:p>
            <w:pPr>
              <w:pStyle w:val="TableText"/>
              <w:ind w:left="2904"/>
              <w:spacing w:before="108" w:line="188" w:lineRule="auto"/>
              <w:rPr/>
            </w:pPr>
            <w:r>
              <w:rPr>
                <w:b/>
                <w:bCs/>
                <w:color w:val="FFFFFF"/>
                <w:spacing w:val="8"/>
              </w:rPr>
              <w:t>违规行为</w:t>
            </w:r>
          </w:p>
        </w:tc>
      </w:tr>
      <w:tr>
        <w:trPr>
          <w:trHeight w:val="728" w:hRule="atLeast"/>
        </w:trPr>
        <w:tc>
          <w:tcPr>
            <w:shd w:val="clear" w:fill="B8CCE4"/>
            <w:tcW w:w="1089" w:type="dxa"/>
            <w:vAlign w:val="top"/>
            <w:tcBorders>
              <w:top w:val="single" w:color="4F81BD" w:sz="2" w:space="0"/>
            </w:tcBorders>
          </w:tcPr>
          <w:p>
            <w:pPr>
              <w:pStyle w:val="TableText"/>
              <w:ind w:left="177"/>
              <w:spacing w:before="280" w:line="178" w:lineRule="auto"/>
              <w:rPr/>
            </w:pPr>
            <w:r>
              <w:rPr>
                <w:spacing w:val="3"/>
              </w:rPr>
              <w:t>600853</w:t>
            </w:r>
          </w:p>
        </w:tc>
        <w:tc>
          <w:tcPr>
            <w:shd w:val="clear" w:fill="B8CCE4"/>
            <w:tcW w:w="1139" w:type="dxa"/>
            <w:vAlign w:val="top"/>
            <w:tcBorders>
              <w:top w:val="single" w:color="4F81BD" w:sz="2" w:space="0"/>
            </w:tcBorders>
          </w:tcPr>
          <w:p>
            <w:pPr>
              <w:pStyle w:val="TableText"/>
              <w:ind w:left="138"/>
              <w:spacing w:before="267" w:line="188" w:lineRule="auto"/>
              <w:rPr/>
            </w:pPr>
            <w:r>
              <w:rPr>
                <w:spacing w:val="9"/>
              </w:rPr>
              <w:t>龙建股份</w:t>
            </w:r>
          </w:p>
        </w:tc>
        <w:tc>
          <w:tcPr>
            <w:shd w:val="clear" w:fill="B8CCE4"/>
            <w:tcW w:w="6663" w:type="dxa"/>
            <w:vAlign w:val="top"/>
            <w:tcBorders>
              <w:top w:val="single" w:color="4F81BD" w:sz="2" w:space="0"/>
            </w:tcBorders>
          </w:tcPr>
          <w:p>
            <w:pPr>
              <w:pStyle w:val="TableText"/>
              <w:ind w:left="103" w:right="103" w:hanging="4"/>
              <w:spacing w:before="84" w:line="221" w:lineRule="auto"/>
              <w:rPr/>
            </w:pPr>
            <w:r>
              <w:rPr>
                <w:spacing w:val="14"/>
              </w:rPr>
              <w:t>第十届董事会时任独立董事</w:t>
            </w:r>
            <w:r>
              <w:rPr>
                <w:b/>
                <w:bCs/>
                <w:spacing w:val="14"/>
              </w:rPr>
              <w:t>未出席公司第十届董事会第一次会议、</w:t>
            </w:r>
            <w:r>
              <w:rPr>
                <w:b/>
                <w:bCs/>
                <w:spacing w:val="-36"/>
              </w:rPr>
              <w:t xml:space="preserve"> </w:t>
            </w:r>
            <w:r>
              <w:rPr>
                <w:b/>
                <w:bCs/>
                <w:spacing w:val="14"/>
              </w:rPr>
              <w:t>第</w:t>
            </w:r>
            <w:r>
              <w:rPr>
                <w:b/>
                <w:bCs/>
              </w:rPr>
              <w:t xml:space="preserve"> </w:t>
            </w:r>
            <w:r>
              <w:rPr>
                <w:b/>
                <w:bCs/>
                <w:spacing w:val="8"/>
              </w:rPr>
              <w:t>十届董事会第二次会议</w:t>
            </w:r>
            <w:r>
              <w:rPr>
                <w:b/>
                <w:bCs/>
                <w:spacing w:val="-18"/>
              </w:rPr>
              <w:t xml:space="preserve"> </w:t>
            </w:r>
            <w:r>
              <w:rPr>
                <w:spacing w:val="8"/>
              </w:rPr>
              <w:t>，也未书面委托其他独立董事代为出席会议。</w:t>
            </w:r>
          </w:p>
        </w:tc>
      </w:tr>
      <w:tr>
        <w:trPr>
          <w:trHeight w:val="725" w:hRule="atLeast"/>
        </w:trPr>
        <w:tc>
          <w:tcPr>
            <w:tcW w:w="8891" w:type="dxa"/>
            <w:vAlign w:val="top"/>
            <w:gridSpan w:val="3"/>
          </w:tcPr>
          <w:p>
            <w:pPr>
              <w:pStyle w:val="TableText"/>
              <w:ind w:left="108" w:right="104" w:firstLine="14"/>
              <w:spacing w:before="39" w:line="236" w:lineRule="auto"/>
              <w:rPr/>
            </w:pPr>
            <w:r>
              <w:rPr>
                <w:b/>
                <w:bCs/>
                <w:spacing w:val="11"/>
              </w:rPr>
              <w:t>【行政监管措施】</w:t>
            </w:r>
            <w:r>
              <w:rPr>
                <w:spacing w:val="11"/>
              </w:rPr>
              <w:t>中国证券监督管理委员会黑龙江监管局决定对时任独立董事张某滨</w:t>
            </w:r>
            <w:r>
              <w:rPr>
                <w:spacing w:val="10"/>
              </w:rPr>
              <w:t>采取出具</w:t>
            </w:r>
            <w:r>
              <w:rPr/>
              <w:t xml:space="preserve"> </w:t>
            </w:r>
            <w:r>
              <w:rPr>
                <w:spacing w:val="8"/>
              </w:rPr>
              <w:t>警示函的行政监管措施</w:t>
            </w:r>
            <w:r>
              <w:rPr>
                <w:spacing w:val="-25"/>
              </w:rPr>
              <w:t xml:space="preserve"> </w:t>
            </w:r>
            <w:r>
              <w:rPr>
                <w:spacing w:val="8"/>
              </w:rPr>
              <w:t>，并记入证券期货市场诚信</w:t>
            </w:r>
            <w:r>
              <w:rPr>
                <w:spacing w:val="7"/>
              </w:rPr>
              <w:t>档案。</w:t>
            </w:r>
          </w:p>
        </w:tc>
      </w:tr>
      <w:tr>
        <w:trPr>
          <w:trHeight w:val="724" w:hRule="atLeast"/>
        </w:trPr>
        <w:tc>
          <w:tcPr>
            <w:shd w:val="clear" w:fill="B8CCE4"/>
            <w:tcW w:w="1089" w:type="dxa"/>
            <w:vAlign w:val="top"/>
          </w:tcPr>
          <w:p>
            <w:pPr>
              <w:pStyle w:val="TableText"/>
              <w:ind w:left="177"/>
              <w:spacing w:before="276" w:line="179" w:lineRule="auto"/>
              <w:rPr/>
            </w:pPr>
            <w:r>
              <w:rPr>
                <w:spacing w:val="3"/>
              </w:rPr>
              <w:t>601798</w:t>
            </w:r>
          </w:p>
        </w:tc>
        <w:tc>
          <w:tcPr>
            <w:shd w:val="clear" w:fill="B8CCE4"/>
            <w:tcW w:w="1139" w:type="dxa"/>
            <w:vAlign w:val="top"/>
          </w:tcPr>
          <w:p>
            <w:pPr>
              <w:pStyle w:val="TableText"/>
              <w:ind w:left="142"/>
              <w:spacing w:before="261" w:line="190" w:lineRule="auto"/>
              <w:rPr/>
            </w:pPr>
            <w:r>
              <w:rPr>
                <w:spacing w:val="8"/>
              </w:rPr>
              <w:t>蓝科高新</w:t>
            </w:r>
          </w:p>
        </w:tc>
        <w:tc>
          <w:tcPr>
            <w:shd w:val="clear" w:fill="B8CCE4"/>
            <w:tcW w:w="6663" w:type="dxa"/>
            <w:vAlign w:val="top"/>
          </w:tcPr>
          <w:p>
            <w:pPr>
              <w:pStyle w:val="TableText"/>
              <w:ind w:left="105" w:right="103" w:hanging="6"/>
              <w:spacing w:before="81" w:line="221" w:lineRule="auto"/>
              <w:rPr/>
            </w:pPr>
            <w:r>
              <w:rPr>
                <w:spacing w:val="13"/>
              </w:rPr>
              <w:t>第一大股东中国能源工程集团有限公司在知悉</w:t>
            </w:r>
            <w:r>
              <w:rPr>
                <w:b/>
                <w:bCs/>
                <w:spacing w:val="13"/>
              </w:rPr>
              <w:t>被动减</w:t>
            </w:r>
            <w:r>
              <w:rPr>
                <w:b/>
                <w:bCs/>
                <w:spacing w:val="12"/>
              </w:rPr>
              <w:t>持</w:t>
            </w:r>
            <w:r>
              <w:rPr>
                <w:spacing w:val="12"/>
              </w:rPr>
              <w:t>相关信息后,未</w:t>
            </w:r>
            <w:r>
              <w:rPr/>
              <w:t xml:space="preserve"> </w:t>
            </w:r>
            <w:r>
              <w:rPr>
                <w:spacing w:val="9"/>
              </w:rPr>
              <w:t>予以充分关注,未向证券交易所报告并及时履行信息披</w:t>
            </w:r>
            <w:r>
              <w:rPr>
                <w:spacing w:val="8"/>
              </w:rPr>
              <w:t>露义务。</w:t>
            </w:r>
          </w:p>
        </w:tc>
      </w:tr>
      <w:tr>
        <w:trPr>
          <w:trHeight w:val="724" w:hRule="atLeast"/>
        </w:trPr>
        <w:tc>
          <w:tcPr>
            <w:tcW w:w="8891" w:type="dxa"/>
            <w:vAlign w:val="top"/>
            <w:gridSpan w:val="3"/>
          </w:tcPr>
          <w:p>
            <w:pPr>
              <w:pStyle w:val="TableText"/>
              <w:ind w:left="122" w:right="164"/>
              <w:spacing w:before="41" w:line="235" w:lineRule="auto"/>
              <w:rPr/>
            </w:pPr>
            <w:r>
              <w:rPr>
                <w:b/>
                <w:bCs/>
                <w:spacing w:val="9"/>
              </w:rPr>
              <w:t>【行政监管措施】</w:t>
            </w:r>
            <w:r>
              <w:rPr>
                <w:spacing w:val="9"/>
              </w:rPr>
              <w:t>中国证券监督管理委员会甘肃监管局决定对中国能源工程集团有限公司采取</w:t>
            </w:r>
            <w:r>
              <w:rPr>
                <w:spacing w:val="18"/>
                <w:w w:val="101"/>
              </w:rPr>
              <w:t xml:space="preserve"> </w:t>
            </w:r>
            <w:r>
              <w:rPr>
                <w:spacing w:val="8"/>
              </w:rPr>
              <w:t>出具警示函的行政监管措施,并记入证券期货市场诚信档案。</w:t>
            </w:r>
          </w:p>
        </w:tc>
      </w:tr>
      <w:tr>
        <w:trPr>
          <w:trHeight w:val="724" w:hRule="atLeast"/>
        </w:trPr>
        <w:tc>
          <w:tcPr>
            <w:shd w:val="clear" w:fill="B8CCE4"/>
            <w:tcW w:w="1089" w:type="dxa"/>
            <w:vAlign w:val="top"/>
          </w:tcPr>
          <w:p>
            <w:pPr>
              <w:pStyle w:val="TableText"/>
              <w:ind w:left="177"/>
              <w:spacing w:before="279" w:line="179" w:lineRule="auto"/>
              <w:rPr/>
            </w:pPr>
            <w:r>
              <w:rPr>
                <w:spacing w:val="3"/>
              </w:rPr>
              <w:t>600169</w:t>
            </w:r>
          </w:p>
        </w:tc>
        <w:tc>
          <w:tcPr>
            <w:shd w:val="clear" w:fill="B8CCE4"/>
            <w:tcW w:w="1139" w:type="dxa"/>
            <w:vAlign w:val="top"/>
          </w:tcPr>
          <w:p>
            <w:pPr>
              <w:pStyle w:val="TableText"/>
              <w:ind w:left="140"/>
              <w:spacing w:before="267" w:line="188" w:lineRule="auto"/>
              <w:rPr/>
            </w:pPr>
            <w:r>
              <w:rPr>
                <w:spacing w:val="8"/>
              </w:rPr>
              <w:t>太原重工</w:t>
            </w:r>
          </w:p>
        </w:tc>
        <w:tc>
          <w:tcPr>
            <w:shd w:val="clear" w:fill="B8CCE4"/>
            <w:tcW w:w="6663" w:type="dxa"/>
            <w:vAlign w:val="top"/>
          </w:tcPr>
          <w:p>
            <w:pPr>
              <w:pStyle w:val="TableText"/>
              <w:ind w:left="100" w:right="101" w:firstLine="1"/>
              <w:spacing w:before="50" w:line="232" w:lineRule="auto"/>
              <w:rPr/>
            </w:pPr>
            <w:r>
              <w:rPr>
                <w:spacing w:val="14"/>
              </w:rPr>
              <w:t>致同会计师事务所（特殊普通合伙）</w:t>
            </w:r>
            <w:r>
              <w:rPr>
                <w:spacing w:val="-35"/>
              </w:rPr>
              <w:t xml:space="preserve"> </w:t>
            </w:r>
            <w:r>
              <w:rPr>
                <w:spacing w:val="14"/>
              </w:rPr>
              <w:t>及注册会计师执业的太原重工股</w:t>
            </w:r>
            <w:r>
              <w:rPr/>
              <w:t xml:space="preserve"> </w:t>
            </w:r>
            <w:r>
              <w:rPr>
                <w:spacing w:val="8"/>
              </w:rPr>
              <w:t>份有限公司2020-2022年</w:t>
            </w:r>
            <w:r>
              <w:rPr>
                <w:b/>
                <w:bCs/>
                <w:spacing w:val="8"/>
              </w:rPr>
              <w:t>年报审计项目</w:t>
            </w:r>
            <w:r>
              <w:rPr>
                <w:spacing w:val="8"/>
              </w:rPr>
              <w:t>存</w:t>
            </w:r>
            <w:r>
              <w:rPr>
                <w:spacing w:val="7"/>
              </w:rPr>
              <w:t>在问题。</w:t>
            </w:r>
          </w:p>
        </w:tc>
      </w:tr>
      <w:tr>
        <w:trPr>
          <w:trHeight w:val="725" w:hRule="atLeast"/>
        </w:trPr>
        <w:tc>
          <w:tcPr>
            <w:tcW w:w="8891" w:type="dxa"/>
            <w:vAlign w:val="top"/>
            <w:gridSpan w:val="3"/>
          </w:tcPr>
          <w:p>
            <w:pPr>
              <w:pStyle w:val="TableText"/>
              <w:ind w:left="109" w:right="209" w:firstLine="14"/>
              <w:spacing w:before="45" w:line="234" w:lineRule="auto"/>
              <w:rPr/>
            </w:pPr>
            <w:r>
              <w:rPr>
                <w:b/>
                <w:bCs/>
                <w:spacing w:val="8"/>
              </w:rPr>
              <w:t>【行政监管措施】</w:t>
            </w:r>
            <w:r>
              <w:rPr>
                <w:spacing w:val="8"/>
              </w:rPr>
              <w:t>山西证监局决定对致同会计师事务所（特殊普通合伙）及注册会计师李某、</w:t>
            </w:r>
            <w:r>
              <w:rPr>
                <w:spacing w:val="13"/>
              </w:rPr>
              <w:t xml:space="preserve"> </w:t>
            </w:r>
            <w:r>
              <w:rPr>
                <w:spacing w:val="9"/>
              </w:rPr>
              <w:t>司某库、彭某红、郑某有采取出具警示函的监督管理措施,并记入证券期货市场诚信档案。</w:t>
            </w:r>
          </w:p>
        </w:tc>
      </w:tr>
      <w:tr>
        <w:trPr>
          <w:trHeight w:val="364" w:hRule="atLeast"/>
        </w:trPr>
        <w:tc>
          <w:tcPr>
            <w:shd w:val="clear" w:fill="B8CCE4"/>
            <w:tcW w:w="1089" w:type="dxa"/>
            <w:vAlign w:val="top"/>
          </w:tcPr>
          <w:p>
            <w:pPr>
              <w:pStyle w:val="TableText"/>
              <w:ind w:left="174"/>
              <w:spacing w:before="105" w:line="174" w:lineRule="auto"/>
              <w:rPr/>
            </w:pPr>
            <w:r>
              <w:rPr>
                <w:spacing w:val="3"/>
              </w:rPr>
              <w:t>002687</w:t>
            </w:r>
          </w:p>
        </w:tc>
        <w:tc>
          <w:tcPr>
            <w:shd w:val="clear" w:fill="B8CCE4"/>
            <w:tcW w:w="1139" w:type="dxa"/>
            <w:vAlign w:val="top"/>
          </w:tcPr>
          <w:p>
            <w:pPr>
              <w:pStyle w:val="TableText"/>
              <w:ind w:left="242"/>
              <w:spacing w:before="89" w:line="185" w:lineRule="auto"/>
              <w:rPr/>
            </w:pPr>
            <w:r>
              <w:rPr>
                <w:spacing w:val="8"/>
              </w:rPr>
              <w:t>乔治白</w:t>
            </w:r>
          </w:p>
        </w:tc>
        <w:tc>
          <w:tcPr>
            <w:shd w:val="clear" w:fill="B8CCE4"/>
            <w:tcW w:w="6663" w:type="dxa"/>
            <w:vAlign w:val="top"/>
          </w:tcPr>
          <w:p>
            <w:pPr>
              <w:pStyle w:val="TableText"/>
              <w:ind w:left="100"/>
              <w:spacing w:before="90" w:line="184" w:lineRule="auto"/>
              <w:rPr/>
            </w:pPr>
            <w:r>
              <w:rPr>
                <w:spacing w:val="8"/>
              </w:rPr>
              <w:t>大股东女儿</w:t>
            </w:r>
            <w:r>
              <w:rPr>
                <w:b/>
                <w:bCs/>
                <w:spacing w:val="8"/>
              </w:rPr>
              <w:t>短线交易。</w:t>
            </w:r>
          </w:p>
        </w:tc>
      </w:tr>
      <w:tr>
        <w:trPr>
          <w:trHeight w:val="724" w:hRule="atLeast"/>
        </w:trPr>
        <w:tc>
          <w:tcPr>
            <w:tcW w:w="8891" w:type="dxa"/>
            <w:vAlign w:val="top"/>
            <w:gridSpan w:val="3"/>
          </w:tcPr>
          <w:p>
            <w:pPr>
              <w:pStyle w:val="TableText"/>
              <w:ind w:left="107" w:right="164" w:firstLine="15"/>
              <w:spacing w:before="47" w:line="233" w:lineRule="auto"/>
              <w:rPr/>
            </w:pPr>
            <w:r>
              <w:rPr>
                <w:b/>
                <w:bCs/>
                <w:spacing w:val="9"/>
              </w:rPr>
              <w:t>【行政监管措施】</w:t>
            </w:r>
            <w:r>
              <w:rPr>
                <w:spacing w:val="9"/>
              </w:rPr>
              <w:t>中国证券监督管理委员会浙江监管局决定对大股东钱某芝采取出具警示函的</w:t>
            </w:r>
            <w:r>
              <w:rPr>
                <w:spacing w:val="18"/>
                <w:w w:val="101"/>
              </w:rPr>
              <w:t xml:space="preserve"> </w:t>
            </w:r>
            <w:r>
              <w:rPr>
                <w:spacing w:val="7"/>
              </w:rPr>
              <w:t>监督管理措施</w:t>
            </w:r>
            <w:r>
              <w:rPr>
                <w:spacing w:val="-14"/>
              </w:rPr>
              <w:t xml:space="preserve"> </w:t>
            </w:r>
            <w:r>
              <w:rPr>
                <w:spacing w:val="7"/>
              </w:rPr>
              <w:t>，并记入证券期货市场诚信档案。</w:t>
            </w:r>
          </w:p>
        </w:tc>
      </w:tr>
      <w:tr>
        <w:trPr>
          <w:trHeight w:val="364" w:hRule="atLeast"/>
        </w:trPr>
        <w:tc>
          <w:tcPr>
            <w:shd w:val="clear" w:fill="B8CCE4"/>
            <w:tcW w:w="1089" w:type="dxa"/>
            <w:vAlign w:val="top"/>
          </w:tcPr>
          <w:p>
            <w:pPr>
              <w:pStyle w:val="TableText"/>
              <w:ind w:left="174"/>
              <w:spacing w:before="106" w:line="173" w:lineRule="auto"/>
              <w:rPr/>
            </w:pPr>
            <w:r>
              <w:rPr>
                <w:spacing w:val="3"/>
              </w:rPr>
              <w:t>002144</w:t>
            </w:r>
          </w:p>
        </w:tc>
        <w:tc>
          <w:tcPr>
            <w:shd w:val="clear" w:fill="B8CCE4"/>
            <w:tcW w:w="1139" w:type="dxa"/>
            <w:vAlign w:val="top"/>
          </w:tcPr>
          <w:p>
            <w:pPr>
              <w:pStyle w:val="TableText"/>
              <w:ind w:left="140"/>
              <w:spacing w:before="90" w:line="184" w:lineRule="auto"/>
              <w:rPr/>
            </w:pPr>
            <w:r>
              <w:rPr>
                <w:spacing w:val="8"/>
              </w:rPr>
              <w:t>宏达高科</w:t>
            </w:r>
          </w:p>
        </w:tc>
        <w:tc>
          <w:tcPr>
            <w:shd w:val="clear" w:fill="B8CCE4"/>
            <w:tcW w:w="6663" w:type="dxa"/>
            <w:vAlign w:val="top"/>
          </w:tcPr>
          <w:p>
            <w:pPr>
              <w:pStyle w:val="TableText"/>
              <w:ind w:left="101"/>
              <w:spacing w:before="90" w:line="184" w:lineRule="auto"/>
              <w:rPr/>
            </w:pPr>
            <w:r>
              <w:rPr>
                <w:spacing w:val="8"/>
              </w:rPr>
              <w:t>高管配偶</w:t>
            </w:r>
            <w:r>
              <w:rPr>
                <w:b/>
                <w:bCs/>
                <w:spacing w:val="8"/>
              </w:rPr>
              <w:t>短线交易。</w:t>
            </w:r>
          </w:p>
        </w:tc>
      </w:tr>
      <w:tr>
        <w:trPr>
          <w:trHeight w:val="724" w:hRule="atLeast"/>
        </w:trPr>
        <w:tc>
          <w:tcPr>
            <w:tcW w:w="8891" w:type="dxa"/>
            <w:vAlign w:val="top"/>
            <w:gridSpan w:val="3"/>
          </w:tcPr>
          <w:p>
            <w:pPr>
              <w:pStyle w:val="TableText"/>
              <w:ind w:left="105" w:right="164" w:firstLine="18"/>
              <w:spacing w:before="50" w:line="232" w:lineRule="auto"/>
              <w:rPr/>
            </w:pPr>
            <w:r>
              <w:rPr>
                <w:b/>
                <w:bCs/>
                <w:spacing w:val="9"/>
              </w:rPr>
              <w:t>【行政监管措施】</w:t>
            </w:r>
            <w:r>
              <w:rPr>
                <w:spacing w:val="9"/>
              </w:rPr>
              <w:t>中国证券监督管理委员会浙江监管局决定对高管金某红采取出具警示函的监</w:t>
            </w:r>
            <w:r>
              <w:rPr>
                <w:spacing w:val="18"/>
                <w:w w:val="101"/>
              </w:rPr>
              <w:t xml:space="preserve"> </w:t>
            </w:r>
            <w:r>
              <w:rPr>
                <w:spacing w:val="7"/>
              </w:rPr>
              <w:t>督管理措施</w:t>
            </w:r>
            <w:r>
              <w:rPr>
                <w:spacing w:val="-14"/>
              </w:rPr>
              <w:t xml:space="preserve"> </w:t>
            </w:r>
            <w:r>
              <w:rPr>
                <w:spacing w:val="7"/>
              </w:rPr>
              <w:t>，并记入证券期货市场诚信档案。</w:t>
            </w:r>
          </w:p>
        </w:tc>
      </w:tr>
      <w:tr>
        <w:trPr>
          <w:trHeight w:val="724" w:hRule="atLeast"/>
        </w:trPr>
        <w:tc>
          <w:tcPr>
            <w:shd w:val="clear" w:fill="B8CCE4"/>
            <w:tcW w:w="1089" w:type="dxa"/>
            <w:vAlign w:val="top"/>
          </w:tcPr>
          <w:p>
            <w:pPr>
              <w:pStyle w:val="TableText"/>
              <w:ind w:left="174"/>
              <w:spacing w:before="288" w:line="178" w:lineRule="auto"/>
              <w:rPr/>
            </w:pPr>
            <w:r>
              <w:rPr>
                <w:spacing w:val="3"/>
              </w:rPr>
              <w:t>002748</w:t>
            </w:r>
          </w:p>
        </w:tc>
        <w:tc>
          <w:tcPr>
            <w:shd w:val="clear" w:fill="B8CCE4"/>
            <w:tcW w:w="1139" w:type="dxa"/>
            <w:vAlign w:val="top"/>
          </w:tcPr>
          <w:p>
            <w:pPr>
              <w:pStyle w:val="TableText"/>
              <w:ind w:left="142"/>
              <w:spacing w:before="273" w:line="189" w:lineRule="auto"/>
              <w:rPr/>
            </w:pPr>
            <w:r>
              <w:rPr>
                <w:spacing w:val="8"/>
              </w:rPr>
              <w:t>世龙实业</w:t>
            </w:r>
          </w:p>
        </w:tc>
        <w:tc>
          <w:tcPr>
            <w:shd w:val="clear" w:fill="B8CCE4"/>
            <w:tcW w:w="6663" w:type="dxa"/>
            <w:vAlign w:val="top"/>
          </w:tcPr>
          <w:p>
            <w:pPr>
              <w:pStyle w:val="TableText"/>
              <w:ind w:left="101" w:right="101"/>
              <w:spacing w:before="93" w:line="217" w:lineRule="auto"/>
              <w:rPr/>
            </w:pPr>
            <w:r>
              <w:rPr>
                <w:spacing w:val="13"/>
              </w:rPr>
              <w:t>董事、总经理未依规履行向上市公司报告相关关联关系</w:t>
            </w:r>
            <w:r>
              <w:rPr>
                <w:spacing w:val="-6"/>
              </w:rPr>
              <w:t xml:space="preserve"> </w:t>
            </w:r>
            <w:r>
              <w:rPr>
                <w:spacing w:val="13"/>
              </w:rPr>
              <w:t>，导致世龙实</w:t>
            </w:r>
            <w:r>
              <w:rPr/>
              <w:t xml:space="preserve"> </w:t>
            </w:r>
            <w:r>
              <w:rPr>
                <w:spacing w:val="8"/>
              </w:rPr>
              <w:t>业未及时披露期间</w:t>
            </w:r>
            <w:r>
              <w:rPr>
                <w:b/>
                <w:bCs/>
                <w:spacing w:val="8"/>
              </w:rPr>
              <w:t>关联交易</w:t>
            </w:r>
            <w:r>
              <w:rPr>
                <w:spacing w:val="8"/>
              </w:rPr>
              <w:t>情况。</w:t>
            </w:r>
          </w:p>
        </w:tc>
      </w:tr>
      <w:tr>
        <w:trPr>
          <w:trHeight w:val="725" w:hRule="atLeast"/>
        </w:trPr>
        <w:tc>
          <w:tcPr>
            <w:tcW w:w="8891" w:type="dxa"/>
            <w:vAlign w:val="top"/>
            <w:gridSpan w:val="3"/>
          </w:tcPr>
          <w:p>
            <w:pPr>
              <w:pStyle w:val="TableText"/>
              <w:ind w:left="106" w:right="104" w:firstLine="16"/>
              <w:spacing w:before="51" w:line="232" w:lineRule="auto"/>
              <w:rPr/>
            </w:pPr>
            <w:r>
              <w:rPr>
                <w:b/>
                <w:bCs/>
                <w:spacing w:val="11"/>
              </w:rPr>
              <w:t>【行政监管措施】</w:t>
            </w:r>
            <w:r>
              <w:rPr>
                <w:spacing w:val="11"/>
              </w:rPr>
              <w:t>中国证券监督管理委员会江西监管局决定对董事、总经理汪某清采</w:t>
            </w:r>
            <w:r>
              <w:rPr>
                <w:spacing w:val="10"/>
              </w:rPr>
              <w:t>取出具警</w:t>
            </w:r>
            <w:r>
              <w:rPr/>
              <w:t xml:space="preserve"> </w:t>
            </w:r>
            <w:r>
              <w:rPr>
                <w:spacing w:val="8"/>
              </w:rPr>
              <w:t>示函的监管措施</w:t>
            </w:r>
            <w:r>
              <w:rPr>
                <w:spacing w:val="-27"/>
              </w:rPr>
              <w:t xml:space="preserve"> </w:t>
            </w:r>
            <w:r>
              <w:rPr>
                <w:spacing w:val="8"/>
              </w:rPr>
              <w:t>，并记入资本市场诚信档案数</w:t>
            </w:r>
            <w:r>
              <w:rPr>
                <w:spacing w:val="7"/>
              </w:rPr>
              <w:t>据库。</w:t>
            </w:r>
          </w:p>
        </w:tc>
      </w:tr>
      <w:tr>
        <w:trPr>
          <w:trHeight w:val="724" w:hRule="atLeast"/>
        </w:trPr>
        <w:tc>
          <w:tcPr>
            <w:shd w:val="clear" w:fill="B8CCE4"/>
            <w:tcW w:w="1089" w:type="dxa"/>
            <w:vAlign w:val="top"/>
          </w:tcPr>
          <w:p>
            <w:pPr>
              <w:pStyle w:val="TableText"/>
              <w:ind w:left="174"/>
              <w:spacing w:before="288" w:line="179" w:lineRule="auto"/>
              <w:rPr/>
            </w:pPr>
            <w:r>
              <w:rPr>
                <w:spacing w:val="3"/>
              </w:rPr>
              <w:t>000918</w:t>
            </w:r>
          </w:p>
        </w:tc>
        <w:tc>
          <w:tcPr>
            <w:shd w:val="clear" w:fill="B8CCE4"/>
            <w:tcW w:w="1139" w:type="dxa"/>
            <w:vAlign w:val="top"/>
          </w:tcPr>
          <w:p>
            <w:pPr>
              <w:pStyle w:val="TableText"/>
              <w:ind w:left="186"/>
              <w:spacing w:before="275" w:line="189" w:lineRule="auto"/>
              <w:rPr/>
            </w:pPr>
            <w:r>
              <w:rPr>
                <w:spacing w:val="8"/>
              </w:rPr>
              <w:t>*</w:t>
            </w:r>
            <w:r>
              <w:rPr/>
              <w:t>ST</w:t>
            </w:r>
            <w:r>
              <w:rPr>
                <w:spacing w:val="8"/>
              </w:rPr>
              <w:t>嘉凯</w:t>
            </w:r>
          </w:p>
        </w:tc>
        <w:tc>
          <w:tcPr>
            <w:shd w:val="clear" w:fill="B8CCE4"/>
            <w:tcW w:w="6663" w:type="dxa"/>
            <w:vAlign w:val="top"/>
          </w:tcPr>
          <w:p>
            <w:pPr>
              <w:pStyle w:val="TableText"/>
              <w:ind w:left="108" w:right="103" w:hanging="8"/>
              <w:spacing w:before="96" w:line="216" w:lineRule="auto"/>
              <w:rPr/>
            </w:pPr>
            <w:r>
              <w:rPr>
                <w:spacing w:val="13"/>
              </w:rPr>
              <w:t>控股股东未按照承诺向嘉凯城支付业绩补偿款</w:t>
            </w:r>
            <w:r>
              <w:rPr>
                <w:spacing w:val="-7"/>
              </w:rPr>
              <w:t xml:space="preserve"> </w:t>
            </w:r>
            <w:r>
              <w:rPr>
                <w:spacing w:val="13"/>
              </w:rPr>
              <w:t>，存在</w:t>
            </w:r>
            <w:r>
              <w:rPr>
                <w:b/>
                <w:bCs/>
                <w:spacing w:val="13"/>
              </w:rPr>
              <w:t>超期未履行承诺</w:t>
            </w:r>
            <w:r>
              <w:rPr>
                <w:b/>
                <w:bCs/>
              </w:rPr>
              <w:t xml:space="preserve"> </w:t>
            </w:r>
            <w:r>
              <w:rPr>
                <w:spacing w:val="4"/>
              </w:rPr>
              <w:t>的情况。</w:t>
            </w:r>
          </w:p>
        </w:tc>
      </w:tr>
      <w:tr>
        <w:trPr>
          <w:trHeight w:val="725" w:hRule="atLeast"/>
        </w:trPr>
        <w:tc>
          <w:tcPr>
            <w:tcW w:w="8891" w:type="dxa"/>
            <w:vAlign w:val="top"/>
            <w:gridSpan w:val="3"/>
          </w:tcPr>
          <w:p>
            <w:pPr>
              <w:pStyle w:val="TableText"/>
              <w:ind w:left="106" w:right="164" w:firstLine="16"/>
              <w:spacing w:before="54" w:line="231" w:lineRule="auto"/>
              <w:rPr/>
            </w:pPr>
            <w:r>
              <w:rPr>
                <w:b/>
                <w:bCs/>
                <w:spacing w:val="9"/>
              </w:rPr>
              <w:t>【行政监管措施】</w:t>
            </w:r>
            <w:r>
              <w:rPr>
                <w:spacing w:val="9"/>
              </w:rPr>
              <w:t>中国证券监督管理委员会浙江监管局决定对深圳市华建控股有限公司采取出</w:t>
            </w:r>
            <w:r>
              <w:rPr>
                <w:spacing w:val="18"/>
                <w:w w:val="101"/>
              </w:rPr>
              <w:t xml:space="preserve"> </w:t>
            </w:r>
            <w:r>
              <w:rPr>
                <w:spacing w:val="8"/>
              </w:rPr>
              <w:t>具警示函的监督管理措施</w:t>
            </w:r>
            <w:r>
              <w:rPr>
                <w:spacing w:val="-23"/>
              </w:rPr>
              <w:t xml:space="preserve"> </w:t>
            </w:r>
            <w:r>
              <w:rPr>
                <w:spacing w:val="8"/>
              </w:rPr>
              <w:t>，并记入证券期货市场诚信档案。</w:t>
            </w:r>
          </w:p>
        </w:tc>
      </w:tr>
      <w:tr>
        <w:trPr>
          <w:trHeight w:val="364" w:hRule="atLeast"/>
        </w:trPr>
        <w:tc>
          <w:tcPr>
            <w:shd w:val="clear" w:fill="B8CCE4"/>
            <w:tcW w:w="1089" w:type="dxa"/>
            <w:vAlign w:val="top"/>
          </w:tcPr>
          <w:p>
            <w:pPr>
              <w:pStyle w:val="TableText"/>
              <w:ind w:left="174"/>
              <w:spacing w:before="112" w:line="169" w:lineRule="auto"/>
              <w:rPr/>
            </w:pPr>
            <w:r>
              <w:rPr>
                <w:spacing w:val="3"/>
              </w:rPr>
              <w:t>000710</w:t>
            </w:r>
          </w:p>
        </w:tc>
        <w:tc>
          <w:tcPr>
            <w:shd w:val="clear" w:fill="B8CCE4"/>
            <w:tcW w:w="1139" w:type="dxa"/>
            <w:vAlign w:val="top"/>
          </w:tcPr>
          <w:p>
            <w:pPr>
              <w:pStyle w:val="TableText"/>
              <w:ind w:left="144"/>
              <w:spacing w:before="99" w:line="178" w:lineRule="auto"/>
              <w:rPr/>
            </w:pPr>
            <w:r>
              <w:rPr>
                <w:spacing w:val="7"/>
              </w:rPr>
              <w:t>贝瑞基因</w:t>
            </w:r>
          </w:p>
        </w:tc>
        <w:tc>
          <w:tcPr>
            <w:shd w:val="clear" w:fill="B8CCE4"/>
            <w:tcW w:w="6663" w:type="dxa"/>
            <w:vAlign w:val="top"/>
          </w:tcPr>
          <w:p>
            <w:pPr>
              <w:pStyle w:val="TableText"/>
              <w:ind w:left="113"/>
              <w:spacing w:before="99" w:line="178" w:lineRule="auto"/>
              <w:rPr/>
            </w:pPr>
            <w:r>
              <w:rPr>
                <w:b/>
                <w:bCs/>
                <w:spacing w:val="8"/>
              </w:rPr>
              <w:t>内控执行</w:t>
            </w:r>
            <w:r>
              <w:rPr>
                <w:spacing w:val="8"/>
              </w:rPr>
              <w:t>不到位；</w:t>
            </w:r>
            <w:r>
              <w:rPr>
                <w:b/>
                <w:bCs/>
                <w:spacing w:val="8"/>
              </w:rPr>
              <w:t>会计核算</w:t>
            </w:r>
            <w:r>
              <w:rPr>
                <w:spacing w:val="8"/>
              </w:rPr>
              <w:t>不规范。</w:t>
            </w:r>
          </w:p>
        </w:tc>
      </w:tr>
      <w:tr>
        <w:trPr>
          <w:trHeight w:val="724" w:hRule="atLeast"/>
        </w:trPr>
        <w:tc>
          <w:tcPr>
            <w:tcW w:w="8891" w:type="dxa"/>
            <w:vAlign w:val="top"/>
            <w:gridSpan w:val="3"/>
          </w:tcPr>
          <w:p>
            <w:pPr>
              <w:pStyle w:val="TableText"/>
              <w:ind w:left="107" w:right="113" w:firstLine="15"/>
              <w:spacing w:before="56" w:line="230" w:lineRule="auto"/>
              <w:rPr/>
            </w:pPr>
            <w:r>
              <w:rPr>
                <w:b/>
                <w:bCs/>
                <w:spacing w:val="9"/>
              </w:rPr>
              <w:t>【行政监管措施】</w:t>
            </w:r>
            <w:r>
              <w:rPr>
                <w:spacing w:val="9"/>
              </w:rPr>
              <w:t>中国证券监督管理委员会四川监管局决定对董事长,</w:t>
            </w:r>
            <w:r>
              <w:rPr>
                <w:spacing w:val="8"/>
              </w:rPr>
              <w:t>总经理高某、</w:t>
            </w:r>
            <w:r>
              <w:rPr>
                <w:spacing w:val="-36"/>
              </w:rPr>
              <w:t xml:space="preserve"> </w:t>
            </w:r>
            <w:r>
              <w:rPr>
                <w:spacing w:val="8"/>
              </w:rPr>
              <w:t>时任财务总</w:t>
            </w:r>
            <w:r>
              <w:rPr/>
              <w:t xml:space="preserve"> </w:t>
            </w:r>
            <w:r>
              <w:rPr>
                <w:spacing w:val="9"/>
              </w:rPr>
              <w:t>监张某清采取出具警示函行政监管措施。</w:t>
            </w:r>
          </w:p>
        </w:tc>
      </w:tr>
      <w:tr>
        <w:trPr>
          <w:trHeight w:val="1084" w:hRule="atLeast"/>
        </w:trPr>
        <w:tc>
          <w:tcPr>
            <w:shd w:val="clear" w:fill="B8CCE4"/>
            <w:tcW w:w="1089" w:type="dxa"/>
            <w:vAlign w:val="top"/>
          </w:tcPr>
          <w:p>
            <w:pPr>
              <w:spacing w:line="386" w:lineRule="auto"/>
              <w:rPr>
                <w:rFonts w:ascii="Arial"/>
                <w:sz w:val="21"/>
              </w:rPr>
            </w:pPr>
            <w:r/>
          </w:p>
          <w:p>
            <w:pPr>
              <w:pStyle w:val="TableText"/>
              <w:ind w:left="177"/>
              <w:spacing w:before="86" w:line="178" w:lineRule="auto"/>
              <w:rPr/>
            </w:pPr>
            <w:r>
              <w:rPr>
                <w:spacing w:val="3"/>
              </w:rPr>
              <w:t>600734</w:t>
            </w:r>
          </w:p>
        </w:tc>
        <w:tc>
          <w:tcPr>
            <w:shd w:val="clear" w:fill="B8CCE4"/>
            <w:tcW w:w="1139" w:type="dxa"/>
            <w:vAlign w:val="top"/>
          </w:tcPr>
          <w:p>
            <w:pPr>
              <w:spacing w:line="372" w:lineRule="auto"/>
              <w:rPr>
                <w:rFonts w:ascii="Arial"/>
                <w:sz w:val="21"/>
              </w:rPr>
            </w:pPr>
            <w:r/>
          </w:p>
          <w:p>
            <w:pPr>
              <w:pStyle w:val="TableText"/>
              <w:ind w:left="239"/>
              <w:spacing w:before="85" w:line="189" w:lineRule="auto"/>
              <w:rPr/>
            </w:pPr>
            <w:r>
              <w:rPr/>
              <w:t>ST</w:t>
            </w:r>
            <w:r>
              <w:rPr>
                <w:spacing w:val="7"/>
              </w:rPr>
              <w:t>实达</w:t>
            </w:r>
          </w:p>
        </w:tc>
        <w:tc>
          <w:tcPr>
            <w:shd w:val="clear" w:fill="B8CCE4"/>
            <w:tcW w:w="6663" w:type="dxa"/>
            <w:vAlign w:val="top"/>
          </w:tcPr>
          <w:p>
            <w:pPr>
              <w:pStyle w:val="TableText"/>
              <w:ind w:left="100" w:right="103"/>
              <w:spacing w:before="61" w:line="236" w:lineRule="auto"/>
              <w:jc w:val="both"/>
              <w:rPr/>
            </w:pPr>
            <w:r>
              <w:rPr>
                <w:spacing w:val="14"/>
              </w:rPr>
              <w:t>福州赤恒成达投资合伙企业（有限合伙）</w:t>
            </w:r>
            <w:r>
              <w:rPr>
                <w:spacing w:val="-33"/>
              </w:rPr>
              <w:t xml:space="preserve"> </w:t>
            </w:r>
            <w:r>
              <w:rPr>
                <w:spacing w:val="14"/>
              </w:rPr>
              <w:t>未如实将</w:t>
            </w:r>
            <w:r>
              <w:rPr>
                <w:b/>
                <w:bCs/>
                <w:spacing w:val="14"/>
              </w:rPr>
              <w:t>股份代持</w:t>
            </w:r>
            <w:r>
              <w:rPr>
                <w:spacing w:val="13"/>
              </w:rPr>
              <w:t>事项告知</w:t>
            </w:r>
            <w:r>
              <w:rPr/>
              <w:t xml:space="preserve"> </w:t>
            </w:r>
            <w:r>
              <w:rPr/>
              <w:t>ST</w:t>
            </w:r>
            <w:r>
              <w:rPr>
                <w:spacing w:val="13"/>
              </w:rPr>
              <w:t>实达</w:t>
            </w:r>
            <w:r>
              <w:rPr>
                <w:spacing w:val="-18"/>
              </w:rPr>
              <w:t xml:space="preserve"> </w:t>
            </w:r>
            <w:r>
              <w:rPr>
                <w:spacing w:val="13"/>
              </w:rPr>
              <w:t>，导致</w:t>
            </w:r>
            <w:r>
              <w:rPr/>
              <w:t>ST</w:t>
            </w:r>
            <w:r>
              <w:rPr>
                <w:spacing w:val="13"/>
              </w:rPr>
              <w:t>实达在2021年12月31日《关于重整计划执行完毕的</w:t>
            </w:r>
            <w:r>
              <w:rPr/>
              <w:t xml:space="preserve"> </w:t>
            </w:r>
            <w:r>
              <w:rPr>
                <w:spacing w:val="8"/>
              </w:rPr>
              <w:t>公告》中信息披露不准确。</w:t>
            </w:r>
          </w:p>
        </w:tc>
      </w:tr>
      <w:tr>
        <w:trPr>
          <w:trHeight w:val="724" w:hRule="atLeast"/>
        </w:trPr>
        <w:tc>
          <w:tcPr>
            <w:tcW w:w="8891" w:type="dxa"/>
            <w:vAlign w:val="top"/>
            <w:gridSpan w:val="3"/>
          </w:tcPr>
          <w:p>
            <w:pPr>
              <w:pStyle w:val="TableText"/>
              <w:ind w:left="116" w:right="164" w:firstLine="6"/>
              <w:spacing w:before="59" w:line="229" w:lineRule="auto"/>
              <w:rPr/>
            </w:pPr>
            <w:r>
              <w:rPr>
                <w:b/>
                <w:bCs/>
                <w:spacing w:val="9"/>
              </w:rPr>
              <w:t>【行政监管措施】</w:t>
            </w:r>
            <w:r>
              <w:rPr>
                <w:spacing w:val="9"/>
              </w:rPr>
              <w:t>中国证券监督管理委员会福建监管局决定对福州赤恒成达投资合伙企业（有</w:t>
            </w:r>
            <w:r>
              <w:rPr>
                <w:spacing w:val="18"/>
                <w:w w:val="101"/>
              </w:rPr>
              <w:t xml:space="preserve"> </w:t>
            </w:r>
            <w:r>
              <w:rPr>
                <w:spacing w:val="8"/>
              </w:rPr>
              <w:t>限合伙）采取出具警示函的行政监管措施</w:t>
            </w:r>
            <w:r>
              <w:rPr>
                <w:spacing w:val="-13"/>
              </w:rPr>
              <w:t xml:space="preserve"> </w:t>
            </w:r>
            <w:r>
              <w:rPr>
                <w:spacing w:val="8"/>
              </w:rPr>
              <w:t>，并记入证券期货市场诚信档案数据库。</w:t>
            </w:r>
          </w:p>
        </w:tc>
      </w:tr>
      <w:tr>
        <w:trPr>
          <w:trHeight w:val="2530" w:hRule="atLeast"/>
        </w:trPr>
        <w:tc>
          <w:tcPr>
            <w:shd w:val="clear" w:fill="B8CCE4"/>
            <w:tcW w:w="1089" w:type="dxa"/>
            <w:vAlign w:val="top"/>
          </w:tcPr>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80"/>
              <w:spacing w:before="86" w:line="178" w:lineRule="auto"/>
              <w:rPr/>
            </w:pPr>
            <w:r>
              <w:rPr>
                <w:spacing w:val="3"/>
              </w:rPr>
              <w:t>300288</w:t>
            </w:r>
          </w:p>
        </w:tc>
        <w:tc>
          <w:tcPr>
            <w:shd w:val="clear" w:fill="B8CCE4"/>
            <w:tcW w:w="1139" w:type="dxa"/>
            <w:vAlign w:val="top"/>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149"/>
              <w:spacing w:before="86" w:line="189" w:lineRule="auto"/>
              <w:rPr/>
            </w:pPr>
            <w:r>
              <w:rPr>
                <w:spacing w:val="6"/>
              </w:rPr>
              <w:t>朗玛信息</w:t>
            </w:r>
          </w:p>
        </w:tc>
        <w:tc>
          <w:tcPr>
            <w:shd w:val="clear" w:fill="B8CCE4"/>
            <w:tcW w:w="6663" w:type="dxa"/>
            <w:vAlign w:val="top"/>
          </w:tcPr>
          <w:p>
            <w:pPr>
              <w:pStyle w:val="TableText"/>
              <w:ind w:left="99" w:right="103" w:firstLine="1"/>
              <w:spacing w:before="107" w:line="241" w:lineRule="auto"/>
              <w:rPr/>
            </w:pPr>
            <w:r>
              <w:rPr>
                <w:spacing w:val="13"/>
              </w:rPr>
              <w:t>刘某伟在拟担任贵阳朗玛信息技术股份有限公司</w:t>
            </w:r>
            <w:r>
              <w:rPr>
                <w:spacing w:val="12"/>
              </w:rPr>
              <w:t>独立董事时,刘某伟及</w:t>
            </w:r>
            <w:r>
              <w:rPr/>
              <w:t xml:space="preserve"> </w:t>
            </w:r>
            <w:r>
              <w:rPr>
                <w:spacing w:val="13"/>
              </w:rPr>
              <w:t>贵阳朗玛信息技术股份有限公司于2020年2月18日作</w:t>
            </w:r>
            <w:r>
              <w:rPr>
                <w:spacing w:val="12"/>
              </w:rPr>
              <w:t>出《独立董事候</w:t>
            </w:r>
            <w:r>
              <w:rPr/>
              <w:t xml:space="preserve"> </w:t>
            </w:r>
            <w:r>
              <w:rPr>
                <w:spacing w:val="14"/>
              </w:rPr>
              <w:t>选人声明》</w:t>
            </w:r>
            <w:r>
              <w:rPr>
                <w:spacing w:val="-32"/>
              </w:rPr>
              <w:t xml:space="preserve"> </w:t>
            </w:r>
            <w:r>
              <w:rPr>
                <w:spacing w:val="14"/>
              </w:rPr>
              <w:t>《独立董事提名人声明》</w:t>
            </w:r>
            <w:r>
              <w:rPr>
                <w:spacing w:val="-34"/>
              </w:rPr>
              <w:t xml:space="preserve"> </w:t>
            </w:r>
            <w:r>
              <w:rPr>
                <w:spacing w:val="14"/>
              </w:rPr>
              <w:t>,在“不存在</w:t>
            </w:r>
            <w:r>
              <w:rPr>
                <w:spacing w:val="13"/>
              </w:rPr>
              <w:t>同时在超过5家以上</w:t>
            </w:r>
            <w:r>
              <w:rPr/>
              <w:t xml:space="preserve"> </w:t>
            </w:r>
            <w:r>
              <w:rPr>
                <w:spacing w:val="12"/>
              </w:rPr>
              <w:t>的公司担任董事、监事或高级管理人员的情形</w:t>
            </w:r>
            <w:r>
              <w:rPr>
                <w:spacing w:val="-37"/>
              </w:rPr>
              <w:t xml:space="preserve"> </w:t>
            </w:r>
            <w:r>
              <w:rPr>
                <w:spacing w:val="12"/>
              </w:rPr>
              <w:t>”一栏均勾选“是”,并</w:t>
            </w:r>
            <w:r>
              <w:rPr/>
              <w:t xml:space="preserve"> </w:t>
            </w:r>
            <w:r>
              <w:rPr>
                <w:spacing w:val="13"/>
              </w:rPr>
              <w:t>保证声明真实、准确、完整,没有虚假记载、误导性</w:t>
            </w:r>
            <w:r>
              <w:rPr>
                <w:spacing w:val="12"/>
              </w:rPr>
              <w:t>陈述或重大遗漏。</w:t>
            </w:r>
            <w:r>
              <w:rPr/>
              <w:t xml:space="preserve"> </w:t>
            </w:r>
            <w:r>
              <w:rPr>
                <w:spacing w:val="12"/>
              </w:rPr>
              <w:t>经查,刘某伟签署《独立董事候选人声明》时</w:t>
            </w:r>
            <w:r>
              <w:rPr>
                <w:b/>
                <w:bCs/>
                <w:spacing w:val="12"/>
              </w:rPr>
              <w:t>同时担任董事、</w:t>
            </w:r>
            <w:r>
              <w:rPr>
                <w:b/>
                <w:bCs/>
                <w:spacing w:val="-37"/>
              </w:rPr>
              <w:t xml:space="preserve"> </w:t>
            </w:r>
            <w:r>
              <w:rPr>
                <w:b/>
                <w:bCs/>
                <w:spacing w:val="12"/>
              </w:rPr>
              <w:t>监事或高</w:t>
            </w:r>
            <w:r>
              <w:rPr>
                <w:b/>
                <w:bCs/>
              </w:rPr>
              <w:t xml:space="preserve"> </w:t>
            </w:r>
            <w:r>
              <w:rPr>
                <w:b/>
                <w:bCs/>
                <w:spacing w:val="11"/>
              </w:rPr>
              <w:t>级管理人员的公司家数超过五家</w:t>
            </w:r>
            <w:r>
              <w:rPr>
                <w:spacing w:val="11"/>
              </w:rPr>
              <w:t>,上述声明与事实不符,贵</w:t>
            </w:r>
            <w:r>
              <w:rPr>
                <w:spacing w:val="10"/>
              </w:rPr>
              <w:t>阳朗玛信息技</w:t>
            </w:r>
          </w:p>
        </w:tc>
      </w:tr>
    </w:tbl>
    <w:p>
      <w:pPr>
        <w:pStyle w:val="BodyText"/>
        <w:spacing w:line="14" w:lineRule="auto"/>
        <w:rPr>
          <w:sz w:val="2"/>
        </w:rPr>
      </w:pPr>
      <w:r/>
    </w:p>
    <w:p>
      <w:pPr>
        <w:spacing w:line="14" w:lineRule="auto"/>
        <w:sectPr>
          <w:pgSz w:w="11910" w:h="16840"/>
          <w:pgMar w:top="400" w:right="1696" w:bottom="10" w:left="1109" w:header="0" w:footer="0" w:gutter="0"/>
        </w:sectPr>
        <w:rPr>
          <w:sz w:val="2"/>
          <w:szCs w:val="2"/>
        </w:rPr>
      </w:pPr>
    </w:p>
    <w:tbl>
      <w:tblPr>
        <w:tblStyle w:val="TableNormal"/>
        <w:tblW w:w="8891" w:type="dxa"/>
        <w:tblInd w:w="20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89"/>
        <w:gridCol w:w="1139"/>
        <w:gridCol w:w="6663"/>
      </w:tblGrid>
      <w:tr>
        <w:trPr>
          <w:trHeight w:val="384" w:hRule="atLeast"/>
        </w:trPr>
        <w:tc>
          <w:tcPr>
            <w:shd w:val="clear" w:fill="B8CCE4"/>
            <w:tcW w:w="1089" w:type="dxa"/>
            <w:vAlign w:val="top"/>
            <w:tcBorders>
              <w:top w:val="single" w:color="4F81BD" w:sz="2" w:space="0"/>
            </w:tcBorders>
          </w:tcPr>
          <w:p>
            <w:pPr>
              <w:rPr>
                <w:rFonts w:ascii="Arial"/>
                <w:sz w:val="21"/>
              </w:rPr>
            </w:pPr>
            <w:r/>
          </w:p>
        </w:tc>
        <w:tc>
          <w:tcPr>
            <w:shd w:val="clear" w:fill="B8CCE4"/>
            <w:tcW w:w="1139" w:type="dxa"/>
            <w:vAlign w:val="top"/>
            <w:tcBorders>
              <w:top w:val="single" w:color="4F81BD" w:sz="2" w:space="0"/>
            </w:tcBorders>
          </w:tcPr>
          <w:p>
            <w:pPr>
              <w:rPr>
                <w:rFonts w:ascii="Arial"/>
                <w:sz w:val="21"/>
              </w:rPr>
            </w:pPr>
            <w:r/>
          </w:p>
        </w:tc>
        <w:tc>
          <w:tcPr>
            <w:shd w:val="clear" w:fill="B8CCE4"/>
            <w:tcW w:w="6663" w:type="dxa"/>
            <w:vAlign w:val="top"/>
            <w:tcBorders>
              <w:top w:val="single" w:color="4F81BD" w:sz="2" w:space="0"/>
            </w:tcBorders>
          </w:tcPr>
          <w:p>
            <w:pPr>
              <w:pStyle w:val="TableText"/>
              <w:ind w:left="98"/>
              <w:spacing w:before="101" w:line="190" w:lineRule="auto"/>
              <w:rPr/>
            </w:pPr>
            <w:r>
              <w:rPr>
                <w:spacing w:val="9"/>
              </w:rPr>
              <w:t>术股份有限公司未充分核查独立董事相关任职情况。</w:t>
            </w:r>
          </w:p>
        </w:tc>
      </w:tr>
      <w:tr>
        <w:trPr>
          <w:trHeight w:val="724" w:hRule="atLeast"/>
        </w:trPr>
        <w:tc>
          <w:tcPr>
            <w:tcW w:w="8891" w:type="dxa"/>
            <w:vAlign w:val="top"/>
            <w:gridSpan w:val="3"/>
          </w:tcPr>
          <w:p>
            <w:pPr>
              <w:pStyle w:val="TableText"/>
              <w:ind w:left="105" w:right="157" w:firstLine="17"/>
              <w:spacing w:before="38" w:line="236" w:lineRule="auto"/>
              <w:rPr/>
            </w:pPr>
            <w:r>
              <w:rPr>
                <w:b/>
                <w:bCs/>
                <w:spacing w:val="9"/>
              </w:rPr>
              <w:t>【行政监管措施】</w:t>
            </w:r>
            <w:r>
              <w:rPr>
                <w:spacing w:val="9"/>
              </w:rPr>
              <w:t>中国证券监督管理委员会贵州监管局决定对独立董事刘某伟、贵阳朗玛信息</w:t>
            </w:r>
            <w:r>
              <w:rPr>
                <w:spacing w:val="18"/>
                <w:w w:val="101"/>
              </w:rPr>
              <w:t xml:space="preserve"> </w:t>
            </w:r>
            <w:r>
              <w:rPr>
                <w:spacing w:val="9"/>
              </w:rPr>
              <w:t>技术股份有限公司采取出具警示函的行政监管措施,并将相关</w:t>
            </w:r>
            <w:r>
              <w:rPr>
                <w:spacing w:val="8"/>
              </w:rPr>
              <w:t>情况记入证券期货市场诚信档案。</w:t>
            </w:r>
          </w:p>
        </w:tc>
      </w:tr>
      <w:tr>
        <w:trPr>
          <w:trHeight w:val="364" w:hRule="atLeast"/>
        </w:trPr>
        <w:tc>
          <w:tcPr>
            <w:shd w:val="clear" w:fill="B8CCE4"/>
            <w:tcW w:w="1089" w:type="dxa"/>
            <w:vAlign w:val="top"/>
          </w:tcPr>
          <w:p>
            <w:pPr>
              <w:pStyle w:val="TableText"/>
              <w:ind w:left="180"/>
              <w:spacing w:before="96" w:line="179" w:lineRule="auto"/>
              <w:rPr/>
            </w:pPr>
            <w:r>
              <w:rPr>
                <w:spacing w:val="3"/>
              </w:rPr>
              <w:t>301279</w:t>
            </w:r>
          </w:p>
        </w:tc>
        <w:tc>
          <w:tcPr>
            <w:shd w:val="clear" w:fill="B8CCE4"/>
            <w:tcW w:w="1139" w:type="dxa"/>
            <w:vAlign w:val="top"/>
          </w:tcPr>
          <w:p>
            <w:pPr>
              <w:pStyle w:val="TableText"/>
              <w:ind w:left="139"/>
              <w:spacing w:before="83" w:line="189" w:lineRule="auto"/>
              <w:rPr/>
            </w:pPr>
            <w:r>
              <w:rPr>
                <w:spacing w:val="9"/>
              </w:rPr>
              <w:t>金道科技</w:t>
            </w:r>
          </w:p>
        </w:tc>
        <w:tc>
          <w:tcPr>
            <w:shd w:val="clear" w:fill="B8CCE4"/>
            <w:tcW w:w="6663" w:type="dxa"/>
            <w:vAlign w:val="top"/>
          </w:tcPr>
          <w:p>
            <w:pPr>
              <w:pStyle w:val="TableText"/>
              <w:ind w:left="100"/>
              <w:spacing w:before="81" w:line="190" w:lineRule="auto"/>
              <w:rPr/>
            </w:pPr>
            <w:r>
              <w:rPr>
                <w:spacing w:val="8"/>
              </w:rPr>
              <w:t>公司2023年半年报和三季报存在</w:t>
            </w:r>
            <w:r>
              <w:rPr>
                <w:b/>
                <w:bCs/>
                <w:spacing w:val="8"/>
              </w:rPr>
              <w:t>会计差错。</w:t>
            </w:r>
          </w:p>
        </w:tc>
      </w:tr>
      <w:tr>
        <w:trPr>
          <w:trHeight w:val="1083" w:hRule="atLeast"/>
        </w:trPr>
        <w:tc>
          <w:tcPr>
            <w:tcW w:w="8891" w:type="dxa"/>
            <w:vAlign w:val="top"/>
            <w:gridSpan w:val="3"/>
          </w:tcPr>
          <w:p>
            <w:pPr>
              <w:pStyle w:val="TableText"/>
              <w:ind w:left="106" w:right="104" w:firstLine="16"/>
              <w:spacing w:before="43"/>
              <w:jc w:val="both"/>
              <w:rPr/>
            </w:pPr>
            <w:r>
              <w:rPr>
                <w:b/>
                <w:bCs/>
                <w:spacing w:val="11"/>
              </w:rPr>
              <w:t>【行政监管措施】</w:t>
            </w:r>
            <w:r>
              <w:rPr>
                <w:spacing w:val="11"/>
              </w:rPr>
              <w:t>中国证券监督管理委员会浙江监管局决定对公司及董事长金某荣、</w:t>
            </w:r>
            <w:r>
              <w:rPr>
                <w:spacing w:val="10"/>
              </w:rPr>
              <w:t>总经理金</w:t>
            </w:r>
            <w:r>
              <w:rPr/>
              <w:t xml:space="preserve"> </w:t>
            </w:r>
            <w:r>
              <w:rPr>
                <w:spacing w:val="10"/>
              </w:rPr>
              <w:t>某强、财务总监林某、董事会秘书唐某将分别采取出具警示函的监督管理措施</w:t>
            </w:r>
            <w:r>
              <w:rPr>
                <w:spacing w:val="-6"/>
              </w:rPr>
              <w:t xml:space="preserve"> </w:t>
            </w:r>
            <w:r>
              <w:rPr>
                <w:spacing w:val="10"/>
              </w:rPr>
              <w:t>，并记入证券期</w:t>
            </w:r>
            <w:r>
              <w:rPr/>
              <w:t xml:space="preserve"> </w:t>
            </w:r>
            <w:r>
              <w:rPr>
                <w:spacing w:val="8"/>
              </w:rPr>
              <w:t>货市场诚信档案。</w:t>
            </w:r>
          </w:p>
        </w:tc>
      </w:tr>
      <w:tr>
        <w:trPr>
          <w:trHeight w:val="364" w:hRule="atLeast"/>
        </w:trPr>
        <w:tc>
          <w:tcPr>
            <w:shd w:val="clear" w:fill="B8CCE4"/>
            <w:tcW w:w="1089" w:type="dxa"/>
            <w:vAlign w:val="top"/>
          </w:tcPr>
          <w:p>
            <w:pPr>
              <w:pStyle w:val="TableText"/>
              <w:ind w:left="174"/>
              <w:spacing w:before="100" w:line="177" w:lineRule="auto"/>
              <w:rPr/>
            </w:pPr>
            <w:r>
              <w:rPr>
                <w:spacing w:val="3"/>
              </w:rPr>
              <w:t>000778</w:t>
            </w:r>
          </w:p>
        </w:tc>
        <w:tc>
          <w:tcPr>
            <w:shd w:val="clear" w:fill="B8CCE4"/>
            <w:tcW w:w="1139" w:type="dxa"/>
            <w:vAlign w:val="top"/>
          </w:tcPr>
          <w:p>
            <w:pPr>
              <w:pStyle w:val="TableText"/>
              <w:ind w:left="140"/>
              <w:spacing w:before="86" w:line="187" w:lineRule="auto"/>
              <w:rPr/>
            </w:pPr>
            <w:r>
              <w:rPr>
                <w:spacing w:val="8"/>
              </w:rPr>
              <w:t>新兴铸管</w:t>
            </w:r>
          </w:p>
        </w:tc>
        <w:tc>
          <w:tcPr>
            <w:shd w:val="clear" w:fill="B8CCE4"/>
            <w:tcW w:w="6663" w:type="dxa"/>
            <w:vAlign w:val="top"/>
          </w:tcPr>
          <w:p>
            <w:pPr>
              <w:pStyle w:val="TableText"/>
              <w:ind w:left="100"/>
              <w:spacing w:before="85" w:line="188" w:lineRule="auto"/>
              <w:rPr/>
            </w:pPr>
            <w:r>
              <w:rPr>
                <w:spacing w:val="8"/>
              </w:rPr>
              <w:t>独立董事配偶</w:t>
            </w:r>
            <w:r>
              <w:rPr>
                <w:b/>
                <w:bCs/>
                <w:spacing w:val="8"/>
              </w:rPr>
              <w:t>短线交易</w:t>
            </w:r>
            <w:r>
              <w:rPr>
                <w:spacing w:val="8"/>
              </w:rPr>
              <w:t>。</w:t>
            </w:r>
          </w:p>
        </w:tc>
      </w:tr>
      <w:tr>
        <w:trPr>
          <w:trHeight w:val="723" w:hRule="atLeast"/>
        </w:trPr>
        <w:tc>
          <w:tcPr>
            <w:tcW w:w="8891" w:type="dxa"/>
            <w:vAlign w:val="top"/>
            <w:gridSpan w:val="3"/>
          </w:tcPr>
          <w:p>
            <w:pPr>
              <w:pStyle w:val="TableText"/>
              <w:ind w:left="114" w:right="164" w:firstLine="8"/>
              <w:spacing w:before="46" w:line="233" w:lineRule="auto"/>
              <w:rPr/>
            </w:pPr>
            <w:r>
              <w:rPr>
                <w:b/>
                <w:bCs/>
                <w:spacing w:val="9"/>
              </w:rPr>
              <w:t>【行政监管措施】</w:t>
            </w:r>
            <w:r>
              <w:rPr>
                <w:spacing w:val="9"/>
              </w:rPr>
              <w:t>中国证券监督管理委员会河北监管局决定对独立董事闫某红采取出具警示函</w:t>
            </w:r>
            <w:r>
              <w:rPr>
                <w:spacing w:val="18"/>
                <w:w w:val="101"/>
              </w:rPr>
              <w:t xml:space="preserve"> </w:t>
            </w:r>
            <w:r>
              <w:rPr>
                <w:spacing w:val="7"/>
              </w:rPr>
              <w:t>的行政监管措施。</w:t>
            </w:r>
          </w:p>
        </w:tc>
      </w:tr>
      <w:tr>
        <w:trPr>
          <w:trHeight w:val="364" w:hRule="atLeast"/>
        </w:trPr>
        <w:tc>
          <w:tcPr>
            <w:shd w:val="clear" w:fill="B8CCE4"/>
            <w:tcW w:w="1089" w:type="dxa"/>
            <w:vAlign w:val="top"/>
          </w:tcPr>
          <w:p>
            <w:pPr>
              <w:pStyle w:val="TableText"/>
              <w:ind w:left="174"/>
              <w:spacing w:before="103" w:line="175" w:lineRule="auto"/>
              <w:rPr/>
            </w:pPr>
            <w:r>
              <w:rPr>
                <w:spacing w:val="3"/>
              </w:rPr>
              <w:t>000710</w:t>
            </w:r>
          </w:p>
        </w:tc>
        <w:tc>
          <w:tcPr>
            <w:shd w:val="clear" w:fill="B8CCE4"/>
            <w:tcW w:w="1139" w:type="dxa"/>
            <w:vAlign w:val="top"/>
          </w:tcPr>
          <w:p>
            <w:pPr>
              <w:pStyle w:val="TableText"/>
              <w:ind w:left="144"/>
              <w:spacing w:before="90" w:line="184" w:lineRule="auto"/>
              <w:rPr/>
            </w:pPr>
            <w:r>
              <w:rPr>
                <w:spacing w:val="7"/>
              </w:rPr>
              <w:t>贝瑞基因</w:t>
            </w:r>
          </w:p>
        </w:tc>
        <w:tc>
          <w:tcPr>
            <w:shd w:val="clear" w:fill="B8CCE4"/>
            <w:tcW w:w="6663" w:type="dxa"/>
            <w:vAlign w:val="top"/>
          </w:tcPr>
          <w:p>
            <w:pPr>
              <w:pStyle w:val="TableText"/>
              <w:ind w:left="113"/>
              <w:spacing w:before="90" w:line="184" w:lineRule="auto"/>
              <w:rPr/>
            </w:pPr>
            <w:r>
              <w:rPr>
                <w:b/>
                <w:bCs/>
                <w:spacing w:val="8"/>
              </w:rPr>
              <w:t>内控执行</w:t>
            </w:r>
            <w:r>
              <w:rPr>
                <w:spacing w:val="8"/>
              </w:rPr>
              <w:t>不到位；</w:t>
            </w:r>
            <w:r>
              <w:rPr>
                <w:b/>
                <w:bCs/>
                <w:spacing w:val="8"/>
              </w:rPr>
              <w:t>会计核算</w:t>
            </w:r>
            <w:r>
              <w:rPr>
                <w:spacing w:val="8"/>
              </w:rPr>
              <w:t>不规范。</w:t>
            </w:r>
          </w:p>
        </w:tc>
      </w:tr>
      <w:tr>
        <w:trPr>
          <w:trHeight w:val="724" w:hRule="atLeast"/>
        </w:trPr>
        <w:tc>
          <w:tcPr>
            <w:tcW w:w="8891" w:type="dxa"/>
            <w:vAlign w:val="top"/>
            <w:gridSpan w:val="3"/>
          </w:tcPr>
          <w:p>
            <w:pPr>
              <w:pStyle w:val="TableText"/>
              <w:ind w:left="116" w:right="164" w:firstLine="6"/>
              <w:spacing w:before="50" w:line="232" w:lineRule="auto"/>
              <w:rPr/>
            </w:pPr>
            <w:r>
              <w:rPr>
                <w:b/>
                <w:bCs/>
                <w:spacing w:val="9"/>
              </w:rPr>
              <w:t>【行政监管措施】</w:t>
            </w:r>
            <w:r>
              <w:rPr>
                <w:spacing w:val="9"/>
              </w:rPr>
              <w:t>中国证券监督管理委员会四川监管局决定对成都市贝瑞和康基因技术股份有</w:t>
            </w:r>
            <w:r>
              <w:rPr>
                <w:spacing w:val="18"/>
                <w:w w:val="101"/>
              </w:rPr>
              <w:t xml:space="preserve"> </w:t>
            </w:r>
            <w:r>
              <w:rPr>
                <w:spacing w:val="8"/>
              </w:rPr>
              <w:t>限公司采取责令改正行政监管措施。</w:t>
            </w:r>
          </w:p>
        </w:tc>
      </w:tr>
      <w:tr>
        <w:trPr>
          <w:trHeight w:val="364" w:hRule="atLeast"/>
        </w:trPr>
        <w:tc>
          <w:tcPr>
            <w:shd w:val="clear" w:fill="B8CCE4"/>
            <w:tcW w:w="1089" w:type="dxa"/>
            <w:vAlign w:val="top"/>
          </w:tcPr>
          <w:p>
            <w:pPr>
              <w:pStyle w:val="TableText"/>
              <w:ind w:left="180"/>
              <w:spacing w:before="108" w:line="172" w:lineRule="auto"/>
              <w:rPr/>
            </w:pPr>
            <w:r>
              <w:rPr>
                <w:spacing w:val="3"/>
              </w:rPr>
              <w:t>300693</w:t>
            </w:r>
          </w:p>
        </w:tc>
        <w:tc>
          <w:tcPr>
            <w:shd w:val="clear" w:fill="B8CCE4"/>
            <w:tcW w:w="1139" w:type="dxa"/>
            <w:vAlign w:val="top"/>
          </w:tcPr>
          <w:p>
            <w:pPr>
              <w:pStyle w:val="TableText"/>
              <w:ind w:left="141"/>
              <w:spacing w:before="93" w:line="182" w:lineRule="auto"/>
              <w:rPr/>
            </w:pPr>
            <w:r>
              <w:rPr>
                <w:spacing w:val="8"/>
              </w:rPr>
              <w:t>盛弘股份</w:t>
            </w:r>
          </w:p>
        </w:tc>
        <w:tc>
          <w:tcPr>
            <w:shd w:val="clear" w:fill="B8CCE4"/>
            <w:tcW w:w="6663" w:type="dxa"/>
            <w:vAlign w:val="top"/>
          </w:tcPr>
          <w:p>
            <w:pPr>
              <w:pStyle w:val="TableText"/>
              <w:ind w:left="100"/>
              <w:spacing w:before="49" w:line="213" w:lineRule="auto"/>
              <w:rPr/>
            </w:pPr>
            <w:r>
              <w:rPr>
                <w:spacing w:val="8"/>
              </w:rPr>
              <w:t>大股东持有公司股份</w:t>
            </w:r>
            <w:r>
              <w:rPr>
                <w:b/>
                <w:bCs/>
                <w:spacing w:val="8"/>
              </w:rPr>
              <w:t>比例变动达5%</w:t>
            </w:r>
            <w:r>
              <w:rPr>
                <w:spacing w:val="8"/>
              </w:rPr>
              <w:t>时</w:t>
            </w:r>
            <w:r>
              <w:rPr>
                <w:spacing w:val="-28"/>
              </w:rPr>
              <w:t xml:space="preserve"> </w:t>
            </w:r>
            <w:r>
              <w:rPr>
                <w:spacing w:val="8"/>
              </w:rPr>
              <w:t>，未依法停止交易。</w:t>
            </w:r>
          </w:p>
        </w:tc>
      </w:tr>
      <w:tr>
        <w:trPr>
          <w:trHeight w:val="734" w:hRule="atLeast"/>
        </w:trPr>
        <w:tc>
          <w:tcPr>
            <w:tcW w:w="8891" w:type="dxa"/>
            <w:vAlign w:val="top"/>
            <w:gridSpan w:val="3"/>
          </w:tcPr>
          <w:p>
            <w:pPr>
              <w:pStyle w:val="TableText"/>
              <w:ind w:left="123"/>
              <w:spacing w:before="52" w:line="237" w:lineRule="auto"/>
              <w:rPr/>
            </w:pPr>
            <w:r>
              <w:rPr>
                <w:b/>
                <w:bCs/>
                <w:spacing w:val="9"/>
              </w:rPr>
              <w:t>【行政监管措施】</w:t>
            </w:r>
            <w:r>
              <w:rPr>
                <w:spacing w:val="9"/>
              </w:rPr>
              <w:t>中国证券监督管理委员会深圳监管局决定对盛某明采取责令改正的监管措施</w:t>
            </w:r>
          </w:p>
          <w:p>
            <w:pPr>
              <w:pStyle w:val="TableText"/>
              <w:ind w:left="116"/>
              <w:spacing w:before="213" w:line="119" w:lineRule="exact"/>
              <w:rPr/>
            </w:pPr>
            <w:r>
              <w:rPr>
                <w:position w:val="3"/>
              </w:rPr>
              <w:t>。</w:t>
            </w:r>
          </w:p>
        </w:tc>
      </w:tr>
    </w:tbl>
    <w:p>
      <w:pPr>
        <w:spacing w:before="130" w:line="20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6"/>
        </w:rPr>
        <w:t>（ 4</w:t>
      </w:r>
      <w:r>
        <w:rPr>
          <w:rFonts w:ascii="Microsoft YaHei" w:hAnsi="Microsoft YaHei" w:eastAsia="Microsoft YaHei" w:cs="Microsoft YaHei"/>
          <w:sz w:val="24"/>
          <w:szCs w:val="24"/>
          <w:b/>
          <w:bCs/>
          <w:color w:val="333333"/>
          <w:spacing w:val="31"/>
        </w:rPr>
        <w:t xml:space="preserve"> </w:t>
      </w:r>
      <w:r>
        <w:rPr>
          <w:rFonts w:ascii="Microsoft YaHei" w:hAnsi="Microsoft YaHei" w:eastAsia="Microsoft YaHei" w:cs="Microsoft YaHei"/>
          <w:sz w:val="24"/>
          <w:szCs w:val="24"/>
          <w:b/>
          <w:bCs/>
          <w:color w:val="333333"/>
          <w:spacing w:val="-16"/>
        </w:rPr>
        <w:t>）</w:t>
      </w:r>
      <w:r>
        <w:rPr>
          <w:rFonts w:ascii="Microsoft YaHei" w:hAnsi="Microsoft YaHei" w:eastAsia="Microsoft YaHei" w:cs="Microsoft YaHei"/>
          <w:sz w:val="24"/>
          <w:szCs w:val="24"/>
          <w:b/>
          <w:bCs/>
          <w:spacing w:val="-16"/>
        </w:rPr>
        <w:t>立案调查</w:t>
      </w:r>
    </w:p>
    <w:tbl>
      <w:tblPr>
        <w:tblStyle w:val="TableNormal"/>
        <w:tblW w:w="8891" w:type="dxa"/>
        <w:tblInd w:w="192"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089"/>
        <w:gridCol w:w="1162"/>
        <w:gridCol w:w="6640"/>
      </w:tblGrid>
      <w:tr>
        <w:trPr>
          <w:trHeight w:val="386" w:hRule="atLeast"/>
        </w:trPr>
        <w:tc>
          <w:tcPr>
            <w:shd w:val="clear" w:fill="4F81BD"/>
            <w:tcW w:w="1089" w:type="dxa"/>
            <w:vAlign w:val="top"/>
            <w:tcBorders>
              <w:bottom w:val="single" w:color="4F81BD" w:sz="2" w:space="0"/>
            </w:tcBorders>
          </w:tcPr>
          <w:p>
            <w:pPr>
              <w:pStyle w:val="TableText"/>
              <w:ind w:left="119"/>
              <w:spacing w:before="110" w:line="186" w:lineRule="auto"/>
              <w:rPr/>
            </w:pPr>
            <w:r>
              <w:rPr>
                <w:b/>
                <w:bCs/>
                <w:color w:val="FFFFFF"/>
                <w:spacing w:val="8"/>
              </w:rPr>
              <w:t>公司代码</w:t>
            </w:r>
          </w:p>
        </w:tc>
        <w:tc>
          <w:tcPr>
            <w:shd w:val="clear" w:fill="4F81BD"/>
            <w:tcW w:w="1162" w:type="dxa"/>
            <w:vAlign w:val="top"/>
            <w:tcBorders>
              <w:bottom w:val="single" w:color="4F81BD" w:sz="2" w:space="0"/>
            </w:tcBorders>
          </w:tcPr>
          <w:p>
            <w:pPr>
              <w:pStyle w:val="TableText"/>
              <w:ind w:left="153"/>
              <w:spacing w:before="110" w:line="186" w:lineRule="auto"/>
              <w:rPr/>
            </w:pPr>
            <w:r>
              <w:rPr>
                <w:b/>
                <w:bCs/>
                <w:color w:val="FFFFFF"/>
                <w:spacing w:val="8"/>
              </w:rPr>
              <w:t>公司简称</w:t>
            </w:r>
          </w:p>
        </w:tc>
        <w:tc>
          <w:tcPr>
            <w:shd w:val="clear" w:fill="4F81BD"/>
            <w:tcW w:w="6640" w:type="dxa"/>
            <w:vAlign w:val="top"/>
            <w:tcBorders>
              <w:bottom w:val="single" w:color="4F81BD" w:sz="2" w:space="0"/>
            </w:tcBorders>
          </w:tcPr>
          <w:p>
            <w:pPr>
              <w:pStyle w:val="TableText"/>
              <w:ind w:left="2893"/>
              <w:spacing w:before="110" w:line="186" w:lineRule="auto"/>
              <w:rPr/>
            </w:pPr>
            <w:r>
              <w:rPr>
                <w:b/>
                <w:bCs/>
                <w:color w:val="FFFFFF"/>
                <w:spacing w:val="8"/>
              </w:rPr>
              <w:t>违规行为</w:t>
            </w:r>
          </w:p>
        </w:tc>
      </w:tr>
      <w:tr>
        <w:trPr>
          <w:trHeight w:val="727" w:hRule="atLeast"/>
        </w:trPr>
        <w:tc>
          <w:tcPr>
            <w:shd w:val="clear" w:fill="B8CCE4"/>
            <w:tcW w:w="1089" w:type="dxa"/>
            <w:vAlign w:val="top"/>
            <w:tcBorders>
              <w:top w:val="single" w:color="4F81BD" w:sz="2" w:space="0"/>
            </w:tcBorders>
          </w:tcPr>
          <w:p>
            <w:pPr>
              <w:pStyle w:val="TableText"/>
              <w:ind w:left="177"/>
              <w:spacing w:before="281" w:line="178" w:lineRule="auto"/>
              <w:rPr/>
            </w:pPr>
            <w:r>
              <w:rPr>
                <w:spacing w:val="3"/>
              </w:rPr>
              <w:t>600225</w:t>
            </w:r>
          </w:p>
        </w:tc>
        <w:tc>
          <w:tcPr>
            <w:shd w:val="clear" w:fill="B8CCE4"/>
            <w:tcW w:w="1162" w:type="dxa"/>
            <w:vAlign w:val="top"/>
            <w:tcBorders>
              <w:top w:val="single" w:color="4F81BD" w:sz="2" w:space="0"/>
            </w:tcBorders>
          </w:tcPr>
          <w:p>
            <w:pPr>
              <w:pStyle w:val="TableText"/>
              <w:ind w:left="155"/>
              <w:spacing w:before="266" w:line="189" w:lineRule="auto"/>
              <w:rPr/>
            </w:pPr>
            <w:r>
              <w:rPr>
                <w:spacing w:val="8"/>
              </w:rPr>
              <w:t>卓朗科技</w:t>
            </w:r>
          </w:p>
        </w:tc>
        <w:tc>
          <w:tcPr>
            <w:shd w:val="clear" w:fill="B8CCE4"/>
            <w:tcW w:w="6640" w:type="dxa"/>
            <w:vAlign w:val="top"/>
            <w:tcBorders>
              <w:top w:val="single" w:color="4F81BD" w:sz="2" w:space="0"/>
            </w:tcBorders>
          </w:tcPr>
          <w:p>
            <w:pPr>
              <w:pStyle w:val="TableText"/>
              <w:ind w:left="100" w:right="228" w:firstLine="12"/>
              <w:spacing w:before="50" w:line="233" w:lineRule="auto"/>
              <w:rPr/>
            </w:pPr>
            <w:r>
              <w:rPr>
                <w:spacing w:val="8"/>
              </w:rPr>
              <w:t>因公司</w:t>
            </w:r>
            <w:r>
              <w:rPr>
                <w:b/>
                <w:bCs/>
                <w:spacing w:val="8"/>
              </w:rPr>
              <w:t>涉嫌信息披露违法违规</w:t>
            </w:r>
            <w:r>
              <w:rPr>
                <w:b/>
                <w:bCs/>
                <w:spacing w:val="-18"/>
              </w:rPr>
              <w:t xml:space="preserve"> </w:t>
            </w:r>
            <w:r>
              <w:rPr>
                <w:spacing w:val="8"/>
              </w:rPr>
              <w:t>，根据《中华人民共和国证券法》《中</w:t>
            </w:r>
            <w:r>
              <w:rPr/>
              <w:t xml:space="preserve"> </w:t>
            </w:r>
            <w:r>
              <w:rPr>
                <w:spacing w:val="8"/>
              </w:rPr>
              <w:t>华人民共和国行政处罚法》等法律法规</w:t>
            </w:r>
            <w:r>
              <w:rPr>
                <w:spacing w:val="-28"/>
              </w:rPr>
              <w:t xml:space="preserve"> </w:t>
            </w:r>
            <w:r>
              <w:rPr>
                <w:spacing w:val="8"/>
              </w:rPr>
              <w:t>，对公司立案。</w:t>
            </w:r>
          </w:p>
        </w:tc>
      </w:tr>
      <w:tr>
        <w:trPr>
          <w:trHeight w:val="1080" w:hRule="atLeast"/>
        </w:trPr>
        <w:tc>
          <w:tcPr>
            <w:tcW w:w="1089" w:type="dxa"/>
            <w:vAlign w:val="top"/>
          </w:tcPr>
          <w:p>
            <w:pPr>
              <w:spacing w:line="371" w:lineRule="auto"/>
              <w:rPr>
                <w:rFonts w:ascii="Arial"/>
                <w:sz w:val="21"/>
              </w:rPr>
            </w:pPr>
            <w:r/>
          </w:p>
          <w:p>
            <w:pPr>
              <w:pStyle w:val="TableText"/>
              <w:ind w:left="177"/>
              <w:spacing w:before="86" w:line="179" w:lineRule="auto"/>
              <w:rPr/>
            </w:pPr>
            <w:r>
              <w:rPr>
                <w:spacing w:val="3"/>
              </w:rPr>
              <w:t>603001</w:t>
            </w:r>
          </w:p>
        </w:tc>
        <w:tc>
          <w:tcPr>
            <w:tcW w:w="1162" w:type="dxa"/>
            <w:vAlign w:val="top"/>
          </w:tcPr>
          <w:p>
            <w:pPr>
              <w:spacing w:line="358" w:lineRule="auto"/>
              <w:rPr>
                <w:rFonts w:ascii="Arial"/>
                <w:sz w:val="21"/>
              </w:rPr>
            </w:pPr>
            <w:r/>
          </w:p>
          <w:p>
            <w:pPr>
              <w:pStyle w:val="TableText"/>
              <w:ind w:left="251"/>
              <w:spacing w:before="85" w:line="189" w:lineRule="auto"/>
              <w:rPr/>
            </w:pPr>
            <w:r>
              <w:rPr/>
              <w:t>ST</w:t>
            </w:r>
            <w:r>
              <w:rPr>
                <w:spacing w:val="7"/>
              </w:rPr>
              <w:t>奥康</w:t>
            </w:r>
          </w:p>
        </w:tc>
        <w:tc>
          <w:tcPr>
            <w:tcW w:w="6640" w:type="dxa"/>
            <w:vAlign w:val="top"/>
          </w:tcPr>
          <w:p>
            <w:pPr>
              <w:pStyle w:val="TableText"/>
              <w:ind w:left="99" w:right="228" w:firstLine="13"/>
              <w:spacing w:before="44" w:line="239" w:lineRule="auto"/>
              <w:rPr/>
            </w:pPr>
            <w:r>
              <w:rPr>
                <w:spacing w:val="7"/>
              </w:rPr>
              <w:t>因</w:t>
            </w:r>
            <w:r>
              <w:rPr>
                <w:b/>
                <w:bCs/>
                <w:spacing w:val="7"/>
              </w:rPr>
              <w:t>涉嫌信息披露违法违规</w:t>
            </w:r>
            <w:r>
              <w:rPr>
                <w:b/>
                <w:bCs/>
                <w:spacing w:val="-12"/>
              </w:rPr>
              <w:t xml:space="preserve"> </w:t>
            </w:r>
            <w:r>
              <w:rPr>
                <w:spacing w:val="7"/>
              </w:rPr>
              <w:t>，根据《中华人民共和国证券法》</w:t>
            </w:r>
            <w:r>
              <w:rPr>
                <w:spacing w:val="-35"/>
              </w:rPr>
              <w:t xml:space="preserve"> </w:t>
            </w:r>
            <w:r>
              <w:rPr>
                <w:spacing w:val="7"/>
              </w:rPr>
              <w:t>、《中华</w:t>
            </w:r>
            <w:r>
              <w:rPr/>
              <w:t xml:space="preserve"> </w:t>
            </w:r>
            <w:r>
              <w:rPr>
                <w:spacing w:val="7"/>
              </w:rPr>
              <w:t>人民共和国行政处罚法》等相关法律法规</w:t>
            </w:r>
            <w:r>
              <w:rPr>
                <w:spacing w:val="-8"/>
              </w:rPr>
              <w:t xml:space="preserve"> </w:t>
            </w:r>
            <w:r>
              <w:rPr>
                <w:spacing w:val="7"/>
              </w:rPr>
              <w:t>，</w:t>
            </w:r>
            <w:r>
              <w:rPr>
                <w:spacing w:val="-36"/>
              </w:rPr>
              <w:t xml:space="preserve"> </w:t>
            </w:r>
            <w:r>
              <w:rPr>
                <w:spacing w:val="7"/>
              </w:rPr>
              <w:t>中国证监会决定对公司、</w:t>
            </w:r>
            <w:r>
              <w:rPr/>
              <w:t xml:space="preserve"> </w:t>
            </w:r>
            <w:r>
              <w:rPr>
                <w:spacing w:val="8"/>
              </w:rPr>
              <w:t>董事长,实际控制人立案。</w:t>
            </w:r>
          </w:p>
        </w:tc>
      </w:tr>
      <w:tr>
        <w:trPr>
          <w:trHeight w:val="731" w:hRule="atLeast"/>
        </w:trPr>
        <w:tc>
          <w:tcPr>
            <w:shd w:val="clear" w:fill="B8CCE4"/>
            <w:tcW w:w="1089" w:type="dxa"/>
            <w:vAlign w:val="top"/>
          </w:tcPr>
          <w:p>
            <w:pPr>
              <w:pStyle w:val="TableText"/>
              <w:ind w:left="180"/>
              <w:spacing w:before="285" w:line="179" w:lineRule="auto"/>
              <w:rPr/>
            </w:pPr>
            <w:r>
              <w:rPr>
                <w:spacing w:val="3"/>
              </w:rPr>
              <w:t>300841</w:t>
            </w:r>
          </w:p>
        </w:tc>
        <w:tc>
          <w:tcPr>
            <w:shd w:val="clear" w:fill="B8CCE4"/>
            <w:tcW w:w="1162" w:type="dxa"/>
            <w:vAlign w:val="top"/>
          </w:tcPr>
          <w:p>
            <w:pPr>
              <w:pStyle w:val="TableText"/>
              <w:ind w:left="152"/>
              <w:spacing w:before="272" w:line="189" w:lineRule="auto"/>
              <w:rPr/>
            </w:pPr>
            <w:r>
              <w:rPr>
                <w:spacing w:val="8"/>
              </w:rPr>
              <w:t>康华生物</w:t>
            </w:r>
          </w:p>
        </w:tc>
        <w:tc>
          <w:tcPr>
            <w:shd w:val="clear" w:fill="B8CCE4"/>
            <w:tcW w:w="6640" w:type="dxa"/>
            <w:vAlign w:val="top"/>
          </w:tcPr>
          <w:p>
            <w:pPr>
              <w:pStyle w:val="TableText"/>
              <w:ind w:left="99" w:right="228" w:firstLine="13"/>
              <w:spacing w:before="54" w:line="233" w:lineRule="auto"/>
              <w:rPr/>
            </w:pPr>
            <w:r>
              <w:rPr>
                <w:spacing w:val="7"/>
              </w:rPr>
              <w:t>因</w:t>
            </w:r>
            <w:r>
              <w:rPr>
                <w:b/>
                <w:bCs/>
                <w:spacing w:val="7"/>
              </w:rPr>
              <w:t>涉嫌信息披露违法违规</w:t>
            </w:r>
            <w:r>
              <w:rPr>
                <w:b/>
                <w:bCs/>
                <w:spacing w:val="-12"/>
              </w:rPr>
              <w:t xml:space="preserve"> </w:t>
            </w:r>
            <w:r>
              <w:rPr>
                <w:spacing w:val="7"/>
              </w:rPr>
              <w:t>，根据《中华人民共和国证券法》</w:t>
            </w:r>
            <w:r>
              <w:rPr>
                <w:spacing w:val="-35"/>
              </w:rPr>
              <w:t xml:space="preserve"> </w:t>
            </w:r>
            <w:r>
              <w:rPr>
                <w:spacing w:val="7"/>
              </w:rPr>
              <w:t>、《中华</w:t>
            </w:r>
            <w:r>
              <w:rPr/>
              <w:t xml:space="preserve"> </w:t>
            </w:r>
            <w:r>
              <w:rPr>
                <w:spacing w:val="7"/>
              </w:rPr>
              <w:t>人民共和国行政处罚法》等法律法规</w:t>
            </w:r>
            <w:r>
              <w:rPr>
                <w:spacing w:val="-13"/>
              </w:rPr>
              <w:t xml:space="preserve"> </w:t>
            </w:r>
            <w:r>
              <w:rPr>
                <w:spacing w:val="7"/>
              </w:rPr>
              <w:t>，</w:t>
            </w:r>
            <w:r>
              <w:rPr>
                <w:spacing w:val="-36"/>
              </w:rPr>
              <w:t xml:space="preserve"> </w:t>
            </w:r>
            <w:r>
              <w:rPr>
                <w:spacing w:val="7"/>
              </w:rPr>
              <w:t>中国证监会决定对其立案。</w:t>
            </w:r>
          </w:p>
        </w:tc>
      </w:tr>
    </w:tbl>
    <w:p>
      <w:pPr>
        <w:pStyle w:val="BodyText"/>
        <w:rPr/>
      </w:pPr>
      <w:r/>
    </w:p>
    <w:p>
      <w:pPr>
        <w:sectPr>
          <w:pgSz w:w="11910" w:h="16840"/>
          <w:pgMar w:top="400" w:right="1696" w:bottom="400" w:left="1109" w:header="0" w:footer="0" w:gutter="0"/>
        </w:sectPr>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5"/>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上交所监管动态</w:t>
                    </w:r>
                  </w:p>
                </w:txbxContent>
              </v:textbox>
            </v:shape>
          </v:group>
        </w:pict>
      </w:r>
    </w:p>
    <w:p>
      <w:pPr>
        <w:pStyle w:val="BodyText"/>
        <w:spacing w:line="280" w:lineRule="auto"/>
        <w:rPr/>
      </w:pPr>
      <w:r/>
    </w:p>
    <w:p>
      <w:pPr>
        <w:ind w:left="473"/>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6"/>
        </w:rPr>
        <w:t>1、上市公司监管动态</w:t>
      </w:r>
    </w:p>
    <w:p>
      <w:pPr>
        <w:ind w:left="424" w:firstLine="482"/>
        <w:spacing w:before="1"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2024年3月11日-3月17日</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5"/>
        </w:rPr>
        <w:t>，上交所公司监管部门作</w:t>
      </w:r>
      <w:r>
        <w:rPr>
          <w:rFonts w:ascii="Microsoft YaHei" w:hAnsi="Microsoft YaHei" w:eastAsia="Microsoft YaHei" w:cs="Microsoft YaHei"/>
          <w:sz w:val="24"/>
          <w:szCs w:val="24"/>
          <w:spacing w:val="-6"/>
        </w:rPr>
        <w:t>出9份监管警示函，对5宗行为予以纪律处分。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5"/>
        </w:rPr>
        <w:t>同时，加大信息披露和股价异常的联动监管</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5"/>
        </w:rPr>
        <w:t>，针对</w:t>
      </w:r>
      <w:r>
        <w:rPr>
          <w:rFonts w:ascii="Microsoft YaHei" w:hAnsi="Microsoft YaHei" w:eastAsia="Microsoft YaHei" w:cs="Microsoft YaHei"/>
          <w:sz w:val="24"/>
          <w:szCs w:val="24"/>
          <w:spacing w:val="-6"/>
        </w:rPr>
        <w:t>公司披露敏感信息或股价发生明显异常的</w:t>
      </w:r>
      <w:r>
        <w:rPr>
          <w:rFonts w:ascii="Microsoft YaHei" w:hAnsi="Microsoft YaHei" w:eastAsia="Microsoft YaHei" w:cs="Microsoft YaHei"/>
          <w:sz w:val="24"/>
          <w:szCs w:val="24"/>
          <w:spacing w:val="-39"/>
        </w:rPr>
        <w:t xml:space="preserve"> </w:t>
      </w:r>
      <w:r>
        <w:rPr>
          <w:rFonts w:ascii="Microsoft YaHei" w:hAnsi="Microsoft YaHei" w:eastAsia="Microsoft YaHei" w:cs="Microsoft YaHei"/>
          <w:sz w:val="24"/>
          <w:szCs w:val="24"/>
          <w:spacing w:val="-6"/>
        </w:rPr>
        <w:t>，提请启</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动内幕交易、异常交易核查49单。</w:t>
      </w:r>
    </w:p>
    <w:p>
      <w:pPr>
        <w:ind w:firstLine="1606"/>
        <w:spacing w:before="90" w:line="3448" w:lineRule="exact"/>
        <w:rPr/>
      </w:pPr>
      <w:r>
        <w:rPr>
          <w:position w:val="-68"/>
        </w:rPr>
        <w:drawing>
          <wp:inline distT="0" distB="0" distL="0" distR="0">
            <wp:extent cx="5039994" cy="2189480"/>
            <wp:effectExtent l="0" t="0" r="0" b="0"/>
            <wp:docPr id="22" name="IM 22"/>
            <wp:cNvGraphicFramePr/>
            <a:graphic>
              <a:graphicData uri="http://schemas.openxmlformats.org/drawingml/2006/picture">
                <pic:pic>
                  <pic:nvPicPr>
                    <pic:cNvPr id="22" name="IM 22"/>
                    <pic:cNvPicPr/>
                  </pic:nvPicPr>
                  <pic:blipFill>
                    <a:blip r:embed="rId16"/>
                    <a:stretch>
                      <a:fillRect/>
                    </a:stretch>
                  </pic:blipFill>
                  <pic:spPr>
                    <a:xfrm rot="0">
                      <a:off x="0" y="0"/>
                      <a:ext cx="5039994" cy="2189480"/>
                    </a:xfrm>
                    <a:prstGeom prst="rect">
                      <a:avLst/>
                    </a:prstGeom>
                  </pic:spPr>
                </pic:pic>
              </a:graphicData>
            </a:graphic>
          </wp:inline>
        </w:drawing>
      </w:r>
    </w:p>
    <w:p>
      <w:pPr>
        <w:ind w:left="226"/>
        <w:spacing w:before="34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0"/>
        </w:rPr>
        <w:t>（</w:t>
      </w:r>
      <w:r>
        <w:rPr>
          <w:rFonts w:ascii="Microsoft YaHei" w:hAnsi="Microsoft YaHei" w:eastAsia="Microsoft YaHei" w:cs="Microsoft YaHei"/>
          <w:sz w:val="24"/>
          <w:szCs w:val="24"/>
          <w:b/>
          <w:bCs/>
          <w:color w:val="333333"/>
          <w:spacing w:val="22"/>
        </w:rPr>
        <w:t xml:space="preserve"> </w:t>
      </w:r>
      <w:r>
        <w:rPr>
          <w:rFonts w:ascii="Microsoft YaHei" w:hAnsi="Microsoft YaHei" w:eastAsia="Microsoft YaHei" w:cs="Microsoft YaHei"/>
          <w:sz w:val="24"/>
          <w:szCs w:val="24"/>
          <w:b/>
          <w:bCs/>
          <w:color w:val="333333"/>
          <w:spacing w:val="-20"/>
        </w:rPr>
        <w:t>1 ）监管措施统计</w:t>
      </w:r>
    </w:p>
    <w:tbl>
      <w:tblPr>
        <w:tblStyle w:val="TableNormal"/>
        <w:tblW w:w="8819" w:type="dxa"/>
        <w:tblInd w:w="120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8" w:hRule="atLeast"/>
        </w:trPr>
        <w:tc>
          <w:tcPr>
            <w:shd w:val="clear" w:fill="C0504D"/>
            <w:tcW w:w="1276" w:type="dxa"/>
            <w:vAlign w:val="top"/>
            <w:tcBorders>
              <w:bottom w:val="single" w:color="C0504D" w:sz="10" w:space="0"/>
            </w:tcBorders>
          </w:tcPr>
          <w:p>
            <w:pPr>
              <w:pStyle w:val="TableText"/>
              <w:ind w:left="212"/>
              <w:spacing w:before="92"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2" w:line="189" w:lineRule="auto"/>
              <w:rPr/>
            </w:pPr>
            <w:r>
              <w:rPr>
                <w:b/>
                <w:bCs/>
                <w:color w:val="FFFFFF"/>
                <w:spacing w:val="8"/>
              </w:rPr>
              <w:t>公司简称</w:t>
            </w:r>
          </w:p>
        </w:tc>
        <w:tc>
          <w:tcPr>
            <w:shd w:val="clear" w:fill="C0504D"/>
            <w:tcW w:w="1324" w:type="dxa"/>
            <w:vAlign w:val="top"/>
            <w:tcBorders>
              <w:bottom w:val="single" w:color="C0504D" w:sz="10" w:space="0"/>
            </w:tcBorders>
          </w:tcPr>
          <w:p>
            <w:pPr>
              <w:pStyle w:val="TableText"/>
              <w:ind w:left="246"/>
              <w:spacing w:before="93" w:line="188" w:lineRule="auto"/>
              <w:rPr/>
            </w:pPr>
            <w:r>
              <w:rPr>
                <w:b/>
                <w:bCs/>
                <w:color w:val="FFFFFF"/>
                <w:spacing w:val="5"/>
              </w:rPr>
              <w:t>函件类别</w:t>
            </w:r>
          </w:p>
        </w:tc>
        <w:tc>
          <w:tcPr>
            <w:shd w:val="clear" w:fill="C0504D"/>
            <w:tcW w:w="5004" w:type="dxa"/>
            <w:vAlign w:val="top"/>
            <w:tcBorders>
              <w:bottom w:val="single" w:color="C0504D" w:sz="10" w:space="0"/>
            </w:tcBorders>
          </w:tcPr>
          <w:p>
            <w:pPr>
              <w:pStyle w:val="TableText"/>
              <w:ind w:left="2074"/>
              <w:spacing w:before="92" w:line="189" w:lineRule="auto"/>
              <w:rPr/>
            </w:pPr>
            <w:r>
              <w:rPr>
                <w:b/>
                <w:bCs/>
                <w:color w:val="FFFFFF"/>
                <w:spacing w:val="8"/>
              </w:rPr>
              <w:t>违规类型</w:t>
            </w:r>
          </w:p>
        </w:tc>
      </w:tr>
      <w:tr>
        <w:trPr>
          <w:trHeight w:val="1078" w:hRule="atLeast"/>
        </w:trPr>
        <w:tc>
          <w:tcPr>
            <w:shd w:val="clear" w:fill="F2DCDC"/>
            <w:tcW w:w="1276" w:type="dxa"/>
            <w:vAlign w:val="top"/>
            <w:tcBorders>
              <w:top w:val="single" w:color="C0504D" w:sz="10" w:space="0"/>
            </w:tcBorders>
          </w:tcPr>
          <w:p>
            <w:pPr>
              <w:pStyle w:val="TableText"/>
              <w:ind w:left="270"/>
              <w:spacing w:before="93" w:line="178" w:lineRule="auto"/>
              <w:rPr/>
            </w:pPr>
            <w:r>
              <w:rPr>
                <w:spacing w:val="3"/>
              </w:rPr>
              <w:t>600734</w:t>
            </w:r>
          </w:p>
        </w:tc>
        <w:tc>
          <w:tcPr>
            <w:shd w:val="clear" w:fill="F2DCDC"/>
            <w:tcW w:w="1215" w:type="dxa"/>
            <w:vAlign w:val="top"/>
            <w:tcBorders>
              <w:top w:val="single" w:color="C0504D" w:sz="10" w:space="0"/>
            </w:tcBorders>
          </w:tcPr>
          <w:p>
            <w:pPr>
              <w:pStyle w:val="TableText"/>
              <w:ind w:left="277"/>
              <w:spacing w:before="78" w:line="189" w:lineRule="auto"/>
              <w:rPr/>
            </w:pPr>
            <w:r>
              <w:rPr/>
              <w:t>ST</w:t>
            </w:r>
            <w:r>
              <w:rPr>
                <w:spacing w:val="8"/>
              </w:rPr>
              <w:t>实达</w:t>
            </w:r>
          </w:p>
        </w:tc>
        <w:tc>
          <w:tcPr>
            <w:shd w:val="clear" w:fill="F2DCDC"/>
            <w:tcW w:w="1324" w:type="dxa"/>
            <w:vAlign w:val="top"/>
            <w:tcBorders>
              <w:top w:val="single" w:color="C0504D" w:sz="10" w:space="0"/>
            </w:tcBorders>
          </w:tcPr>
          <w:p>
            <w:pPr>
              <w:pStyle w:val="TableText"/>
              <w:ind w:left="236"/>
              <w:spacing w:before="78" w:line="189" w:lineRule="auto"/>
              <w:rPr/>
            </w:pPr>
            <w:r>
              <w:rPr>
                <w:spacing w:val="8"/>
              </w:rPr>
              <w:t>监管警示</w:t>
            </w:r>
          </w:p>
        </w:tc>
        <w:tc>
          <w:tcPr>
            <w:shd w:val="clear" w:fill="F2DCDC"/>
            <w:tcW w:w="5004" w:type="dxa"/>
            <w:vAlign w:val="top"/>
            <w:tcBorders>
              <w:top w:val="single" w:color="C0504D" w:sz="10" w:space="0"/>
            </w:tcBorders>
          </w:tcPr>
          <w:p>
            <w:pPr>
              <w:pStyle w:val="TableText"/>
              <w:ind w:left="1" w:right="97" w:firstLine="1"/>
              <w:spacing w:before="77" w:line="231" w:lineRule="auto"/>
              <w:jc w:val="both"/>
              <w:rPr/>
            </w:pPr>
            <w:r>
              <w:rPr>
                <w:spacing w:val="9"/>
              </w:rPr>
              <w:t>赤恒成达未如实将</w:t>
            </w:r>
            <w:r>
              <w:rPr>
                <w:b/>
                <w:bCs/>
                <w:spacing w:val="9"/>
              </w:rPr>
              <w:t>股份代持事项</w:t>
            </w:r>
            <w:r>
              <w:rPr>
                <w:spacing w:val="9"/>
              </w:rPr>
              <w:t>告知</w:t>
            </w:r>
            <w:r>
              <w:rPr/>
              <w:t>ST</w:t>
            </w:r>
            <w:r>
              <w:rPr>
                <w:spacing w:val="9"/>
              </w:rPr>
              <w:t>实达</w:t>
            </w:r>
            <w:r>
              <w:rPr>
                <w:spacing w:val="-21"/>
              </w:rPr>
              <w:t xml:space="preserve"> </w:t>
            </w:r>
            <w:r>
              <w:rPr>
                <w:spacing w:val="9"/>
              </w:rPr>
              <w:t>，导致</w:t>
            </w:r>
            <w:r>
              <w:rPr/>
              <w:t>ST </w:t>
            </w:r>
            <w:r>
              <w:rPr>
                <w:spacing w:val="10"/>
              </w:rPr>
              <w:t>实达在《关于重整计划执行完毕的公告》中</w:t>
            </w:r>
            <w:r>
              <w:rPr>
                <w:spacing w:val="9"/>
              </w:rPr>
              <w:t>信息披露</w:t>
            </w:r>
            <w:r>
              <w:rPr/>
              <w:t xml:space="preserve">  </w:t>
            </w:r>
            <w:r>
              <w:rPr>
                <w:spacing w:val="6"/>
              </w:rPr>
              <w:t>不准确。</w:t>
            </w:r>
          </w:p>
        </w:tc>
      </w:tr>
      <w:tr>
        <w:trPr>
          <w:trHeight w:val="1083" w:hRule="atLeast"/>
        </w:trPr>
        <w:tc>
          <w:tcPr>
            <w:tcW w:w="1276" w:type="dxa"/>
            <w:vAlign w:val="top"/>
          </w:tcPr>
          <w:p>
            <w:pPr>
              <w:pStyle w:val="TableText"/>
              <w:ind w:left="270"/>
              <w:spacing w:before="99" w:line="178" w:lineRule="auto"/>
              <w:rPr/>
            </w:pPr>
            <w:r>
              <w:rPr>
                <w:spacing w:val="3"/>
              </w:rPr>
              <w:t>600678</w:t>
            </w:r>
          </w:p>
        </w:tc>
        <w:tc>
          <w:tcPr>
            <w:tcW w:w="1215" w:type="dxa"/>
            <w:vAlign w:val="top"/>
          </w:tcPr>
          <w:p>
            <w:pPr>
              <w:pStyle w:val="TableText"/>
              <w:ind w:left="194"/>
              <w:spacing w:before="85" w:line="188" w:lineRule="auto"/>
              <w:rPr/>
            </w:pPr>
            <w:r>
              <w:rPr>
                <w:spacing w:val="4"/>
              </w:rPr>
              <w:t>四川金顶</w:t>
            </w:r>
          </w:p>
        </w:tc>
        <w:tc>
          <w:tcPr>
            <w:tcW w:w="1324" w:type="dxa"/>
            <w:vAlign w:val="top"/>
          </w:tcPr>
          <w:p>
            <w:pPr>
              <w:pStyle w:val="TableText"/>
              <w:ind w:left="236"/>
              <w:spacing w:before="84" w:line="189" w:lineRule="auto"/>
              <w:rPr/>
            </w:pPr>
            <w:r>
              <w:rPr>
                <w:spacing w:val="8"/>
              </w:rPr>
              <w:t>监管警示</w:t>
            </w:r>
          </w:p>
        </w:tc>
        <w:tc>
          <w:tcPr>
            <w:tcW w:w="5004" w:type="dxa"/>
            <w:vAlign w:val="top"/>
          </w:tcPr>
          <w:p>
            <w:pPr>
              <w:pStyle w:val="TableText"/>
              <w:ind w:left="2" w:right="159"/>
              <w:spacing w:before="82" w:line="231" w:lineRule="auto"/>
              <w:jc w:val="both"/>
              <w:rPr/>
            </w:pPr>
            <w:r>
              <w:rPr>
                <w:spacing w:val="9"/>
              </w:rPr>
              <w:t>公司控股股东洛阳均盈、间接控股股东洛阳国苑未能</w:t>
            </w:r>
            <w:r>
              <w:rPr>
                <w:spacing w:val="18"/>
              </w:rPr>
              <w:t xml:space="preserve"> </w:t>
            </w:r>
            <w:r>
              <w:rPr>
                <w:spacing w:val="8"/>
              </w:rPr>
              <w:t>完整、准确披露其最终控制方</w:t>
            </w:r>
            <w:r>
              <w:rPr>
                <w:spacing w:val="-18"/>
              </w:rPr>
              <w:t xml:space="preserve"> </w:t>
            </w:r>
            <w:r>
              <w:rPr>
                <w:spacing w:val="8"/>
              </w:rPr>
              <w:t>，导致公司</w:t>
            </w:r>
            <w:r>
              <w:rPr>
                <w:b/>
                <w:bCs/>
                <w:spacing w:val="8"/>
              </w:rPr>
              <w:t>实际控制人</w:t>
            </w:r>
            <w:r>
              <w:rPr>
                <w:b/>
                <w:bCs/>
              </w:rPr>
              <w:t xml:space="preserve"> </w:t>
            </w:r>
            <w:r>
              <w:rPr>
                <w:b/>
                <w:bCs/>
                <w:spacing w:val="8"/>
              </w:rPr>
              <w:t>相关信息</w:t>
            </w:r>
            <w:r>
              <w:rPr>
                <w:spacing w:val="8"/>
              </w:rPr>
              <w:t>披露不准确。</w:t>
            </w:r>
          </w:p>
        </w:tc>
      </w:tr>
      <w:tr>
        <w:trPr>
          <w:trHeight w:val="723" w:hRule="atLeast"/>
        </w:trPr>
        <w:tc>
          <w:tcPr>
            <w:shd w:val="clear" w:fill="F2DCDC"/>
            <w:tcW w:w="1276" w:type="dxa"/>
            <w:vAlign w:val="top"/>
          </w:tcPr>
          <w:p>
            <w:pPr>
              <w:pStyle w:val="TableText"/>
              <w:ind w:left="270"/>
              <w:spacing w:before="102" w:line="178" w:lineRule="auto"/>
              <w:rPr/>
            </w:pPr>
            <w:r>
              <w:rPr>
                <w:spacing w:val="3"/>
              </w:rPr>
              <w:t>603377</w:t>
            </w:r>
          </w:p>
        </w:tc>
        <w:tc>
          <w:tcPr>
            <w:shd w:val="clear" w:fill="F2DCDC"/>
            <w:tcW w:w="1215" w:type="dxa"/>
            <w:vAlign w:val="top"/>
          </w:tcPr>
          <w:p>
            <w:pPr>
              <w:pStyle w:val="TableText"/>
              <w:ind w:left="177"/>
              <w:spacing w:before="88" w:line="189" w:lineRule="auto"/>
              <w:rPr/>
            </w:pPr>
            <w:r>
              <w:rPr>
                <w:spacing w:val="8"/>
              </w:rPr>
              <w:t>东方时尚</w:t>
            </w:r>
          </w:p>
        </w:tc>
        <w:tc>
          <w:tcPr>
            <w:shd w:val="clear" w:fill="F2DCDC"/>
            <w:tcW w:w="1324" w:type="dxa"/>
            <w:vAlign w:val="top"/>
          </w:tcPr>
          <w:p>
            <w:pPr>
              <w:pStyle w:val="TableText"/>
              <w:ind w:left="236"/>
              <w:spacing w:before="88" w:line="189" w:lineRule="auto"/>
              <w:rPr/>
            </w:pPr>
            <w:r>
              <w:rPr>
                <w:spacing w:val="8"/>
              </w:rPr>
              <w:t>监管警示</w:t>
            </w:r>
          </w:p>
        </w:tc>
        <w:tc>
          <w:tcPr>
            <w:shd w:val="clear" w:fill="F2DCDC"/>
            <w:tcW w:w="5004" w:type="dxa"/>
            <w:vAlign w:val="top"/>
          </w:tcPr>
          <w:p>
            <w:pPr>
              <w:pStyle w:val="TableText"/>
              <w:ind w:left="10" w:right="159" w:hanging="8"/>
              <w:spacing w:before="86" w:line="219" w:lineRule="auto"/>
              <w:rPr/>
            </w:pPr>
            <w:r>
              <w:rPr>
                <w:spacing w:val="9"/>
              </w:rPr>
              <w:t>公司控股股东及实际控制人</w:t>
            </w:r>
            <w:r>
              <w:rPr>
                <w:b/>
                <w:bCs/>
                <w:spacing w:val="9"/>
              </w:rPr>
              <w:t>股份被冻结</w:t>
            </w:r>
            <w:r>
              <w:rPr>
                <w:spacing w:val="9"/>
              </w:rPr>
              <w:t>相关事项未及</w:t>
            </w:r>
            <w:r>
              <w:rPr>
                <w:spacing w:val="18"/>
              </w:rPr>
              <w:t xml:space="preserve"> </w:t>
            </w:r>
            <w:r>
              <w:rPr>
                <w:spacing w:val="4"/>
              </w:rPr>
              <w:t>时披露。</w:t>
            </w:r>
          </w:p>
        </w:tc>
      </w:tr>
      <w:tr>
        <w:trPr>
          <w:trHeight w:val="364" w:hRule="atLeast"/>
        </w:trPr>
        <w:tc>
          <w:tcPr>
            <w:tcW w:w="1276" w:type="dxa"/>
            <w:vAlign w:val="top"/>
          </w:tcPr>
          <w:p>
            <w:pPr>
              <w:pStyle w:val="TableText"/>
              <w:ind w:left="270"/>
              <w:spacing w:before="105" w:line="174" w:lineRule="auto"/>
              <w:rPr/>
            </w:pPr>
            <w:r>
              <w:rPr>
                <w:spacing w:val="3"/>
              </w:rPr>
              <w:t>600169</w:t>
            </w:r>
          </w:p>
        </w:tc>
        <w:tc>
          <w:tcPr>
            <w:tcW w:w="1215" w:type="dxa"/>
            <w:vAlign w:val="top"/>
          </w:tcPr>
          <w:p>
            <w:pPr>
              <w:pStyle w:val="TableText"/>
              <w:ind w:left="178"/>
              <w:spacing w:before="93" w:line="182" w:lineRule="auto"/>
              <w:rPr/>
            </w:pPr>
            <w:r>
              <w:rPr>
                <w:spacing w:val="8"/>
              </w:rPr>
              <w:t>太原重工</w:t>
            </w:r>
          </w:p>
        </w:tc>
        <w:tc>
          <w:tcPr>
            <w:tcW w:w="1324" w:type="dxa"/>
            <w:vAlign w:val="top"/>
          </w:tcPr>
          <w:p>
            <w:pPr>
              <w:pStyle w:val="TableText"/>
              <w:ind w:left="234"/>
              <w:spacing w:before="92" w:line="183" w:lineRule="auto"/>
              <w:rPr/>
            </w:pPr>
            <w:r>
              <w:rPr>
                <w:spacing w:val="8"/>
              </w:rPr>
              <w:t>通报批评</w:t>
            </w:r>
          </w:p>
        </w:tc>
        <w:tc>
          <w:tcPr>
            <w:tcW w:w="5004" w:type="dxa"/>
            <w:vAlign w:val="top"/>
          </w:tcPr>
          <w:p>
            <w:pPr>
              <w:pStyle w:val="TableText"/>
              <w:ind w:left="3"/>
              <w:spacing w:before="90" w:line="184" w:lineRule="auto"/>
              <w:rPr/>
            </w:pPr>
            <w:r>
              <w:rPr>
                <w:spacing w:val="8"/>
              </w:rPr>
              <w:t>控股股东期间</w:t>
            </w:r>
            <w:r>
              <w:rPr>
                <w:b/>
                <w:bCs/>
                <w:spacing w:val="8"/>
              </w:rPr>
              <w:t>非经营性资金占用</w:t>
            </w:r>
            <w:r>
              <w:rPr>
                <w:spacing w:val="8"/>
              </w:rPr>
              <w:t>。</w:t>
            </w:r>
          </w:p>
        </w:tc>
      </w:tr>
      <w:tr>
        <w:trPr>
          <w:trHeight w:val="724" w:hRule="atLeast"/>
        </w:trPr>
        <w:tc>
          <w:tcPr>
            <w:shd w:val="clear" w:fill="F2DCDC"/>
            <w:tcW w:w="1276" w:type="dxa"/>
            <w:vAlign w:val="top"/>
          </w:tcPr>
          <w:p>
            <w:pPr>
              <w:pStyle w:val="TableText"/>
              <w:ind w:left="270"/>
              <w:spacing w:before="106" w:line="178" w:lineRule="auto"/>
              <w:rPr/>
            </w:pPr>
            <w:r>
              <w:rPr>
                <w:spacing w:val="3"/>
              </w:rPr>
              <w:t>605007</w:t>
            </w:r>
          </w:p>
        </w:tc>
        <w:tc>
          <w:tcPr>
            <w:shd w:val="clear" w:fill="F2DCDC"/>
            <w:tcW w:w="1215" w:type="dxa"/>
            <w:vAlign w:val="top"/>
          </w:tcPr>
          <w:p>
            <w:pPr>
              <w:pStyle w:val="TableText"/>
              <w:ind w:left="179"/>
              <w:spacing w:before="93" w:line="188" w:lineRule="auto"/>
              <w:rPr/>
            </w:pPr>
            <w:r>
              <w:rPr>
                <w:spacing w:val="8"/>
              </w:rPr>
              <w:t>五洲特纸</w:t>
            </w:r>
          </w:p>
        </w:tc>
        <w:tc>
          <w:tcPr>
            <w:shd w:val="clear" w:fill="F2DCDC"/>
            <w:tcW w:w="1324" w:type="dxa"/>
            <w:vAlign w:val="top"/>
          </w:tcPr>
          <w:p>
            <w:pPr>
              <w:pStyle w:val="TableText"/>
              <w:ind w:left="236"/>
              <w:spacing w:before="91" w:line="189" w:lineRule="auto"/>
              <w:rPr/>
            </w:pPr>
            <w:r>
              <w:rPr>
                <w:spacing w:val="8"/>
              </w:rPr>
              <w:t>监管警示</w:t>
            </w:r>
          </w:p>
        </w:tc>
        <w:tc>
          <w:tcPr>
            <w:shd w:val="clear" w:fill="F2DCDC"/>
            <w:tcW w:w="5004" w:type="dxa"/>
            <w:vAlign w:val="top"/>
          </w:tcPr>
          <w:p>
            <w:pPr>
              <w:pStyle w:val="TableText"/>
              <w:ind w:left="3" w:right="159" w:hanging="1"/>
              <w:spacing w:before="90" w:line="218" w:lineRule="auto"/>
              <w:rPr/>
            </w:pPr>
            <w:r>
              <w:rPr>
                <w:spacing w:val="9"/>
              </w:rPr>
              <w:t>公司控股股东之一致行动人所持股份通过集中竞价交</w:t>
            </w:r>
            <w:r>
              <w:rPr>
                <w:spacing w:val="18"/>
              </w:rPr>
              <w:t xml:space="preserve"> </w:t>
            </w:r>
            <w:r>
              <w:rPr>
                <w:spacing w:val="7"/>
              </w:rPr>
              <w:t>易方式对外卖出</w:t>
            </w:r>
            <w:r>
              <w:rPr>
                <w:spacing w:val="-15"/>
              </w:rPr>
              <w:t xml:space="preserve"> </w:t>
            </w:r>
            <w:r>
              <w:rPr>
                <w:spacing w:val="7"/>
              </w:rPr>
              <w:t>，未按规定履行</w:t>
            </w:r>
            <w:r>
              <w:rPr>
                <w:b/>
                <w:bCs/>
                <w:spacing w:val="7"/>
              </w:rPr>
              <w:t>预披露</w:t>
            </w:r>
            <w:r>
              <w:rPr>
                <w:spacing w:val="7"/>
              </w:rPr>
              <w:t>义务。</w:t>
            </w:r>
          </w:p>
        </w:tc>
      </w:tr>
      <w:tr>
        <w:trPr>
          <w:trHeight w:val="1442" w:hRule="atLeast"/>
        </w:trPr>
        <w:tc>
          <w:tcPr>
            <w:tcW w:w="1276" w:type="dxa"/>
            <w:vAlign w:val="top"/>
          </w:tcPr>
          <w:p>
            <w:pPr>
              <w:pStyle w:val="TableText"/>
              <w:ind w:left="270"/>
              <w:spacing w:before="107" w:line="179" w:lineRule="auto"/>
              <w:rPr/>
            </w:pPr>
            <w:r>
              <w:rPr>
                <w:spacing w:val="3"/>
              </w:rPr>
              <w:t>600811</w:t>
            </w:r>
          </w:p>
        </w:tc>
        <w:tc>
          <w:tcPr>
            <w:tcW w:w="1215" w:type="dxa"/>
            <w:vAlign w:val="top"/>
          </w:tcPr>
          <w:p>
            <w:pPr>
              <w:pStyle w:val="TableText"/>
              <w:ind w:left="177"/>
              <w:spacing w:before="94" w:line="189" w:lineRule="auto"/>
              <w:rPr/>
            </w:pPr>
            <w:r>
              <w:rPr>
                <w:spacing w:val="8"/>
              </w:rPr>
              <w:t>东方集团</w:t>
            </w:r>
          </w:p>
        </w:tc>
        <w:tc>
          <w:tcPr>
            <w:tcW w:w="1324" w:type="dxa"/>
            <w:vAlign w:val="top"/>
          </w:tcPr>
          <w:p>
            <w:pPr>
              <w:pStyle w:val="TableText"/>
              <w:ind w:left="236"/>
              <w:spacing w:before="94" w:line="189" w:lineRule="auto"/>
              <w:rPr/>
            </w:pPr>
            <w:r>
              <w:rPr>
                <w:spacing w:val="8"/>
              </w:rPr>
              <w:t>监管警示</w:t>
            </w:r>
          </w:p>
        </w:tc>
        <w:tc>
          <w:tcPr>
            <w:tcW w:w="5004" w:type="dxa"/>
            <w:vAlign w:val="top"/>
          </w:tcPr>
          <w:p>
            <w:pPr>
              <w:pStyle w:val="TableText"/>
              <w:ind w:left="2" w:right="13"/>
              <w:spacing w:before="93" w:line="234" w:lineRule="auto"/>
              <w:rPr/>
            </w:pPr>
            <w:r>
              <w:rPr>
                <w:spacing w:val="5"/>
              </w:rPr>
              <w:t>公司2020年半年度报告、</w:t>
            </w:r>
            <w:r>
              <w:rPr>
                <w:spacing w:val="-31"/>
              </w:rPr>
              <w:t xml:space="preserve"> </w:t>
            </w:r>
            <w:r>
              <w:rPr>
                <w:spacing w:val="5"/>
              </w:rPr>
              <w:t>2020年年度报告、</w:t>
            </w:r>
            <w:r>
              <w:rPr>
                <w:spacing w:val="-36"/>
              </w:rPr>
              <w:t xml:space="preserve"> </w:t>
            </w:r>
            <w:r>
              <w:rPr>
                <w:spacing w:val="5"/>
              </w:rPr>
              <w:t>2021年   </w:t>
            </w:r>
            <w:r>
              <w:rPr>
                <w:spacing w:val="7"/>
              </w:rPr>
              <w:t>半年度报告、</w:t>
            </w:r>
            <w:r>
              <w:rPr>
                <w:spacing w:val="-36"/>
              </w:rPr>
              <w:t xml:space="preserve"> </w:t>
            </w:r>
            <w:r>
              <w:rPr>
                <w:spacing w:val="7"/>
              </w:rPr>
              <w:t>2021年年度报告、</w:t>
            </w:r>
            <w:r>
              <w:rPr>
                <w:spacing w:val="-36"/>
              </w:rPr>
              <w:t xml:space="preserve"> </w:t>
            </w:r>
            <w:r>
              <w:rPr>
                <w:spacing w:val="7"/>
              </w:rPr>
              <w:t>2022年半年度</w:t>
            </w:r>
            <w:r>
              <w:rPr>
                <w:spacing w:val="6"/>
              </w:rPr>
              <w:t>报告、</w:t>
            </w:r>
            <w:r>
              <w:rPr/>
              <w:t xml:space="preserve"> </w:t>
            </w:r>
            <w:r>
              <w:rPr>
                <w:spacing w:val="7"/>
              </w:rPr>
              <w:t>2022年年度报告</w:t>
            </w:r>
            <w:r>
              <w:rPr>
                <w:spacing w:val="-16"/>
              </w:rPr>
              <w:t xml:space="preserve"> </w:t>
            </w:r>
            <w:r>
              <w:rPr>
                <w:spacing w:val="7"/>
              </w:rPr>
              <w:t>，以及2023年第一季度报告、半年度</w:t>
            </w:r>
            <w:r>
              <w:rPr/>
              <w:t xml:space="preserve"> </w:t>
            </w:r>
            <w:r>
              <w:rPr>
                <w:spacing w:val="9"/>
              </w:rPr>
              <w:t>报告和第三季度报告存在</w:t>
            </w:r>
            <w:r>
              <w:rPr>
                <w:b/>
                <w:bCs/>
                <w:spacing w:val="9"/>
              </w:rPr>
              <w:t>会计差错。</w:t>
            </w:r>
          </w:p>
        </w:tc>
      </w:tr>
      <w:tr>
        <w:trPr>
          <w:trHeight w:val="364" w:hRule="atLeast"/>
        </w:trPr>
        <w:tc>
          <w:tcPr>
            <w:shd w:val="clear" w:fill="F2DCDC"/>
            <w:tcW w:w="1276" w:type="dxa"/>
            <w:vAlign w:val="top"/>
          </w:tcPr>
          <w:p>
            <w:pPr>
              <w:pStyle w:val="TableText"/>
              <w:ind w:left="270"/>
              <w:spacing w:before="110" w:line="170" w:lineRule="auto"/>
              <w:rPr/>
            </w:pPr>
            <w:r>
              <w:rPr>
                <w:spacing w:val="3"/>
              </w:rPr>
              <w:t>600070</w:t>
            </w:r>
          </w:p>
        </w:tc>
        <w:tc>
          <w:tcPr>
            <w:shd w:val="clear" w:fill="F2DCDC"/>
            <w:tcW w:w="1215" w:type="dxa"/>
            <w:vAlign w:val="top"/>
          </w:tcPr>
          <w:p>
            <w:pPr>
              <w:pStyle w:val="TableText"/>
              <w:ind w:left="277"/>
              <w:spacing w:before="96" w:line="180" w:lineRule="auto"/>
              <w:rPr/>
            </w:pPr>
            <w:r>
              <w:rPr/>
              <w:t>ST</w:t>
            </w:r>
            <w:r>
              <w:rPr>
                <w:spacing w:val="8"/>
              </w:rPr>
              <w:t>富润</w:t>
            </w:r>
          </w:p>
        </w:tc>
        <w:tc>
          <w:tcPr>
            <w:shd w:val="clear" w:fill="F2DCDC"/>
            <w:tcW w:w="1324" w:type="dxa"/>
            <w:vAlign w:val="top"/>
          </w:tcPr>
          <w:p>
            <w:pPr>
              <w:pStyle w:val="TableText"/>
              <w:ind w:left="236"/>
              <w:spacing w:before="96" w:line="180" w:lineRule="auto"/>
              <w:rPr/>
            </w:pPr>
            <w:r>
              <w:rPr>
                <w:spacing w:val="8"/>
              </w:rPr>
              <w:t>监管警示</w:t>
            </w:r>
          </w:p>
        </w:tc>
        <w:tc>
          <w:tcPr>
            <w:shd w:val="clear" w:fill="F2DCDC"/>
            <w:tcW w:w="5004" w:type="dxa"/>
            <w:vAlign w:val="top"/>
          </w:tcPr>
          <w:p>
            <w:pPr>
              <w:pStyle w:val="TableText"/>
              <w:ind w:left="4"/>
              <w:spacing w:before="96" w:line="180" w:lineRule="auto"/>
              <w:rPr/>
            </w:pPr>
            <w:r>
              <w:rPr>
                <w:spacing w:val="8"/>
              </w:rPr>
              <w:t>关联方非经营性</w:t>
            </w:r>
            <w:r>
              <w:rPr>
                <w:b/>
                <w:bCs/>
                <w:spacing w:val="8"/>
              </w:rPr>
              <w:t>资金占用</w:t>
            </w:r>
            <w:r>
              <w:rPr>
                <w:spacing w:val="8"/>
              </w:rPr>
              <w:t>。</w:t>
            </w:r>
          </w:p>
        </w:tc>
      </w:tr>
      <w:tr>
        <w:trPr>
          <w:trHeight w:val="2519" w:hRule="atLeast"/>
        </w:trPr>
        <w:tc>
          <w:tcPr>
            <w:tcW w:w="1276" w:type="dxa"/>
            <w:vAlign w:val="top"/>
          </w:tcPr>
          <w:p>
            <w:pPr>
              <w:pStyle w:val="TableText"/>
              <w:ind w:left="270"/>
              <w:spacing w:before="112" w:line="179" w:lineRule="auto"/>
              <w:rPr/>
            </w:pPr>
            <w:r>
              <w:rPr>
                <w:spacing w:val="3"/>
              </w:rPr>
              <w:t>601258</w:t>
            </w:r>
          </w:p>
        </w:tc>
        <w:tc>
          <w:tcPr>
            <w:tcW w:w="1215" w:type="dxa"/>
            <w:vAlign w:val="top"/>
          </w:tcPr>
          <w:p>
            <w:pPr>
              <w:pStyle w:val="TableText"/>
              <w:ind w:left="226"/>
              <w:spacing w:before="99" w:line="189" w:lineRule="auto"/>
              <w:rPr/>
            </w:pPr>
            <w:r>
              <w:rPr>
                <w:spacing w:val="8"/>
              </w:rPr>
              <w:t>*</w:t>
            </w:r>
            <w:r>
              <w:rPr/>
              <w:t>ST</w:t>
            </w:r>
            <w:r>
              <w:rPr>
                <w:spacing w:val="8"/>
              </w:rPr>
              <w:t>庞大</w:t>
            </w:r>
          </w:p>
        </w:tc>
        <w:tc>
          <w:tcPr>
            <w:tcW w:w="1324" w:type="dxa"/>
            <w:vAlign w:val="top"/>
          </w:tcPr>
          <w:p>
            <w:pPr>
              <w:pStyle w:val="TableText"/>
              <w:ind w:left="26"/>
              <w:spacing w:before="102" w:line="187" w:lineRule="auto"/>
              <w:rPr/>
            </w:pPr>
            <w:r>
              <w:rPr>
                <w:spacing w:val="9"/>
              </w:rPr>
              <w:t>公开谴责、公</w:t>
            </w:r>
          </w:p>
          <w:p>
            <w:pPr>
              <w:pStyle w:val="TableText"/>
              <w:ind w:left="130"/>
              <w:spacing w:before="89" w:line="189" w:lineRule="auto"/>
              <w:rPr/>
            </w:pPr>
            <w:r>
              <w:rPr>
                <w:spacing w:val="8"/>
              </w:rPr>
              <w:t>开认定终身</w:t>
            </w:r>
          </w:p>
          <w:p>
            <w:pPr>
              <w:pStyle w:val="TableText"/>
              <w:ind w:left="61"/>
              <w:spacing w:before="50" w:line="234" w:lineRule="auto"/>
              <w:rPr/>
            </w:pPr>
            <w:r>
              <w:rPr>
                <w:spacing w:val="8"/>
              </w:rPr>
              <w:t>/10年内不适</w:t>
            </w:r>
          </w:p>
          <w:p>
            <w:pPr>
              <w:pStyle w:val="TableText"/>
              <w:ind w:left="26"/>
              <w:spacing w:before="63" w:line="190" w:lineRule="auto"/>
              <w:rPr/>
            </w:pPr>
            <w:r>
              <w:rPr>
                <w:spacing w:val="9"/>
              </w:rPr>
              <w:t>合担任上市公</w:t>
            </w:r>
          </w:p>
          <w:p>
            <w:pPr>
              <w:pStyle w:val="TableText"/>
              <w:ind w:left="29"/>
              <w:spacing w:before="89" w:line="189" w:lineRule="auto"/>
              <w:rPr/>
            </w:pPr>
            <w:r>
              <w:rPr>
                <w:spacing w:val="8"/>
              </w:rPr>
              <w:t>司董事、监事</w:t>
            </w:r>
          </w:p>
          <w:p>
            <w:pPr>
              <w:pStyle w:val="TableText"/>
              <w:ind w:left="26"/>
              <w:spacing w:before="88" w:line="190" w:lineRule="auto"/>
              <w:rPr/>
            </w:pPr>
            <w:r>
              <w:rPr>
                <w:spacing w:val="9"/>
              </w:rPr>
              <w:t>和高级管理人</w:t>
            </w:r>
          </w:p>
          <w:p>
            <w:pPr>
              <w:pStyle w:val="TableText"/>
              <w:ind w:left="551"/>
              <w:spacing w:before="100" w:line="168" w:lineRule="auto"/>
              <w:rPr/>
            </w:pPr>
            <w:r>
              <w:rPr>
                <w:spacing w:val="4"/>
              </w:rPr>
              <w:t>员</w:t>
            </w:r>
          </w:p>
        </w:tc>
        <w:tc>
          <w:tcPr>
            <w:tcW w:w="5004" w:type="dxa"/>
            <w:vAlign w:val="top"/>
          </w:tcPr>
          <w:p>
            <w:pPr>
              <w:pStyle w:val="TableText"/>
              <w:ind w:left="2" w:right="80"/>
              <w:spacing w:before="98" w:line="231" w:lineRule="auto"/>
              <w:jc w:val="both"/>
              <w:rPr/>
            </w:pPr>
            <w:r>
              <w:rPr>
                <w:spacing w:val="9"/>
              </w:rPr>
              <w:t>公司披露的2022年半年度报告存在</w:t>
            </w:r>
            <w:r>
              <w:rPr>
                <w:b/>
                <w:bCs/>
                <w:spacing w:val="9"/>
              </w:rPr>
              <w:t>重大遗漏</w:t>
            </w:r>
            <w:r>
              <w:rPr>
                <w:spacing w:val="9"/>
              </w:rPr>
              <w:t>；公司披</w:t>
            </w:r>
            <w:r>
              <w:rPr>
                <w:spacing w:val="3"/>
              </w:rPr>
              <w:t xml:space="preserve"> </w:t>
            </w:r>
            <w:r>
              <w:rPr>
                <w:spacing w:val="5"/>
              </w:rPr>
              <w:t>露的2019年、</w:t>
            </w:r>
            <w:r>
              <w:rPr>
                <w:spacing w:val="-28"/>
              </w:rPr>
              <w:t xml:space="preserve"> </w:t>
            </w:r>
            <w:r>
              <w:rPr>
                <w:spacing w:val="5"/>
              </w:rPr>
              <w:t>2020年、</w:t>
            </w:r>
            <w:r>
              <w:rPr>
                <w:spacing w:val="-36"/>
              </w:rPr>
              <w:t xml:space="preserve"> </w:t>
            </w:r>
            <w:r>
              <w:rPr>
                <w:spacing w:val="5"/>
              </w:rPr>
              <w:t>2021年、</w:t>
            </w:r>
            <w:r>
              <w:rPr>
                <w:spacing w:val="-36"/>
              </w:rPr>
              <w:t xml:space="preserve"> </w:t>
            </w:r>
            <w:r>
              <w:rPr>
                <w:spacing w:val="5"/>
              </w:rPr>
              <w:t>2022年年度报告存</w:t>
            </w:r>
            <w:r>
              <w:rPr/>
              <w:t xml:space="preserve"> </w:t>
            </w:r>
            <w:r>
              <w:rPr>
                <w:spacing w:val="7"/>
              </w:rPr>
              <w:t>在</w:t>
            </w:r>
            <w:r>
              <w:rPr>
                <w:b/>
                <w:bCs/>
                <w:spacing w:val="7"/>
              </w:rPr>
              <w:t>虚假记载。</w:t>
            </w:r>
          </w:p>
        </w:tc>
      </w:tr>
      <w:tr>
        <w:trPr>
          <w:trHeight w:val="731" w:hRule="atLeast"/>
        </w:trPr>
        <w:tc>
          <w:tcPr>
            <w:tcW w:w="1276" w:type="dxa"/>
            <w:vAlign w:val="top"/>
          </w:tcPr>
          <w:p>
            <w:pPr>
              <w:pStyle w:val="TableText"/>
              <w:ind w:left="270"/>
              <w:spacing w:before="121" w:line="178" w:lineRule="auto"/>
              <w:rPr/>
            </w:pPr>
            <w:r>
              <w:rPr>
                <w:spacing w:val="3"/>
              </w:rPr>
              <w:t>600853</w:t>
            </w:r>
          </w:p>
        </w:tc>
        <w:tc>
          <w:tcPr>
            <w:tcW w:w="1215" w:type="dxa"/>
            <w:vAlign w:val="top"/>
          </w:tcPr>
          <w:p>
            <w:pPr>
              <w:pStyle w:val="TableText"/>
              <w:ind w:left="176"/>
              <w:spacing w:before="108" w:line="188" w:lineRule="auto"/>
              <w:rPr/>
            </w:pPr>
            <w:r>
              <w:rPr>
                <w:spacing w:val="9"/>
              </w:rPr>
              <w:t>龙建股份</w:t>
            </w:r>
          </w:p>
        </w:tc>
        <w:tc>
          <w:tcPr>
            <w:tcW w:w="1324" w:type="dxa"/>
            <w:vAlign w:val="top"/>
          </w:tcPr>
          <w:p>
            <w:pPr>
              <w:pStyle w:val="TableText"/>
              <w:ind w:left="236"/>
              <w:spacing w:before="106" w:line="189" w:lineRule="auto"/>
              <w:rPr/>
            </w:pPr>
            <w:r>
              <w:rPr>
                <w:spacing w:val="8"/>
              </w:rPr>
              <w:t>监管警示</w:t>
            </w:r>
          </w:p>
        </w:tc>
        <w:tc>
          <w:tcPr>
            <w:tcW w:w="5004" w:type="dxa"/>
            <w:vAlign w:val="top"/>
          </w:tcPr>
          <w:p>
            <w:pPr>
              <w:pStyle w:val="TableText"/>
              <w:ind w:left="4" w:right="159" w:hanging="2"/>
              <w:spacing w:before="106" w:line="215" w:lineRule="auto"/>
              <w:rPr/>
            </w:pPr>
            <w:r>
              <w:rPr>
                <w:spacing w:val="9"/>
              </w:rPr>
              <w:t>公司</w:t>
            </w:r>
            <w:r>
              <w:rPr>
                <w:b/>
                <w:bCs/>
                <w:spacing w:val="9"/>
              </w:rPr>
              <w:t>时任独立董事</w:t>
            </w:r>
            <w:r>
              <w:rPr>
                <w:spacing w:val="9"/>
              </w:rPr>
              <w:t>未出席董事会且未委托其他独立董</w:t>
            </w:r>
            <w:r>
              <w:rPr>
                <w:spacing w:val="18"/>
              </w:rPr>
              <w:t xml:space="preserve"> </w:t>
            </w:r>
            <w:r>
              <w:rPr>
                <w:spacing w:val="7"/>
              </w:rPr>
              <w:t>事代为出席</w:t>
            </w:r>
            <w:r>
              <w:rPr>
                <w:spacing w:val="-28"/>
              </w:rPr>
              <w:t xml:space="preserve"> </w:t>
            </w:r>
            <w:r>
              <w:rPr>
                <w:spacing w:val="7"/>
              </w:rPr>
              <w:t>，未能勤勉尽责</w:t>
            </w:r>
            <w:r>
              <w:rPr>
                <w:spacing w:val="-26"/>
              </w:rPr>
              <w:t xml:space="preserve"> </w:t>
            </w:r>
            <w:r>
              <w:rPr>
                <w:spacing w:val="7"/>
              </w:rPr>
              <w:t>，未尽到作为独立</w:t>
            </w:r>
            <w:r>
              <w:rPr>
                <w:spacing w:val="6"/>
              </w:rPr>
              <w:t>董事的</w:t>
            </w:r>
          </w:p>
        </w:tc>
      </w:tr>
    </w:tbl>
    <w:p>
      <w:pPr>
        <w:pStyle w:val="BodyText"/>
        <w:spacing w:line="14" w:lineRule="auto"/>
        <w:rPr>
          <w:sz w:val="2"/>
        </w:rPr>
      </w:pPr>
      <w:r/>
    </w:p>
    <w:p>
      <w:pPr>
        <w:spacing w:line="14" w:lineRule="auto"/>
        <w:sectPr>
          <w:pgSz w:w="11910" w:h="16840"/>
          <w:pgMar w:top="374" w:right="575" w:bottom="37" w:left="463" w:header="0" w:footer="0" w:gutter="0"/>
        </w:sectPr>
        <w:rPr>
          <w:sz w:val="2"/>
          <w:szCs w:val="2"/>
        </w:rPr>
      </w:pPr>
    </w:p>
    <w:tbl>
      <w:tblPr>
        <w:tblStyle w:val="TableNormal"/>
        <w:tblW w:w="8819" w:type="dxa"/>
        <w:tblInd w:w="975"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84" w:hRule="atLeast"/>
        </w:trPr>
        <w:tc>
          <w:tcPr>
            <w:tcW w:w="1276" w:type="dxa"/>
            <w:vAlign w:val="top"/>
            <w:tcBorders>
              <w:top w:val="single" w:color="C0504D" w:sz="2" w:space="0"/>
            </w:tcBorders>
          </w:tcPr>
          <w:p>
            <w:pPr>
              <w:rPr>
                <w:rFonts w:ascii="Arial"/>
                <w:sz w:val="21"/>
              </w:rPr>
            </w:pPr>
            <w:r/>
          </w:p>
        </w:tc>
        <w:tc>
          <w:tcPr>
            <w:tcW w:w="1215" w:type="dxa"/>
            <w:vAlign w:val="top"/>
            <w:tcBorders>
              <w:top w:val="single" w:color="C0504D" w:sz="2" w:space="0"/>
            </w:tcBorders>
          </w:tcPr>
          <w:p>
            <w:pPr>
              <w:rPr>
                <w:rFonts w:ascii="Arial"/>
                <w:sz w:val="21"/>
              </w:rPr>
            </w:pPr>
            <w:r/>
          </w:p>
        </w:tc>
        <w:tc>
          <w:tcPr>
            <w:tcW w:w="1324" w:type="dxa"/>
            <w:vAlign w:val="top"/>
            <w:tcBorders>
              <w:top w:val="single" w:color="C0504D" w:sz="2" w:space="0"/>
            </w:tcBorders>
          </w:tcPr>
          <w:p>
            <w:pPr>
              <w:rPr>
                <w:rFonts w:ascii="Arial"/>
                <w:sz w:val="21"/>
              </w:rPr>
            </w:pPr>
            <w:r/>
          </w:p>
        </w:tc>
        <w:tc>
          <w:tcPr>
            <w:tcW w:w="5004" w:type="dxa"/>
            <w:vAlign w:val="top"/>
            <w:tcBorders>
              <w:top w:val="single" w:color="C0504D" w:sz="2" w:space="0"/>
            </w:tcBorders>
          </w:tcPr>
          <w:p>
            <w:pPr>
              <w:pStyle w:val="TableText"/>
              <w:ind w:left="3"/>
              <w:spacing w:before="102" w:line="189" w:lineRule="auto"/>
              <w:rPr/>
            </w:pPr>
            <w:r>
              <w:rPr>
                <w:spacing w:val="6"/>
              </w:rPr>
              <w:t>法定职责。</w:t>
            </w:r>
          </w:p>
        </w:tc>
      </w:tr>
      <w:tr>
        <w:trPr>
          <w:trHeight w:val="724" w:hRule="atLeast"/>
        </w:trPr>
        <w:tc>
          <w:tcPr>
            <w:shd w:val="clear" w:fill="F2DCDC"/>
            <w:tcW w:w="1276" w:type="dxa"/>
            <w:vAlign w:val="top"/>
          </w:tcPr>
          <w:p>
            <w:pPr>
              <w:pStyle w:val="TableText"/>
              <w:ind w:left="270"/>
              <w:spacing w:before="97" w:line="178" w:lineRule="auto"/>
              <w:rPr/>
            </w:pPr>
            <w:r>
              <w:rPr>
                <w:spacing w:val="3"/>
              </w:rPr>
              <w:t>600753</w:t>
            </w:r>
          </w:p>
        </w:tc>
        <w:tc>
          <w:tcPr>
            <w:shd w:val="clear" w:fill="F2DCDC"/>
            <w:tcW w:w="1215" w:type="dxa"/>
            <w:vAlign w:val="top"/>
          </w:tcPr>
          <w:p>
            <w:pPr>
              <w:pStyle w:val="TableText"/>
              <w:ind w:left="178"/>
              <w:spacing w:before="82" w:line="189" w:lineRule="auto"/>
              <w:rPr/>
            </w:pPr>
            <w:r>
              <w:rPr>
                <w:spacing w:val="8"/>
              </w:rPr>
              <w:t>庚星股份</w:t>
            </w:r>
          </w:p>
        </w:tc>
        <w:tc>
          <w:tcPr>
            <w:shd w:val="clear" w:fill="F2DCDC"/>
            <w:tcW w:w="1324" w:type="dxa"/>
            <w:vAlign w:val="top"/>
          </w:tcPr>
          <w:p>
            <w:pPr>
              <w:pStyle w:val="TableText"/>
              <w:ind w:left="236"/>
              <w:spacing w:before="82" w:line="189" w:lineRule="auto"/>
              <w:rPr/>
            </w:pPr>
            <w:r>
              <w:rPr>
                <w:spacing w:val="8"/>
              </w:rPr>
              <w:t>监管警示</w:t>
            </w:r>
          </w:p>
        </w:tc>
        <w:tc>
          <w:tcPr>
            <w:shd w:val="clear" w:fill="F2DCDC"/>
            <w:tcW w:w="5004" w:type="dxa"/>
            <w:vAlign w:val="top"/>
          </w:tcPr>
          <w:p>
            <w:pPr>
              <w:pStyle w:val="TableText"/>
              <w:ind w:left="2" w:right="159"/>
              <w:spacing w:before="81" w:line="221" w:lineRule="auto"/>
              <w:rPr/>
            </w:pPr>
            <w:r>
              <w:rPr>
                <w:spacing w:val="9"/>
              </w:rPr>
              <w:t>公司未及时就</w:t>
            </w:r>
            <w:r>
              <w:rPr>
                <w:b/>
                <w:bCs/>
                <w:spacing w:val="9"/>
              </w:rPr>
              <w:t>关联交易</w:t>
            </w:r>
            <w:r>
              <w:rPr>
                <w:spacing w:val="9"/>
              </w:rPr>
              <w:t>事项履行相应审议程序和披露</w:t>
            </w:r>
            <w:r>
              <w:rPr>
                <w:spacing w:val="18"/>
              </w:rPr>
              <w:t xml:space="preserve"> </w:t>
            </w:r>
            <w:r>
              <w:rPr>
                <w:spacing w:val="4"/>
              </w:rPr>
              <w:t>义务。</w:t>
            </w:r>
          </w:p>
        </w:tc>
      </w:tr>
      <w:tr>
        <w:trPr>
          <w:trHeight w:val="723" w:hRule="atLeast"/>
        </w:trPr>
        <w:tc>
          <w:tcPr>
            <w:tcW w:w="1276" w:type="dxa"/>
            <w:vAlign w:val="top"/>
          </w:tcPr>
          <w:p>
            <w:pPr>
              <w:pStyle w:val="TableText"/>
              <w:ind w:left="270"/>
              <w:spacing w:before="96" w:line="179" w:lineRule="auto"/>
              <w:rPr/>
            </w:pPr>
            <w:r>
              <w:rPr>
                <w:spacing w:val="3"/>
              </w:rPr>
              <w:t>603166</w:t>
            </w:r>
          </w:p>
        </w:tc>
        <w:tc>
          <w:tcPr>
            <w:tcW w:w="1215" w:type="dxa"/>
            <w:vAlign w:val="top"/>
          </w:tcPr>
          <w:p>
            <w:pPr>
              <w:pStyle w:val="TableText"/>
              <w:ind w:left="178"/>
              <w:spacing w:before="83" w:line="189" w:lineRule="auto"/>
              <w:rPr/>
            </w:pPr>
            <w:r>
              <w:rPr>
                <w:spacing w:val="8"/>
              </w:rPr>
              <w:t>福达股份</w:t>
            </w:r>
          </w:p>
        </w:tc>
        <w:tc>
          <w:tcPr>
            <w:tcW w:w="1324" w:type="dxa"/>
            <w:vAlign w:val="top"/>
          </w:tcPr>
          <w:p>
            <w:pPr>
              <w:pStyle w:val="TableText"/>
              <w:ind w:left="236"/>
              <w:spacing w:before="83" w:line="189" w:lineRule="auto"/>
              <w:rPr/>
            </w:pPr>
            <w:r>
              <w:rPr>
                <w:spacing w:val="8"/>
              </w:rPr>
              <w:t>监管警示</w:t>
            </w:r>
          </w:p>
        </w:tc>
        <w:tc>
          <w:tcPr>
            <w:tcW w:w="5004" w:type="dxa"/>
            <w:vAlign w:val="top"/>
          </w:tcPr>
          <w:p>
            <w:pPr>
              <w:pStyle w:val="TableText"/>
              <w:ind w:left="1" w:right="159" w:firstLine="1"/>
              <w:spacing w:before="81" w:line="221" w:lineRule="auto"/>
              <w:rPr/>
            </w:pPr>
            <w:r>
              <w:rPr>
                <w:spacing w:val="8"/>
              </w:rPr>
              <w:t>公司</w:t>
            </w:r>
            <w:r>
              <w:rPr>
                <w:b/>
                <w:bCs/>
                <w:spacing w:val="8"/>
              </w:rPr>
              <w:t>募投项目延期</w:t>
            </w:r>
            <w:r>
              <w:rPr>
                <w:spacing w:val="8"/>
              </w:rPr>
              <w:t>未及时审议并披露</w:t>
            </w:r>
            <w:r>
              <w:rPr>
                <w:spacing w:val="-18"/>
              </w:rPr>
              <w:t xml:space="preserve"> </w:t>
            </w:r>
            <w:r>
              <w:rPr>
                <w:spacing w:val="8"/>
              </w:rPr>
              <w:t>，可能影响投资</w:t>
            </w:r>
            <w:r>
              <w:rPr/>
              <w:t xml:space="preserve"> </w:t>
            </w:r>
            <w:r>
              <w:rPr>
                <w:spacing w:val="8"/>
              </w:rPr>
              <w:t>者的合理预期。</w:t>
            </w:r>
          </w:p>
        </w:tc>
      </w:tr>
      <w:tr>
        <w:trPr>
          <w:trHeight w:val="2522" w:hRule="atLeast"/>
        </w:trPr>
        <w:tc>
          <w:tcPr>
            <w:shd w:val="clear" w:fill="F2DCDC"/>
            <w:tcW w:w="1276" w:type="dxa"/>
            <w:vAlign w:val="top"/>
          </w:tcPr>
          <w:p>
            <w:pPr>
              <w:pStyle w:val="TableText"/>
              <w:ind w:left="270"/>
              <w:spacing w:before="101" w:line="178" w:lineRule="auto"/>
              <w:rPr/>
            </w:pPr>
            <w:r>
              <w:rPr>
                <w:spacing w:val="3"/>
              </w:rPr>
              <w:t>600485</w:t>
            </w:r>
          </w:p>
        </w:tc>
        <w:tc>
          <w:tcPr>
            <w:shd w:val="clear" w:fill="F2DCDC"/>
            <w:tcW w:w="1215" w:type="dxa"/>
            <w:vAlign w:val="top"/>
          </w:tcPr>
          <w:p>
            <w:pPr>
              <w:pStyle w:val="TableText"/>
              <w:ind w:left="226"/>
              <w:spacing w:before="86" w:line="189" w:lineRule="auto"/>
              <w:rPr/>
            </w:pPr>
            <w:r>
              <w:rPr>
                <w:spacing w:val="8"/>
              </w:rPr>
              <w:t>*</w:t>
            </w:r>
            <w:r>
              <w:rPr/>
              <w:t>ST</w:t>
            </w:r>
            <w:r>
              <w:rPr>
                <w:spacing w:val="8"/>
              </w:rPr>
              <w:t>信威</w:t>
            </w:r>
          </w:p>
        </w:tc>
        <w:tc>
          <w:tcPr>
            <w:shd w:val="clear" w:fill="F2DCDC"/>
            <w:tcW w:w="1324" w:type="dxa"/>
            <w:vAlign w:val="top"/>
          </w:tcPr>
          <w:p>
            <w:pPr>
              <w:pStyle w:val="TableText"/>
              <w:ind w:left="26"/>
              <w:spacing w:before="89" w:line="187" w:lineRule="auto"/>
              <w:rPr/>
            </w:pPr>
            <w:r>
              <w:rPr>
                <w:spacing w:val="9"/>
              </w:rPr>
              <w:t>公开谴责、公</w:t>
            </w:r>
          </w:p>
          <w:p>
            <w:pPr>
              <w:pStyle w:val="TableText"/>
              <w:ind w:left="130"/>
              <w:spacing w:before="89" w:line="189" w:lineRule="auto"/>
              <w:rPr/>
            </w:pPr>
            <w:r>
              <w:rPr>
                <w:spacing w:val="8"/>
              </w:rPr>
              <w:t>开认定终身</w:t>
            </w:r>
          </w:p>
          <w:p>
            <w:pPr>
              <w:pStyle w:val="TableText"/>
              <w:ind w:left="61"/>
              <w:spacing w:before="50" w:line="234" w:lineRule="auto"/>
              <w:rPr/>
            </w:pPr>
            <w:r>
              <w:rPr>
                <w:spacing w:val="8"/>
              </w:rPr>
              <w:t>/10年内不适</w:t>
            </w:r>
          </w:p>
          <w:p>
            <w:pPr>
              <w:pStyle w:val="TableText"/>
              <w:ind w:left="26"/>
              <w:spacing w:before="63" w:line="190" w:lineRule="auto"/>
              <w:rPr/>
            </w:pPr>
            <w:r>
              <w:rPr>
                <w:spacing w:val="9"/>
              </w:rPr>
              <w:t>合担任上市公</w:t>
            </w:r>
          </w:p>
          <w:p>
            <w:pPr>
              <w:pStyle w:val="TableText"/>
              <w:ind w:left="29"/>
              <w:spacing w:before="89" w:line="189" w:lineRule="auto"/>
              <w:rPr/>
            </w:pPr>
            <w:r>
              <w:rPr>
                <w:spacing w:val="8"/>
              </w:rPr>
              <w:t>司董事、监事</w:t>
            </w:r>
          </w:p>
          <w:p>
            <w:pPr>
              <w:pStyle w:val="TableText"/>
              <w:ind w:left="26"/>
              <w:spacing w:before="89" w:line="190" w:lineRule="auto"/>
              <w:rPr/>
            </w:pPr>
            <w:r>
              <w:rPr>
                <w:spacing w:val="9"/>
              </w:rPr>
              <w:t>和高级管理人</w:t>
            </w:r>
          </w:p>
          <w:p>
            <w:pPr>
              <w:pStyle w:val="TableText"/>
              <w:ind w:left="551"/>
              <w:spacing w:before="100" w:line="178" w:lineRule="auto"/>
              <w:rPr/>
            </w:pPr>
            <w:r>
              <w:rPr>
                <w:spacing w:val="4"/>
              </w:rPr>
              <w:t>员</w:t>
            </w:r>
          </w:p>
        </w:tc>
        <w:tc>
          <w:tcPr>
            <w:shd w:val="clear" w:fill="F2DCDC"/>
            <w:tcW w:w="5004" w:type="dxa"/>
            <w:vAlign w:val="top"/>
          </w:tcPr>
          <w:p>
            <w:pPr>
              <w:pStyle w:val="TableText"/>
              <w:ind w:left="4" w:right="83" w:hanging="2"/>
              <w:spacing w:before="85" w:line="221" w:lineRule="auto"/>
              <w:rPr/>
            </w:pPr>
            <w:r>
              <w:rPr>
                <w:spacing w:val="7"/>
              </w:rPr>
              <w:t>公司隐瞒对海外公网业务5个项目采购商的控制关系，</w:t>
            </w:r>
            <w:r>
              <w:rPr>
                <w:spacing w:val="16"/>
                <w:w w:val="101"/>
              </w:rPr>
              <w:t xml:space="preserve"> </w:t>
            </w:r>
            <w:r>
              <w:rPr>
                <w:b/>
                <w:bCs/>
                <w:spacing w:val="7"/>
              </w:rPr>
              <w:t>连续多年财务造假</w:t>
            </w:r>
            <w:r>
              <w:rPr>
                <w:b/>
                <w:bCs/>
                <w:spacing w:val="-17"/>
              </w:rPr>
              <w:t xml:space="preserve"> </w:t>
            </w:r>
            <w:r>
              <w:rPr>
                <w:spacing w:val="7"/>
              </w:rPr>
              <w:t>，信息披露存在虚假记载。</w:t>
            </w:r>
          </w:p>
        </w:tc>
      </w:tr>
      <w:tr>
        <w:trPr>
          <w:trHeight w:val="2521" w:hRule="atLeast"/>
        </w:trPr>
        <w:tc>
          <w:tcPr>
            <w:shd w:val="clear" w:fill="F2DCDC"/>
            <w:tcW w:w="1276" w:type="dxa"/>
            <w:vAlign w:val="top"/>
          </w:tcPr>
          <w:p>
            <w:pPr>
              <w:pStyle w:val="TableText"/>
              <w:ind w:left="270"/>
              <w:spacing w:before="105" w:line="178" w:lineRule="auto"/>
              <w:rPr/>
            </w:pPr>
            <w:r>
              <w:rPr>
                <w:spacing w:val="3"/>
              </w:rPr>
              <w:t>603950</w:t>
            </w:r>
          </w:p>
        </w:tc>
        <w:tc>
          <w:tcPr>
            <w:shd w:val="clear" w:fill="F2DCDC"/>
            <w:tcW w:w="1215" w:type="dxa"/>
            <w:vAlign w:val="top"/>
          </w:tcPr>
          <w:p>
            <w:pPr>
              <w:pStyle w:val="TableText"/>
              <w:ind w:left="180"/>
              <w:spacing w:before="91" w:line="189" w:lineRule="auto"/>
              <w:rPr/>
            </w:pPr>
            <w:r>
              <w:rPr>
                <w:spacing w:val="8"/>
              </w:rPr>
              <w:t>长源东谷</w:t>
            </w:r>
          </w:p>
        </w:tc>
        <w:tc>
          <w:tcPr>
            <w:shd w:val="clear" w:fill="F2DCDC"/>
            <w:tcW w:w="1324" w:type="dxa"/>
            <w:vAlign w:val="top"/>
          </w:tcPr>
          <w:p>
            <w:pPr>
              <w:pStyle w:val="TableText"/>
              <w:ind w:left="234"/>
              <w:spacing w:before="92" w:line="188" w:lineRule="auto"/>
              <w:rPr/>
            </w:pPr>
            <w:r>
              <w:rPr>
                <w:spacing w:val="8"/>
              </w:rPr>
              <w:t>通报批评</w:t>
            </w:r>
          </w:p>
        </w:tc>
        <w:tc>
          <w:tcPr>
            <w:shd w:val="clear" w:fill="F2DCDC"/>
            <w:tcW w:w="5004" w:type="dxa"/>
            <w:vAlign w:val="top"/>
          </w:tcPr>
          <w:p>
            <w:pPr>
              <w:pStyle w:val="TableText"/>
              <w:ind w:left="2" w:right="159"/>
              <w:spacing w:before="88" w:line="242" w:lineRule="auto"/>
              <w:jc w:val="both"/>
              <w:rPr/>
            </w:pPr>
            <w:r>
              <w:rPr>
                <w:spacing w:val="7"/>
              </w:rPr>
              <w:t>公司收到</w:t>
            </w:r>
            <w:r>
              <w:rPr>
                <w:b/>
                <w:bCs/>
                <w:spacing w:val="7"/>
              </w:rPr>
              <w:t>定点开发通知书</w:t>
            </w:r>
            <w:r>
              <w:rPr>
                <w:b/>
                <w:bCs/>
                <w:spacing w:val="-29"/>
              </w:rPr>
              <w:t xml:space="preserve"> </w:t>
            </w:r>
            <w:r>
              <w:rPr>
                <w:b/>
                <w:bCs/>
                <w:spacing w:val="7"/>
              </w:rPr>
              <w:t>，</w:t>
            </w:r>
            <w:r>
              <w:rPr>
                <w:spacing w:val="7"/>
              </w:rPr>
              <w:t>才披露自愿性公告</w:t>
            </w:r>
            <w:r>
              <w:rPr>
                <w:spacing w:val="-26"/>
              </w:rPr>
              <w:t xml:space="preserve"> </w:t>
            </w:r>
            <w:r>
              <w:rPr>
                <w:spacing w:val="7"/>
              </w:rPr>
              <w:t>，存在</w:t>
            </w:r>
            <w:r>
              <w:rPr/>
              <w:t xml:space="preserve"> </w:t>
            </w:r>
            <w:r>
              <w:rPr>
                <w:spacing w:val="9"/>
              </w:rPr>
              <w:t>信息披露不及时。公司项目正式量产时间、正式订单</w:t>
            </w:r>
            <w:r>
              <w:rPr>
                <w:spacing w:val="18"/>
              </w:rPr>
              <w:t xml:space="preserve"> </w:t>
            </w:r>
            <w:r>
              <w:rPr>
                <w:spacing w:val="8"/>
              </w:rPr>
              <w:t>或销售合同的签订均存在不确定性</w:t>
            </w:r>
            <w:r>
              <w:rPr>
                <w:spacing w:val="-19"/>
              </w:rPr>
              <w:t xml:space="preserve"> </w:t>
            </w:r>
            <w:r>
              <w:rPr>
                <w:spacing w:val="8"/>
              </w:rPr>
              <w:t>，但公告中未充分</w:t>
            </w:r>
            <w:r>
              <w:rPr/>
              <w:t xml:space="preserve"> </w:t>
            </w:r>
            <w:r>
              <w:rPr>
                <w:spacing w:val="8"/>
              </w:rPr>
              <w:t>提示公司尚未签订正式订单或销售合同的风险</w:t>
            </w:r>
            <w:r>
              <w:rPr>
                <w:spacing w:val="-19"/>
              </w:rPr>
              <w:t xml:space="preserve"> </w:t>
            </w:r>
            <w:r>
              <w:rPr>
                <w:spacing w:val="8"/>
              </w:rPr>
              <w:t>，且关</w:t>
            </w:r>
            <w:r>
              <w:rPr/>
              <w:t xml:space="preserve"> </w:t>
            </w:r>
            <w:r>
              <w:rPr>
                <w:spacing w:val="8"/>
              </w:rPr>
              <w:t>于该项目</w:t>
            </w:r>
            <w:r>
              <w:rPr>
                <w:spacing w:val="1"/>
              </w:rPr>
              <w:t xml:space="preserve">  </w:t>
            </w:r>
            <w:r>
              <w:rPr>
                <w:spacing w:val="8"/>
              </w:rPr>
              <w:t>2024年下半年开始量产的信息披露</w:t>
            </w:r>
            <w:r>
              <w:rPr>
                <w:spacing w:val="7"/>
              </w:rPr>
              <w:t>不准确 </w:t>
            </w:r>
            <w:r>
              <w:rPr>
                <w:spacing w:val="9"/>
              </w:rPr>
              <w:t>,  可能对投资者决策产生误导。经监管督促后</w:t>
            </w:r>
            <w:r>
              <w:rPr>
                <w:spacing w:val="-26"/>
              </w:rPr>
              <w:t xml:space="preserve"> </w:t>
            </w:r>
            <w:r>
              <w:rPr>
                <w:spacing w:val="9"/>
              </w:rPr>
              <w:t>，公司</w:t>
            </w:r>
            <w:r>
              <w:rPr/>
              <w:t xml:space="preserve"> </w:t>
            </w:r>
            <w:r>
              <w:rPr>
                <w:spacing w:val="8"/>
              </w:rPr>
              <w:t>才予以补充披露。</w:t>
            </w:r>
          </w:p>
        </w:tc>
      </w:tr>
      <w:tr>
        <w:trPr>
          <w:trHeight w:val="374" w:hRule="atLeast"/>
        </w:trPr>
        <w:tc>
          <w:tcPr>
            <w:tcW w:w="1276" w:type="dxa"/>
            <w:vAlign w:val="top"/>
          </w:tcPr>
          <w:p>
            <w:pPr>
              <w:pStyle w:val="TableText"/>
              <w:ind w:left="270"/>
              <w:spacing w:before="109" w:line="178" w:lineRule="auto"/>
              <w:rPr/>
            </w:pPr>
            <w:r>
              <w:rPr>
                <w:spacing w:val="3"/>
              </w:rPr>
              <w:t>605081</w:t>
            </w:r>
          </w:p>
        </w:tc>
        <w:tc>
          <w:tcPr>
            <w:tcW w:w="1215" w:type="dxa"/>
            <w:vAlign w:val="top"/>
          </w:tcPr>
          <w:p>
            <w:pPr>
              <w:pStyle w:val="TableText"/>
              <w:ind w:left="283"/>
              <w:spacing w:before="98" w:line="186" w:lineRule="auto"/>
              <w:rPr/>
            </w:pPr>
            <w:r>
              <w:rPr>
                <w:spacing w:val="8"/>
              </w:rPr>
              <w:t>太和水</w:t>
            </w:r>
          </w:p>
        </w:tc>
        <w:tc>
          <w:tcPr>
            <w:tcW w:w="1324" w:type="dxa"/>
            <w:vAlign w:val="top"/>
          </w:tcPr>
          <w:p>
            <w:pPr>
              <w:pStyle w:val="TableText"/>
              <w:ind w:left="234"/>
              <w:spacing w:before="98" w:line="186" w:lineRule="auto"/>
              <w:rPr/>
            </w:pPr>
            <w:r>
              <w:rPr>
                <w:spacing w:val="8"/>
              </w:rPr>
              <w:t>通报批评</w:t>
            </w:r>
          </w:p>
        </w:tc>
        <w:tc>
          <w:tcPr>
            <w:tcW w:w="5004" w:type="dxa"/>
            <w:vAlign w:val="top"/>
          </w:tcPr>
          <w:p>
            <w:pPr>
              <w:pStyle w:val="TableText"/>
              <w:ind w:left="2"/>
              <w:spacing w:before="95" w:line="188" w:lineRule="auto"/>
              <w:rPr/>
            </w:pPr>
            <w:r>
              <w:rPr>
                <w:spacing w:val="7"/>
              </w:rPr>
              <w:t>公司</w:t>
            </w:r>
            <w:r>
              <w:rPr>
                <w:b/>
                <w:bCs/>
                <w:spacing w:val="7"/>
              </w:rPr>
              <w:t>虚增收入</w:t>
            </w:r>
            <w:r>
              <w:rPr>
                <w:b/>
                <w:bCs/>
                <w:spacing w:val="-19"/>
              </w:rPr>
              <w:t xml:space="preserve"> </w:t>
            </w:r>
            <w:r>
              <w:rPr>
                <w:spacing w:val="7"/>
              </w:rPr>
              <w:t>，相关财务信息披露不准确。</w:t>
            </w:r>
          </w:p>
        </w:tc>
      </w:tr>
    </w:tbl>
    <w:p>
      <w:pPr>
        <w:spacing w:before="331"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8"/>
        </w:rPr>
        <w:t>（ 2</w:t>
      </w:r>
      <w:r>
        <w:rPr>
          <w:rFonts w:ascii="Microsoft YaHei" w:hAnsi="Microsoft YaHei" w:eastAsia="Microsoft YaHei" w:cs="Microsoft YaHei"/>
          <w:sz w:val="24"/>
          <w:szCs w:val="24"/>
          <w:b/>
          <w:bCs/>
          <w:color w:val="333333"/>
          <w:spacing w:val="21"/>
        </w:rPr>
        <w:t xml:space="preserve"> </w:t>
      </w:r>
      <w:r>
        <w:rPr>
          <w:rFonts w:ascii="Microsoft YaHei" w:hAnsi="Microsoft YaHei" w:eastAsia="Microsoft YaHei" w:cs="Microsoft YaHei"/>
          <w:sz w:val="24"/>
          <w:szCs w:val="24"/>
          <w:b/>
          <w:bCs/>
          <w:color w:val="333333"/>
          <w:spacing w:val="-18"/>
        </w:rPr>
        <w:t>）函件统计</w:t>
      </w:r>
    </w:p>
    <w:p>
      <w:pPr>
        <w:ind w:left="635"/>
        <w:spacing w:before="293"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2024年3月11日-3月17日</w:t>
      </w:r>
      <w:r>
        <w:rPr>
          <w:rFonts w:ascii="Microsoft YaHei" w:hAnsi="Microsoft YaHei" w:eastAsia="Microsoft YaHei" w:cs="Microsoft YaHei"/>
          <w:sz w:val="22"/>
          <w:szCs w:val="22"/>
          <w:spacing w:val="-19"/>
        </w:rPr>
        <w:t xml:space="preserve"> </w:t>
      </w:r>
      <w:r>
        <w:rPr>
          <w:rFonts w:ascii="Microsoft YaHei" w:hAnsi="Microsoft YaHei" w:eastAsia="Microsoft YaHei" w:cs="Microsoft YaHei"/>
          <w:sz w:val="22"/>
          <w:szCs w:val="22"/>
          <w:spacing w:val="-5"/>
        </w:rPr>
        <w:t>，上交所发出1份监管问询函。</w:t>
      </w:r>
    </w:p>
    <w:p>
      <w:pPr>
        <w:spacing w:line="100" w:lineRule="auto"/>
        <w:rPr>
          <w:rFonts w:ascii="Arial"/>
          <w:sz w:val="2"/>
        </w:rPr>
      </w:pPr>
      <w:r>
        <w:rPr>
          <w:rFonts w:ascii="Arial"/>
          <w:sz w:val="2"/>
        </w:rPr>
      </w:r>
    </w:p>
    <w:tbl>
      <w:tblPr>
        <w:tblStyle w:val="TableNormal"/>
        <w:tblW w:w="8837" w:type="dxa"/>
        <w:tblInd w:w="975"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6346"/>
      </w:tblGrid>
      <w:tr>
        <w:trPr>
          <w:trHeight w:val="372" w:hRule="atLeast"/>
        </w:trPr>
        <w:tc>
          <w:tcPr>
            <w:shd w:val="clear" w:fill="C0504D"/>
            <w:tcW w:w="1276" w:type="dxa"/>
            <w:vAlign w:val="top"/>
            <w:tcBorders>
              <w:bottom w:val="single" w:color="C0504D" w:sz="10" w:space="0"/>
            </w:tcBorders>
          </w:tcPr>
          <w:p>
            <w:pPr>
              <w:pStyle w:val="TableText"/>
              <w:ind w:left="212"/>
              <w:spacing w:before="90"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0" w:line="189" w:lineRule="auto"/>
              <w:rPr/>
            </w:pPr>
            <w:r>
              <w:rPr>
                <w:b/>
                <w:bCs/>
                <w:color w:val="FFFFFF"/>
                <w:spacing w:val="8"/>
              </w:rPr>
              <w:t>公司简称</w:t>
            </w:r>
          </w:p>
        </w:tc>
        <w:tc>
          <w:tcPr>
            <w:shd w:val="clear" w:fill="C0504D"/>
            <w:tcW w:w="6346" w:type="dxa"/>
            <w:vAlign w:val="top"/>
            <w:tcBorders>
              <w:bottom w:val="single" w:color="C0504D" w:sz="10" w:space="0"/>
            </w:tcBorders>
          </w:tcPr>
          <w:p>
            <w:pPr>
              <w:pStyle w:val="TableText"/>
              <w:ind w:left="2756"/>
              <w:spacing w:before="92" w:line="188" w:lineRule="auto"/>
              <w:rPr/>
            </w:pPr>
            <w:r>
              <w:rPr>
                <w:b/>
                <w:bCs/>
                <w:color w:val="FFFFFF"/>
                <w:spacing w:val="5"/>
              </w:rPr>
              <w:t>函件类别</w:t>
            </w:r>
          </w:p>
        </w:tc>
      </w:tr>
      <w:tr>
        <w:trPr>
          <w:trHeight w:val="362" w:hRule="atLeast"/>
        </w:trPr>
        <w:tc>
          <w:tcPr>
            <w:tcW w:w="1276" w:type="dxa"/>
            <w:vAlign w:val="top"/>
            <w:tcBorders>
              <w:top w:val="single" w:color="C0504D" w:sz="10" w:space="0"/>
            </w:tcBorders>
          </w:tcPr>
          <w:p>
            <w:pPr>
              <w:pStyle w:val="TableText"/>
              <w:ind w:left="270"/>
              <w:spacing w:before="98" w:line="177" w:lineRule="auto"/>
              <w:rPr/>
            </w:pPr>
            <w:r>
              <w:rPr>
                <w:spacing w:val="3"/>
              </w:rPr>
              <w:t>600306</w:t>
            </w:r>
          </w:p>
        </w:tc>
        <w:tc>
          <w:tcPr>
            <w:tcW w:w="1215" w:type="dxa"/>
            <w:vAlign w:val="top"/>
            <w:tcBorders>
              <w:top w:val="single" w:color="C0504D" w:sz="10" w:space="0"/>
            </w:tcBorders>
          </w:tcPr>
          <w:p>
            <w:pPr>
              <w:pStyle w:val="TableText"/>
              <w:ind w:left="226"/>
              <w:spacing w:before="84" w:line="187" w:lineRule="auto"/>
              <w:rPr/>
            </w:pPr>
            <w:r>
              <w:rPr>
                <w:spacing w:val="8"/>
              </w:rPr>
              <w:t>*</w:t>
            </w:r>
            <w:r>
              <w:rPr/>
              <w:t>ST</w:t>
            </w:r>
            <w:r>
              <w:rPr>
                <w:spacing w:val="8"/>
              </w:rPr>
              <w:t>商城</w:t>
            </w:r>
          </w:p>
        </w:tc>
        <w:tc>
          <w:tcPr>
            <w:tcW w:w="6346" w:type="dxa"/>
            <w:vAlign w:val="top"/>
            <w:tcBorders>
              <w:top w:val="single" w:color="C0504D" w:sz="10" w:space="0"/>
            </w:tcBorders>
          </w:tcPr>
          <w:p>
            <w:pPr>
              <w:pStyle w:val="TableText"/>
              <w:ind w:left="2862"/>
              <w:spacing w:before="84" w:line="187" w:lineRule="auto"/>
              <w:rPr/>
            </w:pPr>
            <w:r>
              <w:rPr>
                <w:spacing w:val="4"/>
              </w:rPr>
              <w:t>问询函</w:t>
            </w:r>
          </w:p>
        </w:tc>
      </w:tr>
    </w:tbl>
    <w:p>
      <w:pPr>
        <w:ind w:left="215"/>
        <w:spacing w:before="158"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2、市场交易监管</w:t>
      </w:r>
    </w:p>
    <w:p>
      <w:pPr>
        <w:pStyle w:val="BodyText"/>
        <w:spacing w:line="261" w:lineRule="auto"/>
        <w:rPr/>
      </w:pPr>
      <w:r/>
    </w:p>
    <w:p>
      <w:pPr>
        <w:ind w:left="173" w:firstLine="462"/>
        <w:spacing w:before="95" w:line="203"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1"/>
        </w:rPr>
        <w:t>2024年3月11日-3月17日</w:t>
      </w:r>
      <w:r>
        <w:rPr>
          <w:rFonts w:ascii="Microsoft YaHei" w:hAnsi="Microsoft YaHei" w:eastAsia="Microsoft YaHei" w:cs="Microsoft YaHei"/>
          <w:sz w:val="22"/>
          <w:szCs w:val="22"/>
          <w:spacing w:val="-29"/>
        </w:rPr>
        <w:t xml:space="preserve"> </w:t>
      </w:r>
      <w:r>
        <w:rPr>
          <w:rFonts w:ascii="Microsoft YaHei" w:hAnsi="Microsoft YaHei" w:eastAsia="Microsoft YaHei" w:cs="Microsoft YaHei"/>
          <w:sz w:val="22"/>
          <w:szCs w:val="22"/>
          <w:spacing w:val="-1"/>
        </w:rPr>
        <w:t>，上交所对32起拉抬打压、虚假申报等证券异常交易行为采取了书面警示等监</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管措施</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2"/>
        </w:rPr>
        <w:t>，对艾艾精工等严重异常波动股票进行重点监控</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2"/>
        </w:rPr>
        <w:t>，对29起上市公司重大事项等进行专项核</w:t>
      </w:r>
      <w:r>
        <w:rPr>
          <w:rFonts w:ascii="Microsoft YaHei" w:hAnsi="Microsoft YaHei" w:eastAsia="Microsoft YaHei" w:cs="Microsoft YaHei"/>
          <w:sz w:val="22"/>
          <w:szCs w:val="22"/>
          <w:spacing w:val="-3"/>
        </w:rPr>
        <w:t>查</w:t>
      </w:r>
      <w:r>
        <w:rPr>
          <w:rFonts w:ascii="Microsoft YaHei" w:hAnsi="Microsoft YaHei" w:eastAsia="Microsoft YaHei" w:cs="Microsoft YaHei"/>
          <w:sz w:val="22"/>
          <w:szCs w:val="22"/>
          <w:spacing w:val="-31"/>
        </w:rPr>
        <w:t xml:space="preserve"> </w:t>
      </w:r>
      <w:r>
        <w:rPr>
          <w:rFonts w:ascii="Microsoft YaHei" w:hAnsi="Microsoft YaHei" w:eastAsia="Microsoft YaHei" w:cs="Microsoft YaHei"/>
          <w:sz w:val="22"/>
          <w:szCs w:val="22"/>
          <w:spacing w:val="-3"/>
        </w:rPr>
        <w:t>，向证监</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rPr>
        <w:t>会上报涉嫌违法违规案件线索2起。</w:t>
      </w:r>
    </w:p>
    <w:p>
      <w:pPr>
        <w:spacing w:line="203" w:lineRule="auto"/>
        <w:sectPr>
          <w:pgSz w:w="11910" w:h="16840"/>
          <w:pgMar w:top="400" w:right="593" w:bottom="400" w:left="689" w:header="0" w:footer="0" w:gutter="0"/>
        </w:sectPr>
        <w:rPr>
          <w:rFonts w:ascii="Microsoft YaHei" w:hAnsi="Microsoft YaHei" w:eastAsia="Microsoft YaHei" w:cs="Microsoft YaHei"/>
          <w:sz w:val="22"/>
          <w:szCs w:val="22"/>
        </w:rPr>
      </w:pPr>
    </w:p>
    <w:p>
      <w:pPr>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5"/>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pStyle w:val="BodyText"/>
        <w:spacing w:line="289" w:lineRule="auto"/>
        <w:rPr/>
      </w:pPr>
      <w:r/>
    </w:p>
    <w:p>
      <w:pPr>
        <w:ind w:left="941"/>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6"/>
        </w:rPr>
        <w:t>1、上市公司监管动态</w:t>
      </w:r>
    </w:p>
    <w:p>
      <w:pPr>
        <w:ind w:left="872" w:firstLine="436"/>
        <w:spacing w:before="328"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w:t>
      </w:r>
      <w:r>
        <w:rPr>
          <w:rFonts w:ascii="Microsoft YaHei" w:hAnsi="Microsoft YaHei" w:eastAsia="Microsoft YaHei" w:cs="Microsoft YaHei"/>
          <w:sz w:val="22"/>
          <w:szCs w:val="22"/>
          <w:spacing w:val="-5"/>
        </w:rPr>
        <w:t>4年3月11日-3月17日，深交所发出12份监管函，对3宗行为予以纪</w:t>
      </w:r>
      <w:r>
        <w:rPr>
          <w:rFonts w:ascii="Microsoft YaHei" w:hAnsi="Microsoft YaHei" w:eastAsia="Microsoft YaHei" w:cs="Microsoft YaHei"/>
          <w:sz w:val="22"/>
          <w:szCs w:val="22"/>
          <w:spacing w:val="-6"/>
        </w:rPr>
        <w:t>律处分；共发出关注函2份，</w:t>
      </w:r>
      <w:r>
        <w:rPr>
          <w:rFonts w:ascii="Microsoft YaHei" w:hAnsi="Microsoft YaHei" w:eastAsia="Microsoft YaHei" w:cs="Microsoft YaHei"/>
          <w:sz w:val="22"/>
          <w:szCs w:val="22"/>
          <w:spacing w:val="-3"/>
        </w:rPr>
        <w:t>年</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报问询函1份。</w:t>
      </w:r>
    </w:p>
    <w:p>
      <w:pPr>
        <w:pStyle w:val="BodyText"/>
        <w:spacing w:line="242" w:lineRule="auto"/>
        <w:rPr/>
      </w:pPr>
      <w:r/>
    </w:p>
    <w:p>
      <w:pPr>
        <w:ind w:firstLine="1815"/>
        <w:spacing w:line="4331" w:lineRule="exact"/>
        <w:rPr/>
      </w:pPr>
      <w:r>
        <w:rPr>
          <w:position w:val="-86"/>
        </w:rPr>
        <w:drawing>
          <wp:inline distT="0" distB="0" distL="0" distR="0">
            <wp:extent cx="5493384" cy="2750185"/>
            <wp:effectExtent l="0" t="0" r="0" b="0"/>
            <wp:docPr id="24" name="IM 24"/>
            <wp:cNvGraphicFramePr/>
            <a:graphic>
              <a:graphicData uri="http://schemas.openxmlformats.org/drawingml/2006/picture">
                <pic:pic>
                  <pic:nvPicPr>
                    <pic:cNvPr id="24" name="IM 24"/>
                    <pic:cNvPicPr/>
                  </pic:nvPicPr>
                  <pic:blipFill>
                    <a:blip r:embed="rId17"/>
                    <a:stretch>
                      <a:fillRect/>
                    </a:stretch>
                  </pic:blipFill>
                  <pic:spPr>
                    <a:xfrm rot="0">
                      <a:off x="0" y="0"/>
                      <a:ext cx="5493384" cy="2750185"/>
                    </a:xfrm>
                    <a:prstGeom prst="rect">
                      <a:avLst/>
                    </a:prstGeom>
                  </pic:spPr>
                </pic:pic>
              </a:graphicData>
            </a:graphic>
          </wp:inline>
        </w:drawing>
      </w:r>
    </w:p>
    <w:p>
      <w:pPr>
        <w:pStyle w:val="BodyText"/>
        <w:spacing w:line="245" w:lineRule="auto"/>
        <w:rPr/>
      </w:pPr>
      <w:r/>
    </w:p>
    <w:p>
      <w:pPr>
        <w:pStyle w:val="BodyText"/>
        <w:spacing w:line="246" w:lineRule="auto"/>
        <w:rPr/>
      </w:pPr>
      <w:r/>
    </w:p>
    <w:p>
      <w:pPr>
        <w:pStyle w:val="BodyText"/>
        <w:spacing w:line="246" w:lineRule="auto"/>
        <w:rPr/>
      </w:pPr>
      <w:r/>
    </w:p>
    <w:p>
      <w:pPr>
        <w:pStyle w:val="BodyText"/>
        <w:spacing w:line="246" w:lineRule="auto"/>
        <w:rPr/>
      </w:pPr>
      <w:r/>
    </w:p>
    <w:p>
      <w:pPr>
        <w:pStyle w:val="BodyText"/>
        <w:spacing w:line="246" w:lineRule="auto"/>
        <w:rPr/>
      </w:pPr>
      <w:r/>
    </w:p>
    <w:p>
      <w:pPr>
        <w:ind w:left="682"/>
        <w:spacing w:before="103" w:line="20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w w:val="96"/>
        </w:rPr>
        <w:t>（</w:t>
      </w:r>
      <w:r>
        <w:rPr>
          <w:rFonts w:ascii="Microsoft YaHei" w:hAnsi="Microsoft YaHei" w:eastAsia="Microsoft YaHei" w:cs="Microsoft YaHei"/>
          <w:sz w:val="24"/>
          <w:szCs w:val="24"/>
          <w:b/>
          <w:bCs/>
          <w:spacing w:val="48"/>
        </w:rPr>
        <w:t xml:space="preserve"> </w:t>
      </w:r>
      <w:r>
        <w:rPr>
          <w:rFonts w:ascii="Microsoft YaHei" w:hAnsi="Microsoft YaHei" w:eastAsia="Microsoft YaHei" w:cs="Microsoft YaHei"/>
          <w:sz w:val="24"/>
          <w:szCs w:val="24"/>
          <w:b/>
          <w:bCs/>
          <w:spacing w:val="-10"/>
          <w:w w:val="96"/>
        </w:rPr>
        <w:t>1</w:t>
      </w:r>
      <w:r>
        <w:rPr>
          <w:rFonts w:ascii="Microsoft YaHei" w:hAnsi="Microsoft YaHei" w:eastAsia="Microsoft YaHei" w:cs="Microsoft YaHei"/>
          <w:sz w:val="24"/>
          <w:szCs w:val="24"/>
          <w:b/>
          <w:bCs/>
          <w:spacing w:val="34"/>
        </w:rPr>
        <w:t xml:space="preserve"> </w:t>
      </w:r>
      <w:r>
        <w:rPr>
          <w:rFonts w:ascii="Microsoft YaHei" w:hAnsi="Microsoft YaHei" w:eastAsia="Microsoft YaHei" w:cs="Microsoft YaHei"/>
          <w:sz w:val="24"/>
          <w:szCs w:val="24"/>
          <w:b/>
          <w:bCs/>
          <w:spacing w:val="-10"/>
          <w:w w:val="96"/>
        </w:rPr>
        <w:t>）纪律处分及监管措施</w:t>
      </w:r>
    </w:p>
    <w:tbl>
      <w:tblPr>
        <w:tblStyle w:val="TableNormal"/>
        <w:tblW w:w="9314" w:type="dxa"/>
        <w:tblInd w:w="1095"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544"/>
        <w:gridCol w:w="1555"/>
        <w:gridCol w:w="1496"/>
        <w:gridCol w:w="4719"/>
      </w:tblGrid>
      <w:tr>
        <w:trPr>
          <w:trHeight w:val="639" w:hRule="atLeast"/>
        </w:trPr>
        <w:tc>
          <w:tcPr>
            <w:shd w:val="clear" w:fill="4BACC6"/>
            <w:tcW w:w="1544" w:type="dxa"/>
            <w:vAlign w:val="top"/>
          </w:tcPr>
          <w:p>
            <w:pPr>
              <w:pStyle w:val="TableText"/>
              <w:ind w:left="334"/>
              <w:spacing w:before="93" w:line="183" w:lineRule="auto"/>
              <w:rPr>
                <w:sz w:val="22"/>
                <w:szCs w:val="22"/>
              </w:rPr>
            </w:pPr>
            <w:r>
              <w:rPr>
                <w:sz w:val="22"/>
                <w:szCs w:val="22"/>
                <w:b/>
                <w:bCs/>
                <w:color w:val="FFFFFF"/>
                <w:spacing w:val="-1"/>
              </w:rPr>
              <w:t>公司代码</w:t>
            </w:r>
          </w:p>
        </w:tc>
        <w:tc>
          <w:tcPr>
            <w:shd w:val="clear" w:fill="4BACC6"/>
            <w:tcW w:w="1555" w:type="dxa"/>
            <w:vAlign w:val="top"/>
            <w:tcBorders>
              <w:top w:val="nil"/>
            </w:tcBorders>
          </w:tcPr>
          <w:p>
            <w:pPr>
              <w:pStyle w:val="TableText"/>
              <w:ind w:left="338"/>
              <w:spacing w:before="93" w:line="183" w:lineRule="auto"/>
              <w:rPr>
                <w:sz w:val="22"/>
                <w:szCs w:val="22"/>
              </w:rPr>
            </w:pPr>
            <w:r>
              <w:rPr>
                <w:sz w:val="22"/>
                <w:szCs w:val="22"/>
                <w:b/>
                <w:bCs/>
                <w:color w:val="FFFFFF"/>
                <w:spacing w:val="-1"/>
              </w:rPr>
              <w:t>公司简称</w:t>
            </w:r>
          </w:p>
        </w:tc>
        <w:tc>
          <w:tcPr>
            <w:shd w:val="clear" w:fill="4BACC6"/>
            <w:tcW w:w="1496" w:type="dxa"/>
            <w:vAlign w:val="top"/>
            <w:tcBorders>
              <w:top w:val="nil"/>
            </w:tcBorders>
          </w:tcPr>
          <w:p>
            <w:pPr>
              <w:pStyle w:val="TableText"/>
              <w:ind w:left="308"/>
              <w:spacing w:before="92" w:line="184" w:lineRule="auto"/>
              <w:rPr>
                <w:sz w:val="22"/>
                <w:szCs w:val="22"/>
              </w:rPr>
            </w:pPr>
            <w:r>
              <w:rPr>
                <w:sz w:val="22"/>
                <w:szCs w:val="22"/>
                <w:b/>
                <w:bCs/>
                <w:color w:val="FFFFFF"/>
                <w:spacing w:val="-1"/>
              </w:rPr>
              <w:t>监管类型</w:t>
            </w:r>
          </w:p>
        </w:tc>
        <w:tc>
          <w:tcPr>
            <w:shd w:val="clear" w:fill="4BACC6"/>
            <w:tcW w:w="4719" w:type="dxa"/>
            <w:vAlign w:val="top"/>
            <w:tcBorders>
              <w:top w:val="nil"/>
            </w:tcBorders>
          </w:tcPr>
          <w:p>
            <w:pPr>
              <w:pStyle w:val="TableText"/>
              <w:ind w:left="1916"/>
              <w:spacing w:before="92" w:line="184" w:lineRule="auto"/>
              <w:rPr>
                <w:sz w:val="22"/>
                <w:szCs w:val="22"/>
              </w:rPr>
            </w:pPr>
            <w:r>
              <w:rPr>
                <w:sz w:val="22"/>
                <w:szCs w:val="22"/>
                <w:b/>
                <w:bCs/>
                <w:color w:val="FFFFFF"/>
                <w:spacing w:val="-1"/>
              </w:rPr>
              <w:t>处理事由</w:t>
            </w:r>
          </w:p>
        </w:tc>
      </w:tr>
      <w:tr>
        <w:trPr>
          <w:trHeight w:val="724" w:hRule="atLeast"/>
        </w:trPr>
        <w:tc>
          <w:tcPr>
            <w:tcW w:w="1544" w:type="dxa"/>
            <w:vAlign w:val="top"/>
          </w:tcPr>
          <w:p>
            <w:pPr>
              <w:pStyle w:val="TableText"/>
              <w:ind w:left="413"/>
              <w:spacing w:before="283" w:line="178" w:lineRule="auto"/>
              <w:rPr/>
            </w:pPr>
            <w:r>
              <w:rPr>
                <w:spacing w:val="3"/>
              </w:rPr>
              <w:t>300693</w:t>
            </w:r>
          </w:p>
        </w:tc>
        <w:tc>
          <w:tcPr>
            <w:tcW w:w="1555" w:type="dxa"/>
            <w:vAlign w:val="top"/>
          </w:tcPr>
          <w:p>
            <w:pPr>
              <w:pStyle w:val="TableText"/>
              <w:ind w:left="357"/>
              <w:spacing w:before="268" w:line="189" w:lineRule="auto"/>
              <w:rPr/>
            </w:pPr>
            <w:r>
              <w:rPr>
                <w:spacing w:val="8"/>
              </w:rPr>
              <w:t>盛弘股份</w:t>
            </w:r>
          </w:p>
        </w:tc>
        <w:tc>
          <w:tcPr>
            <w:tcW w:w="1496" w:type="dxa"/>
            <w:vAlign w:val="top"/>
          </w:tcPr>
          <w:p>
            <w:pPr>
              <w:pStyle w:val="TableText"/>
              <w:ind w:left="434"/>
              <w:spacing w:before="268" w:line="189" w:lineRule="auto"/>
              <w:rPr/>
            </w:pPr>
            <w:r>
              <w:rPr>
                <w:spacing w:val="8"/>
              </w:rPr>
              <w:t>监管函</w:t>
            </w:r>
          </w:p>
        </w:tc>
        <w:tc>
          <w:tcPr>
            <w:tcW w:w="4719" w:type="dxa"/>
            <w:vAlign w:val="top"/>
          </w:tcPr>
          <w:p>
            <w:pPr>
              <w:pStyle w:val="TableText"/>
              <w:ind w:left="135" w:right="281" w:hanging="28"/>
              <w:spacing w:before="44" w:line="234" w:lineRule="auto"/>
              <w:rPr/>
            </w:pPr>
            <w:r>
              <w:rPr>
                <w:spacing w:val="9"/>
              </w:rPr>
              <w:t>大股东在所持盛弘股份股票比例</w:t>
            </w:r>
            <w:r>
              <w:rPr>
                <w:b/>
                <w:bCs/>
                <w:spacing w:val="9"/>
              </w:rPr>
              <w:t>累计变动5％时</w:t>
            </w:r>
            <w:r>
              <w:rPr>
                <w:b/>
                <w:bCs/>
                <w:spacing w:val="11"/>
              </w:rPr>
              <w:t xml:space="preserve"> </w:t>
            </w:r>
            <w:r>
              <w:rPr>
                <w:spacing w:val="8"/>
              </w:rPr>
              <w:t>,  未能按照规定停止买卖盛弘股份股票。</w:t>
            </w:r>
          </w:p>
        </w:tc>
      </w:tr>
      <w:tr>
        <w:trPr>
          <w:trHeight w:val="1442" w:hRule="atLeast"/>
        </w:trPr>
        <w:tc>
          <w:tcPr>
            <w:shd w:val="clear" w:fill="B8CCE4"/>
            <w:tcW w:w="1544" w:type="dxa"/>
            <w:vAlign w:val="top"/>
          </w:tcPr>
          <w:p>
            <w:pPr>
              <w:spacing w:line="277" w:lineRule="auto"/>
              <w:rPr>
                <w:rFonts w:ascii="Arial"/>
                <w:sz w:val="21"/>
              </w:rPr>
            </w:pPr>
            <w:r/>
          </w:p>
          <w:p>
            <w:pPr>
              <w:spacing w:line="277" w:lineRule="auto"/>
              <w:rPr>
                <w:rFonts w:ascii="Arial"/>
                <w:sz w:val="21"/>
              </w:rPr>
            </w:pPr>
            <w:r/>
          </w:p>
          <w:p>
            <w:pPr>
              <w:pStyle w:val="TableText"/>
              <w:ind w:left="408"/>
              <w:spacing w:before="86" w:line="178" w:lineRule="auto"/>
              <w:rPr/>
            </w:pPr>
            <w:r>
              <w:rPr>
                <w:spacing w:val="3"/>
              </w:rPr>
              <w:t>002699</w:t>
            </w:r>
          </w:p>
        </w:tc>
        <w:tc>
          <w:tcPr>
            <w:shd w:val="clear" w:fill="B8CCE4"/>
            <w:tcW w:w="1555" w:type="dxa"/>
            <w:vAlign w:val="top"/>
          </w:tcPr>
          <w:p>
            <w:pPr>
              <w:spacing w:line="269" w:lineRule="auto"/>
              <w:rPr>
                <w:rFonts w:ascii="Arial"/>
                <w:sz w:val="21"/>
              </w:rPr>
            </w:pPr>
            <w:r/>
          </w:p>
          <w:p>
            <w:pPr>
              <w:spacing w:line="269" w:lineRule="auto"/>
              <w:rPr>
                <w:rFonts w:ascii="Arial"/>
                <w:sz w:val="21"/>
              </w:rPr>
            </w:pPr>
            <w:r/>
          </w:p>
          <w:p>
            <w:pPr>
              <w:pStyle w:val="TableText"/>
              <w:ind w:left="401"/>
              <w:spacing w:before="86" w:line="190" w:lineRule="auto"/>
              <w:rPr/>
            </w:pPr>
            <w:r>
              <w:rPr>
                <w:spacing w:val="8"/>
              </w:rPr>
              <w:t>*</w:t>
            </w:r>
            <w:r>
              <w:rPr/>
              <w:t>ST</w:t>
            </w:r>
            <w:r>
              <w:rPr>
                <w:spacing w:val="8"/>
              </w:rPr>
              <w:t>美盛</w:t>
            </w:r>
          </w:p>
        </w:tc>
        <w:tc>
          <w:tcPr>
            <w:shd w:val="clear" w:fill="B8CCE4"/>
            <w:tcW w:w="1496" w:type="dxa"/>
            <w:vAlign w:val="top"/>
          </w:tcPr>
          <w:p>
            <w:pPr>
              <w:spacing w:line="269" w:lineRule="auto"/>
              <w:rPr>
                <w:rFonts w:ascii="Arial"/>
                <w:sz w:val="21"/>
              </w:rPr>
            </w:pPr>
            <w:r/>
          </w:p>
          <w:p>
            <w:pPr>
              <w:spacing w:line="270" w:lineRule="auto"/>
              <w:rPr>
                <w:rFonts w:ascii="Arial"/>
                <w:sz w:val="21"/>
              </w:rPr>
            </w:pPr>
            <w:r/>
          </w:p>
          <w:p>
            <w:pPr>
              <w:pStyle w:val="TableText"/>
              <w:ind w:left="434"/>
              <w:spacing w:before="86" w:line="189" w:lineRule="auto"/>
              <w:rPr/>
            </w:pPr>
            <w:r>
              <w:rPr>
                <w:spacing w:val="8"/>
              </w:rPr>
              <w:t>监管函</w:t>
            </w:r>
          </w:p>
        </w:tc>
        <w:tc>
          <w:tcPr>
            <w:shd w:val="clear" w:fill="B8CCE4"/>
            <w:tcW w:w="4719" w:type="dxa"/>
            <w:vAlign w:val="top"/>
          </w:tcPr>
          <w:p>
            <w:pPr>
              <w:pStyle w:val="TableText"/>
              <w:ind w:left="106" w:right="200"/>
              <w:spacing w:before="88" w:line="231" w:lineRule="auto"/>
              <w:rPr/>
            </w:pPr>
            <w:r>
              <w:rPr>
                <w:spacing w:val="8"/>
              </w:rPr>
              <w:t>公司存在多次无人接听投资者服务电话的情形</w:t>
            </w:r>
            <w:r>
              <w:rPr>
                <w:spacing w:val="-22"/>
              </w:rPr>
              <w:t xml:space="preserve"> </w:t>
            </w:r>
            <w:r>
              <w:rPr>
                <w:spacing w:val="8"/>
              </w:rPr>
              <w:t>，</w:t>
            </w:r>
            <w:r>
              <w:rPr/>
              <w:t xml:space="preserve"> </w:t>
            </w:r>
            <w:r>
              <w:rPr>
                <w:spacing w:val="9"/>
              </w:rPr>
              <w:t>在交易所再次督促提醒做好投资者关系管理工作</w:t>
            </w:r>
            <w:r>
              <w:rPr>
                <w:spacing w:val="17"/>
              </w:rPr>
              <w:t xml:space="preserve"> </w:t>
            </w:r>
            <w:r>
              <w:rPr>
                <w:spacing w:val="8"/>
              </w:rPr>
              <w:t>后</w:t>
            </w:r>
            <w:r>
              <w:rPr>
                <w:spacing w:val="-21"/>
              </w:rPr>
              <w:t xml:space="preserve"> </w:t>
            </w:r>
            <w:r>
              <w:rPr>
                <w:spacing w:val="8"/>
              </w:rPr>
              <w:t>，公司仍存在</w:t>
            </w:r>
            <w:r>
              <w:rPr>
                <w:b/>
                <w:bCs/>
                <w:spacing w:val="8"/>
              </w:rPr>
              <w:t>无人接听投资者服务电话</w:t>
            </w:r>
            <w:r>
              <w:rPr>
                <w:spacing w:val="8"/>
              </w:rPr>
              <w:t>的情形</w:t>
            </w:r>
          </w:p>
          <w:p>
            <w:pPr>
              <w:pStyle w:val="TableText"/>
              <w:ind w:left="118"/>
              <w:spacing w:before="238" w:line="114" w:lineRule="exact"/>
              <w:rPr/>
            </w:pPr>
            <w:r>
              <w:rPr>
                <w:position w:val="3"/>
              </w:rPr>
              <w:t>。</w:t>
            </w:r>
          </w:p>
        </w:tc>
      </w:tr>
      <w:tr>
        <w:trPr>
          <w:trHeight w:val="1443" w:hRule="atLeast"/>
        </w:trPr>
        <w:tc>
          <w:tcPr>
            <w:tcW w:w="1544" w:type="dxa"/>
            <w:vAlign w:val="top"/>
          </w:tcPr>
          <w:p>
            <w:pPr>
              <w:spacing w:line="278" w:lineRule="auto"/>
              <w:rPr>
                <w:rFonts w:ascii="Arial"/>
                <w:sz w:val="21"/>
              </w:rPr>
            </w:pPr>
            <w:r/>
          </w:p>
          <w:p>
            <w:pPr>
              <w:spacing w:line="278" w:lineRule="auto"/>
              <w:rPr>
                <w:rFonts w:ascii="Arial"/>
                <w:sz w:val="21"/>
              </w:rPr>
            </w:pPr>
            <w:r/>
          </w:p>
          <w:p>
            <w:pPr>
              <w:pStyle w:val="TableText"/>
              <w:ind w:left="413"/>
              <w:spacing w:before="86" w:line="178" w:lineRule="auto"/>
              <w:rPr/>
            </w:pPr>
            <w:r>
              <w:rPr>
                <w:spacing w:val="3"/>
              </w:rPr>
              <w:t>300893</w:t>
            </w:r>
          </w:p>
        </w:tc>
        <w:tc>
          <w:tcPr>
            <w:tcW w:w="1555" w:type="dxa"/>
            <w:vAlign w:val="top"/>
          </w:tcPr>
          <w:p>
            <w:pPr>
              <w:spacing w:line="271" w:lineRule="auto"/>
              <w:rPr>
                <w:rFonts w:ascii="Arial"/>
                <w:sz w:val="21"/>
              </w:rPr>
            </w:pPr>
            <w:r/>
          </w:p>
          <w:p>
            <w:pPr>
              <w:spacing w:line="272" w:lineRule="auto"/>
              <w:rPr>
                <w:rFonts w:ascii="Arial"/>
                <w:sz w:val="21"/>
              </w:rPr>
            </w:pPr>
            <w:r/>
          </w:p>
          <w:p>
            <w:pPr>
              <w:pStyle w:val="TableText"/>
              <w:ind w:left="355"/>
              <w:spacing w:before="86" w:line="188" w:lineRule="auto"/>
              <w:rPr/>
            </w:pPr>
            <w:r>
              <w:rPr>
                <w:spacing w:val="8"/>
              </w:rPr>
              <w:t>松原股份</w:t>
            </w:r>
          </w:p>
        </w:tc>
        <w:tc>
          <w:tcPr>
            <w:tcW w:w="1496" w:type="dxa"/>
            <w:vAlign w:val="top"/>
          </w:tcPr>
          <w:p>
            <w:pPr>
              <w:spacing w:line="271" w:lineRule="auto"/>
              <w:rPr>
                <w:rFonts w:ascii="Arial"/>
                <w:sz w:val="21"/>
              </w:rPr>
            </w:pPr>
            <w:r/>
          </w:p>
          <w:p>
            <w:pPr>
              <w:spacing w:line="271" w:lineRule="auto"/>
              <w:rPr>
                <w:rFonts w:ascii="Arial"/>
                <w:sz w:val="21"/>
              </w:rPr>
            </w:pPr>
            <w:r/>
          </w:p>
          <w:p>
            <w:pPr>
              <w:pStyle w:val="TableText"/>
              <w:ind w:left="434"/>
              <w:spacing w:before="86" w:line="189" w:lineRule="auto"/>
              <w:rPr/>
            </w:pPr>
            <w:r>
              <w:rPr>
                <w:spacing w:val="8"/>
              </w:rPr>
              <w:t>监管函</w:t>
            </w:r>
          </w:p>
        </w:tc>
        <w:tc>
          <w:tcPr>
            <w:tcW w:w="4719" w:type="dxa"/>
            <w:vAlign w:val="top"/>
          </w:tcPr>
          <w:p>
            <w:pPr>
              <w:pStyle w:val="TableText"/>
              <w:ind w:left="106" w:right="200"/>
              <w:spacing w:before="93" w:line="231" w:lineRule="auto"/>
              <w:rPr/>
            </w:pPr>
            <w:r>
              <w:rPr>
                <w:spacing w:val="8"/>
              </w:rPr>
              <w:t>公司存在多次无人接听投资者服务电话的情形</w:t>
            </w:r>
            <w:r>
              <w:rPr>
                <w:spacing w:val="-22"/>
              </w:rPr>
              <w:t xml:space="preserve"> </w:t>
            </w:r>
            <w:r>
              <w:rPr>
                <w:spacing w:val="8"/>
              </w:rPr>
              <w:t>，</w:t>
            </w:r>
            <w:r>
              <w:rPr/>
              <w:t xml:space="preserve"> </w:t>
            </w:r>
            <w:r>
              <w:rPr>
                <w:spacing w:val="9"/>
              </w:rPr>
              <w:t>在交易所再次督促提醒做好投资者关系管理工作</w:t>
            </w:r>
            <w:r>
              <w:rPr>
                <w:spacing w:val="17"/>
              </w:rPr>
              <w:t xml:space="preserve"> </w:t>
            </w:r>
            <w:r>
              <w:rPr>
                <w:spacing w:val="8"/>
              </w:rPr>
              <w:t>后</w:t>
            </w:r>
            <w:r>
              <w:rPr>
                <w:spacing w:val="-21"/>
              </w:rPr>
              <w:t xml:space="preserve"> </w:t>
            </w:r>
            <w:r>
              <w:rPr>
                <w:spacing w:val="8"/>
              </w:rPr>
              <w:t>，公司仍存在</w:t>
            </w:r>
            <w:r>
              <w:rPr>
                <w:b/>
                <w:bCs/>
                <w:spacing w:val="8"/>
              </w:rPr>
              <w:t>无人接听投资者服务电话</w:t>
            </w:r>
            <w:r>
              <w:rPr>
                <w:spacing w:val="8"/>
              </w:rPr>
              <w:t>的情形</w:t>
            </w:r>
          </w:p>
          <w:p>
            <w:pPr>
              <w:pStyle w:val="TableText"/>
              <w:ind w:left="118"/>
              <w:spacing w:before="238" w:line="110" w:lineRule="exact"/>
              <w:rPr/>
            </w:pPr>
            <w:r>
              <w:rPr>
                <w:position w:val="3"/>
              </w:rPr>
              <w:t>。</w:t>
            </w:r>
          </w:p>
        </w:tc>
      </w:tr>
      <w:tr>
        <w:trPr>
          <w:trHeight w:val="365" w:hRule="atLeast"/>
        </w:trPr>
        <w:tc>
          <w:tcPr>
            <w:shd w:val="clear" w:fill="B8CCE4"/>
            <w:tcW w:w="1544" w:type="dxa"/>
            <w:vAlign w:val="top"/>
          </w:tcPr>
          <w:p>
            <w:pPr>
              <w:pStyle w:val="TableText"/>
              <w:ind w:left="408"/>
              <w:spacing w:before="109" w:line="172" w:lineRule="auto"/>
              <w:rPr/>
            </w:pPr>
            <w:r>
              <w:rPr>
                <w:spacing w:val="3"/>
              </w:rPr>
              <w:t>000778</w:t>
            </w:r>
          </w:p>
        </w:tc>
        <w:tc>
          <w:tcPr>
            <w:shd w:val="clear" w:fill="B8CCE4"/>
            <w:tcW w:w="1555" w:type="dxa"/>
            <w:vAlign w:val="top"/>
          </w:tcPr>
          <w:p>
            <w:pPr>
              <w:pStyle w:val="TableText"/>
              <w:ind w:left="355"/>
              <w:spacing w:before="94" w:line="182" w:lineRule="auto"/>
              <w:rPr/>
            </w:pPr>
            <w:r>
              <w:rPr>
                <w:spacing w:val="8"/>
              </w:rPr>
              <w:t>新兴铸管</w:t>
            </w:r>
          </w:p>
        </w:tc>
        <w:tc>
          <w:tcPr>
            <w:shd w:val="clear" w:fill="B8CCE4"/>
            <w:tcW w:w="1496" w:type="dxa"/>
            <w:vAlign w:val="top"/>
          </w:tcPr>
          <w:p>
            <w:pPr>
              <w:pStyle w:val="TableText"/>
              <w:ind w:left="434"/>
              <w:spacing w:before="94" w:line="182" w:lineRule="auto"/>
              <w:rPr/>
            </w:pPr>
            <w:r>
              <w:rPr>
                <w:spacing w:val="8"/>
              </w:rPr>
              <w:t>监管函</w:t>
            </w:r>
          </w:p>
        </w:tc>
        <w:tc>
          <w:tcPr>
            <w:shd w:val="clear" w:fill="B8CCE4"/>
            <w:tcW w:w="4719" w:type="dxa"/>
            <w:vAlign w:val="top"/>
          </w:tcPr>
          <w:p>
            <w:pPr>
              <w:pStyle w:val="TableText"/>
              <w:ind w:left="108"/>
              <w:spacing w:before="93" w:line="183" w:lineRule="auto"/>
              <w:rPr/>
            </w:pPr>
            <w:r>
              <w:rPr>
                <w:spacing w:val="8"/>
              </w:rPr>
              <w:t>独立董事配偶</w:t>
            </w:r>
            <w:r>
              <w:rPr>
                <w:b/>
                <w:bCs/>
                <w:spacing w:val="8"/>
              </w:rPr>
              <w:t>短线交易。</w:t>
            </w:r>
          </w:p>
        </w:tc>
      </w:tr>
      <w:tr>
        <w:trPr>
          <w:trHeight w:val="1083" w:hRule="atLeast"/>
        </w:trPr>
        <w:tc>
          <w:tcPr>
            <w:tcW w:w="1544" w:type="dxa"/>
            <w:vAlign w:val="top"/>
          </w:tcPr>
          <w:p>
            <w:pPr>
              <w:spacing w:line="381" w:lineRule="auto"/>
              <w:rPr>
                <w:rFonts w:ascii="Arial"/>
                <w:sz w:val="21"/>
              </w:rPr>
            </w:pPr>
            <w:r/>
          </w:p>
          <w:p>
            <w:pPr>
              <w:pStyle w:val="TableText"/>
              <w:ind w:left="413"/>
              <w:spacing w:before="86" w:line="178" w:lineRule="auto"/>
              <w:rPr/>
            </w:pPr>
            <w:r>
              <w:rPr>
                <w:spacing w:val="3"/>
              </w:rPr>
              <w:t>300627</w:t>
            </w:r>
          </w:p>
        </w:tc>
        <w:tc>
          <w:tcPr>
            <w:tcW w:w="1555" w:type="dxa"/>
            <w:vAlign w:val="top"/>
          </w:tcPr>
          <w:p>
            <w:pPr>
              <w:spacing w:line="365" w:lineRule="auto"/>
              <w:rPr>
                <w:rFonts w:ascii="Arial"/>
                <w:sz w:val="21"/>
              </w:rPr>
            </w:pPr>
            <w:r/>
          </w:p>
          <w:p>
            <w:pPr>
              <w:pStyle w:val="TableText"/>
              <w:ind w:left="357"/>
              <w:spacing w:before="86" w:line="190" w:lineRule="auto"/>
              <w:rPr/>
            </w:pPr>
            <w:r>
              <w:rPr>
                <w:spacing w:val="8"/>
              </w:rPr>
              <w:t>华测导航</w:t>
            </w:r>
          </w:p>
        </w:tc>
        <w:tc>
          <w:tcPr>
            <w:tcW w:w="1496" w:type="dxa"/>
            <w:vAlign w:val="top"/>
          </w:tcPr>
          <w:p>
            <w:pPr>
              <w:spacing w:line="366" w:lineRule="auto"/>
              <w:rPr>
                <w:rFonts w:ascii="Arial"/>
                <w:sz w:val="21"/>
              </w:rPr>
            </w:pPr>
            <w:r/>
          </w:p>
          <w:p>
            <w:pPr>
              <w:pStyle w:val="TableText"/>
              <w:ind w:left="434"/>
              <w:spacing w:before="86" w:line="189" w:lineRule="auto"/>
              <w:rPr/>
            </w:pPr>
            <w:r>
              <w:rPr>
                <w:spacing w:val="8"/>
              </w:rPr>
              <w:t>监管函</w:t>
            </w:r>
          </w:p>
        </w:tc>
        <w:tc>
          <w:tcPr>
            <w:tcW w:w="4719" w:type="dxa"/>
            <w:vAlign w:val="top"/>
          </w:tcPr>
          <w:p>
            <w:pPr>
              <w:pStyle w:val="TableText"/>
              <w:ind w:left="109" w:right="200" w:hanging="2"/>
              <w:spacing w:before="95" w:line="228" w:lineRule="auto"/>
              <w:jc w:val="both"/>
              <w:rPr/>
            </w:pPr>
            <w:r>
              <w:rPr>
                <w:spacing w:val="9"/>
              </w:rPr>
              <w:t>控股股东、实际控制人与一致行动人合计持有公</w:t>
            </w:r>
            <w:r>
              <w:rPr>
                <w:spacing w:val="15"/>
                <w:w w:val="101"/>
              </w:rPr>
              <w:t xml:space="preserve"> </w:t>
            </w:r>
            <w:r>
              <w:rPr>
                <w:spacing w:val="7"/>
              </w:rPr>
              <w:t>司股份比例</w:t>
            </w:r>
            <w:r>
              <w:rPr>
                <w:b/>
                <w:bCs/>
                <w:spacing w:val="7"/>
              </w:rPr>
              <w:t>减少5%时</w:t>
            </w:r>
            <w:r>
              <w:rPr>
                <w:b/>
                <w:bCs/>
                <w:spacing w:val="-26"/>
              </w:rPr>
              <w:t xml:space="preserve"> </w:t>
            </w:r>
            <w:r>
              <w:rPr>
                <w:spacing w:val="7"/>
              </w:rPr>
              <w:t>，未按照规定停止买卖公  </w:t>
            </w:r>
            <w:r>
              <w:rPr>
                <w:spacing w:val="8"/>
              </w:rPr>
              <w:t>司股份并履行报告和公告义务。</w:t>
            </w:r>
          </w:p>
        </w:tc>
      </w:tr>
      <w:tr>
        <w:trPr>
          <w:trHeight w:val="1805" w:hRule="atLeast"/>
        </w:trPr>
        <w:tc>
          <w:tcPr>
            <w:shd w:val="clear" w:fill="B8CCE4"/>
            <w:tcW w:w="1544" w:type="dxa"/>
            <w:vAlign w:val="top"/>
          </w:tcPr>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413"/>
              <w:spacing w:before="86" w:line="178" w:lineRule="auto"/>
              <w:rPr/>
            </w:pPr>
            <w:r>
              <w:rPr>
                <w:spacing w:val="3"/>
              </w:rPr>
              <w:t>300288</w:t>
            </w:r>
          </w:p>
        </w:tc>
        <w:tc>
          <w:tcPr>
            <w:shd w:val="clear" w:fill="B8CCE4"/>
            <w:tcW w:w="1555" w:type="dxa"/>
            <w:vAlign w:val="top"/>
          </w:tcPr>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364"/>
              <w:spacing w:before="86" w:line="189" w:lineRule="auto"/>
              <w:rPr/>
            </w:pPr>
            <w:r>
              <w:rPr>
                <w:spacing w:val="6"/>
              </w:rPr>
              <w:t>朗玛信息</w:t>
            </w:r>
          </w:p>
        </w:tc>
        <w:tc>
          <w:tcPr>
            <w:shd w:val="clear" w:fill="B8CCE4"/>
            <w:tcW w:w="1496" w:type="dxa"/>
            <w:vAlign w:val="top"/>
          </w:tcPr>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434"/>
              <w:spacing w:before="86" w:line="189" w:lineRule="auto"/>
              <w:rPr/>
            </w:pPr>
            <w:r>
              <w:rPr>
                <w:spacing w:val="8"/>
              </w:rPr>
              <w:t>监管函</w:t>
            </w:r>
          </w:p>
        </w:tc>
        <w:tc>
          <w:tcPr>
            <w:shd w:val="clear" w:fill="B8CCE4"/>
            <w:tcW w:w="4719" w:type="dxa"/>
            <w:vAlign w:val="top"/>
          </w:tcPr>
          <w:p>
            <w:pPr>
              <w:pStyle w:val="TableText"/>
              <w:ind w:left="107" w:right="200"/>
              <w:spacing w:before="100" w:line="237" w:lineRule="auto"/>
              <w:jc w:val="both"/>
              <w:rPr/>
            </w:pPr>
            <w:r>
              <w:rPr>
                <w:spacing w:val="8"/>
              </w:rPr>
              <w:t>根据当时规定</w:t>
            </w:r>
            <w:r>
              <w:rPr>
                <w:spacing w:val="-23"/>
              </w:rPr>
              <w:t xml:space="preserve"> </w:t>
            </w:r>
            <w:r>
              <w:rPr>
                <w:spacing w:val="8"/>
              </w:rPr>
              <w:t>，独立董事提名人在提名候选人时</w:t>
            </w:r>
            <w:r>
              <w:rPr/>
              <w:t xml:space="preserve"> </w:t>
            </w:r>
            <w:r>
              <w:rPr>
                <w:spacing w:val="9"/>
              </w:rPr>
              <w:t>,</w:t>
            </w:r>
            <w:r>
              <w:rPr>
                <w:spacing w:val="24"/>
              </w:rPr>
              <w:t xml:space="preserve">  </w:t>
            </w:r>
            <w:r>
              <w:rPr>
                <w:spacing w:val="9"/>
              </w:rPr>
              <w:t>除应当确保候选人具备独立性、符合最多在五</w:t>
            </w:r>
            <w:r>
              <w:rPr/>
              <w:t xml:space="preserve"> </w:t>
            </w:r>
            <w:r>
              <w:rPr>
                <w:spacing w:val="8"/>
              </w:rPr>
              <w:t>家上市公司担任独立董事等任职资格外</w:t>
            </w:r>
            <w:r>
              <w:rPr>
                <w:spacing w:val="-24"/>
              </w:rPr>
              <w:t xml:space="preserve"> </w:t>
            </w:r>
            <w:r>
              <w:rPr>
                <w:spacing w:val="8"/>
              </w:rPr>
              <w:t>，还应当</w:t>
            </w:r>
            <w:r>
              <w:rPr/>
              <w:t xml:space="preserve"> </w:t>
            </w:r>
            <w:r>
              <w:rPr>
                <w:spacing w:val="9"/>
              </w:rPr>
              <w:t>重点关注独立董事候选人是否存在同时在超过五</w:t>
            </w:r>
            <w:r>
              <w:rPr>
                <w:spacing w:val="15"/>
              </w:rPr>
              <w:t xml:space="preserve"> </w:t>
            </w:r>
            <w:r>
              <w:rPr>
                <w:spacing w:val="9"/>
              </w:rPr>
              <w:t>家公司担任董事、监事或高级管理人员的情形。</w:t>
            </w:r>
          </w:p>
        </w:tc>
      </w:tr>
    </w:tbl>
    <w:p>
      <w:pPr>
        <w:pStyle w:val="BodyText"/>
        <w:spacing w:line="14" w:lineRule="auto"/>
        <w:rPr>
          <w:sz w:val="2"/>
        </w:rPr>
      </w:pPr>
      <w:r/>
    </w:p>
    <w:p>
      <w:pPr>
        <w:spacing w:line="14" w:lineRule="auto"/>
        <w:sectPr>
          <w:pgSz w:w="11910" w:h="16840"/>
          <w:pgMar w:top="374" w:right="586" w:bottom="99" w:left="460" w:header="0" w:footer="0" w:gutter="0"/>
        </w:sectPr>
        <w:rPr>
          <w:sz w:val="2"/>
          <w:szCs w:val="2"/>
        </w:rPr>
      </w:pPr>
    </w:p>
    <w:tbl>
      <w:tblPr>
        <w:tblStyle w:val="TableNormal"/>
        <w:tblW w:w="9314" w:type="dxa"/>
        <w:tblInd w:w="303"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544"/>
        <w:gridCol w:w="1555"/>
        <w:gridCol w:w="1496"/>
        <w:gridCol w:w="4719"/>
      </w:tblGrid>
      <w:tr>
        <w:trPr>
          <w:trHeight w:val="1810" w:hRule="atLeast"/>
        </w:trPr>
        <w:tc>
          <w:tcPr>
            <w:shd w:val="clear" w:fill="B8CCE4"/>
            <w:tcW w:w="1544" w:type="dxa"/>
            <w:vAlign w:val="top"/>
          </w:tcPr>
          <w:p>
            <w:pPr>
              <w:rPr>
                <w:rFonts w:ascii="Arial"/>
                <w:sz w:val="21"/>
              </w:rPr>
            </w:pPr>
            <w:r/>
          </w:p>
        </w:tc>
        <w:tc>
          <w:tcPr>
            <w:shd w:val="clear" w:fill="B8CCE4"/>
            <w:tcW w:w="1555" w:type="dxa"/>
            <w:vAlign w:val="top"/>
          </w:tcPr>
          <w:p>
            <w:pPr>
              <w:rPr>
                <w:rFonts w:ascii="Arial"/>
                <w:sz w:val="21"/>
              </w:rPr>
            </w:pPr>
            <w:r/>
          </w:p>
        </w:tc>
        <w:tc>
          <w:tcPr>
            <w:shd w:val="clear" w:fill="B8CCE4"/>
            <w:tcW w:w="1496" w:type="dxa"/>
            <w:vAlign w:val="top"/>
          </w:tcPr>
          <w:p>
            <w:pPr>
              <w:rPr>
                <w:rFonts w:ascii="Arial"/>
                <w:sz w:val="21"/>
              </w:rPr>
            </w:pPr>
            <w:r/>
          </w:p>
        </w:tc>
        <w:tc>
          <w:tcPr>
            <w:shd w:val="clear" w:fill="B8CCE4"/>
            <w:tcW w:w="4719" w:type="dxa"/>
            <w:vAlign w:val="top"/>
          </w:tcPr>
          <w:p>
            <w:pPr>
              <w:pStyle w:val="TableText"/>
              <w:ind w:left="107" w:right="200"/>
              <w:spacing w:before="51" w:line="243" w:lineRule="auto"/>
              <w:jc w:val="both"/>
              <w:rPr/>
            </w:pPr>
            <w:r>
              <w:rPr>
                <w:spacing w:val="9"/>
              </w:rPr>
              <w:t>但刘某伟、公司董事会分别在《独立董事候选人</w:t>
            </w:r>
            <w:r>
              <w:rPr>
                <w:spacing w:val="16"/>
              </w:rPr>
              <w:t xml:space="preserve"> </w:t>
            </w:r>
            <w:r>
              <w:rPr>
                <w:spacing w:val="9"/>
              </w:rPr>
              <w:t>声明》和《独立董事提名人声明》中对于“不存</w:t>
            </w:r>
            <w:r>
              <w:rPr>
                <w:spacing w:val="16"/>
              </w:rPr>
              <w:t xml:space="preserve"> </w:t>
            </w:r>
            <w:r>
              <w:rPr>
                <w:spacing w:val="9"/>
              </w:rPr>
              <w:t>在</w:t>
            </w:r>
            <w:r>
              <w:rPr>
                <w:b/>
                <w:bCs/>
                <w:spacing w:val="9"/>
              </w:rPr>
              <w:t>同时在超过五家以上的公司担任董事、监事或</w:t>
            </w:r>
            <w:r>
              <w:rPr>
                <w:b/>
                <w:bCs/>
                <w:spacing w:val="16"/>
              </w:rPr>
              <w:t xml:space="preserve"> </w:t>
            </w:r>
            <w:r>
              <w:rPr>
                <w:b/>
                <w:bCs/>
                <w:spacing w:val="8"/>
              </w:rPr>
              <w:t>高级管理人员</w:t>
            </w:r>
            <w:r>
              <w:rPr>
                <w:spacing w:val="8"/>
              </w:rPr>
              <w:t>”一栏均勾选“是”</w:t>
            </w:r>
            <w:r>
              <w:rPr>
                <w:spacing w:val="-22"/>
              </w:rPr>
              <w:t xml:space="preserve"> </w:t>
            </w:r>
            <w:r>
              <w:rPr>
                <w:spacing w:val="8"/>
              </w:rPr>
              <w:t>，与事实不符</w:t>
            </w:r>
          </w:p>
          <w:p>
            <w:pPr>
              <w:pStyle w:val="TableText"/>
              <w:ind w:left="118"/>
              <w:spacing w:before="238" w:line="121" w:lineRule="exact"/>
              <w:rPr/>
            </w:pPr>
            <w:r>
              <w:rPr>
                <w:position w:val="3"/>
              </w:rPr>
              <w:t>。</w:t>
            </w:r>
          </w:p>
        </w:tc>
      </w:tr>
      <w:tr>
        <w:trPr>
          <w:trHeight w:val="611" w:hRule="atLeast"/>
        </w:trPr>
        <w:tc>
          <w:tcPr>
            <w:tcW w:w="1544" w:type="dxa"/>
            <w:vAlign w:val="top"/>
          </w:tcPr>
          <w:p>
            <w:pPr>
              <w:pStyle w:val="TableText"/>
              <w:ind w:left="413"/>
              <w:spacing w:before="223" w:line="179" w:lineRule="auto"/>
              <w:rPr/>
            </w:pPr>
            <w:r>
              <w:rPr>
                <w:spacing w:val="3"/>
              </w:rPr>
              <w:t>301279</w:t>
            </w:r>
          </w:p>
        </w:tc>
        <w:tc>
          <w:tcPr>
            <w:tcW w:w="1555" w:type="dxa"/>
            <w:vAlign w:val="top"/>
          </w:tcPr>
          <w:p>
            <w:pPr>
              <w:pStyle w:val="TableText"/>
              <w:ind w:left="354"/>
              <w:spacing w:before="210" w:line="189" w:lineRule="auto"/>
              <w:rPr/>
            </w:pPr>
            <w:r>
              <w:rPr>
                <w:spacing w:val="9"/>
              </w:rPr>
              <w:t>金道科技</w:t>
            </w:r>
          </w:p>
        </w:tc>
        <w:tc>
          <w:tcPr>
            <w:tcW w:w="1496" w:type="dxa"/>
            <w:vAlign w:val="top"/>
          </w:tcPr>
          <w:p>
            <w:pPr>
              <w:pStyle w:val="TableText"/>
              <w:ind w:left="434"/>
              <w:spacing w:before="209" w:line="189" w:lineRule="auto"/>
              <w:rPr/>
            </w:pPr>
            <w:r>
              <w:rPr>
                <w:spacing w:val="8"/>
              </w:rPr>
              <w:t>监管函</w:t>
            </w:r>
          </w:p>
        </w:tc>
        <w:tc>
          <w:tcPr>
            <w:tcW w:w="4719" w:type="dxa"/>
            <w:vAlign w:val="top"/>
          </w:tcPr>
          <w:p>
            <w:pPr>
              <w:pStyle w:val="TableText"/>
              <w:ind w:left="117"/>
              <w:spacing w:before="208" w:line="190" w:lineRule="auto"/>
              <w:rPr/>
            </w:pPr>
            <w:r>
              <w:rPr>
                <w:spacing w:val="7"/>
              </w:rPr>
              <w:t>2023年半年度和前三季度存在</w:t>
            </w:r>
            <w:r>
              <w:rPr>
                <w:b/>
                <w:bCs/>
                <w:spacing w:val="7"/>
              </w:rPr>
              <w:t>会计差错</w:t>
            </w:r>
            <w:r>
              <w:rPr>
                <w:spacing w:val="7"/>
              </w:rPr>
              <w:t>。</w:t>
            </w:r>
          </w:p>
        </w:tc>
      </w:tr>
      <w:tr>
        <w:trPr>
          <w:trHeight w:val="726" w:hRule="atLeast"/>
        </w:trPr>
        <w:tc>
          <w:tcPr>
            <w:shd w:val="clear" w:fill="B8CCE4"/>
            <w:tcW w:w="1544" w:type="dxa"/>
            <w:vAlign w:val="top"/>
          </w:tcPr>
          <w:p>
            <w:pPr>
              <w:pStyle w:val="TableText"/>
              <w:ind w:left="408"/>
              <w:spacing w:before="279" w:line="179" w:lineRule="auto"/>
              <w:rPr/>
            </w:pPr>
            <w:r>
              <w:rPr>
                <w:spacing w:val="3"/>
              </w:rPr>
              <w:t>002541</w:t>
            </w:r>
          </w:p>
        </w:tc>
        <w:tc>
          <w:tcPr>
            <w:shd w:val="clear" w:fill="B8CCE4"/>
            <w:tcW w:w="1555" w:type="dxa"/>
            <w:vAlign w:val="top"/>
          </w:tcPr>
          <w:p>
            <w:pPr>
              <w:pStyle w:val="TableText"/>
              <w:ind w:left="356"/>
              <w:spacing w:before="266" w:line="189" w:lineRule="auto"/>
              <w:rPr/>
            </w:pPr>
            <w:r>
              <w:rPr>
                <w:spacing w:val="8"/>
              </w:rPr>
              <w:t>鸿路钢构</w:t>
            </w:r>
          </w:p>
        </w:tc>
        <w:tc>
          <w:tcPr>
            <w:shd w:val="clear" w:fill="B8CCE4"/>
            <w:tcW w:w="1496" w:type="dxa"/>
            <w:vAlign w:val="top"/>
          </w:tcPr>
          <w:p>
            <w:pPr>
              <w:pStyle w:val="TableText"/>
              <w:ind w:left="434"/>
              <w:spacing w:before="265" w:line="189" w:lineRule="auto"/>
              <w:rPr/>
            </w:pPr>
            <w:r>
              <w:rPr>
                <w:spacing w:val="8"/>
              </w:rPr>
              <w:t>监管函</w:t>
            </w:r>
          </w:p>
        </w:tc>
        <w:tc>
          <w:tcPr>
            <w:shd w:val="clear" w:fill="B8CCE4"/>
            <w:tcW w:w="4719" w:type="dxa"/>
            <w:vAlign w:val="top"/>
          </w:tcPr>
          <w:p>
            <w:pPr>
              <w:pStyle w:val="TableText"/>
              <w:ind w:left="136" w:right="286" w:hanging="29"/>
              <w:spacing w:before="86" w:line="220" w:lineRule="auto"/>
              <w:rPr/>
            </w:pPr>
            <w:r>
              <w:rPr>
                <w:spacing w:val="9"/>
              </w:rPr>
              <w:t>公司未在</w:t>
            </w:r>
            <w:r>
              <w:rPr>
                <w:b/>
                <w:bCs/>
                <w:spacing w:val="9"/>
              </w:rPr>
              <w:t>预计触发转股价格修正条件</w:t>
            </w:r>
            <w:r>
              <w:rPr>
                <w:spacing w:val="9"/>
              </w:rPr>
              <w:t>的5个交易</w:t>
            </w:r>
            <w:r>
              <w:rPr>
                <w:spacing w:val="12"/>
              </w:rPr>
              <w:t xml:space="preserve"> </w:t>
            </w:r>
            <w:r>
              <w:rPr>
                <w:spacing w:val="6"/>
              </w:rPr>
              <w:t>日前及时披露提示性公告。</w:t>
            </w:r>
          </w:p>
        </w:tc>
      </w:tr>
      <w:tr>
        <w:trPr>
          <w:trHeight w:val="1444" w:hRule="atLeast"/>
        </w:trPr>
        <w:tc>
          <w:tcPr>
            <w:tcW w:w="1544" w:type="dxa"/>
            <w:vAlign w:val="top"/>
          </w:tcPr>
          <w:p>
            <w:pPr>
              <w:spacing w:line="274" w:lineRule="auto"/>
              <w:rPr>
                <w:rFonts w:ascii="Arial"/>
                <w:sz w:val="21"/>
              </w:rPr>
            </w:pPr>
            <w:r/>
          </w:p>
          <w:p>
            <w:pPr>
              <w:spacing w:line="274" w:lineRule="auto"/>
              <w:rPr>
                <w:rFonts w:ascii="Arial"/>
                <w:sz w:val="21"/>
              </w:rPr>
            </w:pPr>
            <w:r/>
          </w:p>
          <w:p>
            <w:pPr>
              <w:pStyle w:val="TableText"/>
              <w:ind w:left="408"/>
              <w:spacing w:before="86" w:line="179" w:lineRule="auto"/>
              <w:rPr/>
            </w:pPr>
            <w:r>
              <w:rPr>
                <w:spacing w:val="3"/>
              </w:rPr>
              <w:t>002111</w:t>
            </w:r>
          </w:p>
        </w:tc>
        <w:tc>
          <w:tcPr>
            <w:tcW w:w="1555" w:type="dxa"/>
            <w:vAlign w:val="top"/>
          </w:tcPr>
          <w:p>
            <w:pPr>
              <w:spacing w:line="267" w:lineRule="auto"/>
              <w:rPr>
                <w:rFonts w:ascii="Arial"/>
                <w:sz w:val="21"/>
              </w:rPr>
            </w:pPr>
            <w:r/>
          </w:p>
          <w:p>
            <w:pPr>
              <w:spacing w:line="268" w:lineRule="auto"/>
              <w:rPr>
                <w:rFonts w:ascii="Arial"/>
                <w:sz w:val="21"/>
              </w:rPr>
            </w:pPr>
            <w:r/>
          </w:p>
          <w:p>
            <w:pPr>
              <w:pStyle w:val="TableText"/>
              <w:ind w:left="355"/>
              <w:spacing w:before="86" w:line="189" w:lineRule="auto"/>
              <w:rPr/>
            </w:pPr>
            <w:r>
              <w:rPr>
                <w:spacing w:val="8"/>
              </w:rPr>
              <w:t>威海广泰</w:t>
            </w:r>
          </w:p>
        </w:tc>
        <w:tc>
          <w:tcPr>
            <w:tcW w:w="1496" w:type="dxa"/>
            <w:vAlign w:val="top"/>
          </w:tcPr>
          <w:p>
            <w:pPr>
              <w:spacing w:line="267" w:lineRule="auto"/>
              <w:rPr>
                <w:rFonts w:ascii="Arial"/>
                <w:sz w:val="21"/>
              </w:rPr>
            </w:pPr>
            <w:r/>
          </w:p>
          <w:p>
            <w:pPr>
              <w:spacing w:line="268" w:lineRule="auto"/>
              <w:rPr>
                <w:rFonts w:ascii="Arial"/>
                <w:sz w:val="21"/>
              </w:rPr>
            </w:pPr>
            <w:r/>
          </w:p>
          <w:p>
            <w:pPr>
              <w:pStyle w:val="TableText"/>
              <w:ind w:left="434"/>
              <w:spacing w:before="86" w:line="189" w:lineRule="auto"/>
              <w:rPr/>
            </w:pPr>
            <w:r>
              <w:rPr>
                <w:spacing w:val="8"/>
              </w:rPr>
              <w:t>监管函</w:t>
            </w:r>
          </w:p>
        </w:tc>
        <w:tc>
          <w:tcPr>
            <w:tcW w:w="4719" w:type="dxa"/>
            <w:vAlign w:val="top"/>
          </w:tcPr>
          <w:p>
            <w:pPr>
              <w:pStyle w:val="TableText"/>
              <w:ind w:left="108" w:right="200" w:hanging="1"/>
              <w:spacing w:before="86" w:line="231" w:lineRule="auto"/>
              <w:jc w:val="both"/>
              <w:rPr/>
            </w:pPr>
            <w:r>
              <w:rPr>
                <w:spacing w:val="8"/>
              </w:rPr>
              <w:t>公司未在</w:t>
            </w:r>
            <w:r>
              <w:rPr>
                <w:b/>
                <w:bCs/>
                <w:spacing w:val="8"/>
              </w:rPr>
              <w:t>预计触发转股价格修正条件</w:t>
            </w:r>
            <w:r>
              <w:rPr>
                <w:spacing w:val="8"/>
              </w:rPr>
              <w:t>的5个交易  </w:t>
            </w:r>
            <w:r>
              <w:rPr>
                <w:spacing w:val="8"/>
              </w:rPr>
              <w:t>日前披露提示性公告</w:t>
            </w:r>
            <w:r>
              <w:rPr>
                <w:spacing w:val="-24"/>
              </w:rPr>
              <w:t xml:space="preserve"> </w:t>
            </w:r>
            <w:r>
              <w:rPr>
                <w:spacing w:val="8"/>
              </w:rPr>
              <w:t>，亦未在</w:t>
            </w:r>
            <w:r>
              <w:rPr>
                <w:b/>
                <w:bCs/>
                <w:spacing w:val="8"/>
              </w:rPr>
              <w:t>触发转股价格修正</w:t>
            </w:r>
            <w:r>
              <w:rPr>
                <w:b/>
                <w:bCs/>
              </w:rPr>
              <w:t xml:space="preserve"> </w:t>
            </w:r>
            <w:r>
              <w:rPr>
                <w:b/>
                <w:bCs/>
                <w:spacing w:val="9"/>
              </w:rPr>
              <w:t>条件当日</w:t>
            </w:r>
            <w:r>
              <w:rPr>
                <w:spacing w:val="9"/>
              </w:rPr>
              <w:t>召开董事会审议决定是否修正转股价格</w:t>
            </w:r>
          </w:p>
          <w:p>
            <w:pPr>
              <w:pStyle w:val="TableText"/>
              <w:ind w:left="118"/>
              <w:spacing w:before="238" w:line="118" w:lineRule="exact"/>
              <w:rPr/>
            </w:pPr>
            <w:r>
              <w:rPr>
                <w:position w:val="3"/>
              </w:rPr>
              <w:t>。</w:t>
            </w:r>
          </w:p>
        </w:tc>
      </w:tr>
      <w:tr>
        <w:trPr>
          <w:trHeight w:val="1445" w:hRule="atLeast"/>
        </w:trPr>
        <w:tc>
          <w:tcPr>
            <w:shd w:val="clear" w:fill="B8CCE4"/>
            <w:tcW w:w="1544" w:type="dxa"/>
            <w:vAlign w:val="top"/>
          </w:tcPr>
          <w:p>
            <w:pPr>
              <w:spacing w:line="276" w:lineRule="auto"/>
              <w:rPr>
                <w:rFonts w:ascii="Arial"/>
                <w:sz w:val="21"/>
              </w:rPr>
            </w:pPr>
            <w:r/>
          </w:p>
          <w:p>
            <w:pPr>
              <w:spacing w:line="277" w:lineRule="auto"/>
              <w:rPr>
                <w:rFonts w:ascii="Arial"/>
                <w:sz w:val="21"/>
              </w:rPr>
            </w:pPr>
            <w:r/>
          </w:p>
          <w:p>
            <w:pPr>
              <w:pStyle w:val="TableText"/>
              <w:ind w:left="413"/>
              <w:spacing w:before="85" w:line="178" w:lineRule="auto"/>
              <w:rPr/>
            </w:pPr>
            <w:r>
              <w:rPr>
                <w:spacing w:val="3"/>
              </w:rPr>
              <w:t>300297</w:t>
            </w:r>
          </w:p>
        </w:tc>
        <w:tc>
          <w:tcPr>
            <w:shd w:val="clear" w:fill="B8CCE4"/>
            <w:tcW w:w="1555" w:type="dxa"/>
            <w:vAlign w:val="top"/>
          </w:tcPr>
          <w:p>
            <w:pPr>
              <w:spacing w:line="269" w:lineRule="auto"/>
              <w:rPr>
                <w:rFonts w:ascii="Arial"/>
                <w:sz w:val="21"/>
              </w:rPr>
            </w:pPr>
            <w:r/>
          </w:p>
          <w:p>
            <w:pPr>
              <w:spacing w:line="269" w:lineRule="auto"/>
              <w:rPr>
                <w:rFonts w:ascii="Arial"/>
                <w:sz w:val="21"/>
              </w:rPr>
            </w:pPr>
            <w:r/>
          </w:p>
          <w:p>
            <w:pPr>
              <w:pStyle w:val="TableText"/>
              <w:ind w:left="463"/>
              <w:spacing w:before="86" w:line="189" w:lineRule="auto"/>
              <w:rPr/>
            </w:pPr>
            <w:r>
              <w:rPr>
                <w:spacing w:val="7"/>
              </w:rPr>
              <w:t>蓝盾退</w:t>
            </w:r>
          </w:p>
        </w:tc>
        <w:tc>
          <w:tcPr>
            <w:shd w:val="clear" w:fill="B8CCE4"/>
            <w:tcW w:w="1496" w:type="dxa"/>
            <w:vAlign w:val="top"/>
          </w:tcPr>
          <w:p>
            <w:pPr>
              <w:spacing w:line="269" w:lineRule="auto"/>
              <w:rPr>
                <w:rFonts w:ascii="Arial"/>
                <w:sz w:val="21"/>
              </w:rPr>
            </w:pPr>
            <w:r/>
          </w:p>
          <w:p>
            <w:pPr>
              <w:spacing w:line="269" w:lineRule="auto"/>
              <w:rPr>
                <w:rFonts w:ascii="Arial"/>
                <w:sz w:val="21"/>
              </w:rPr>
            </w:pPr>
            <w:r/>
          </w:p>
          <w:p>
            <w:pPr>
              <w:pStyle w:val="TableText"/>
              <w:ind w:left="434"/>
              <w:spacing w:before="86" w:line="189" w:lineRule="auto"/>
              <w:rPr/>
            </w:pPr>
            <w:r>
              <w:rPr>
                <w:spacing w:val="8"/>
              </w:rPr>
              <w:t>监管函</w:t>
            </w:r>
          </w:p>
        </w:tc>
        <w:tc>
          <w:tcPr>
            <w:shd w:val="clear" w:fill="B8CCE4"/>
            <w:tcW w:w="4719" w:type="dxa"/>
            <w:vAlign w:val="top"/>
          </w:tcPr>
          <w:p>
            <w:pPr>
              <w:pStyle w:val="TableText"/>
              <w:ind w:left="107"/>
              <w:spacing w:before="86" w:line="190" w:lineRule="auto"/>
              <w:rPr/>
            </w:pPr>
            <w:r>
              <w:rPr>
                <w:spacing w:val="8"/>
              </w:rPr>
              <w:t>大华会计师事务所出具的蓝盾股份2018年、</w:t>
            </w:r>
          </w:p>
          <w:p>
            <w:pPr>
              <w:pStyle w:val="TableText"/>
              <w:ind w:left="107" w:right="128" w:firstLine="10"/>
              <w:spacing w:before="86" w:line="231" w:lineRule="auto"/>
              <w:rPr/>
            </w:pPr>
            <w:r>
              <w:rPr>
                <w:spacing w:val="8"/>
              </w:rPr>
              <w:t>2019年年度审计报告存在</w:t>
            </w:r>
            <w:r>
              <w:rPr>
                <w:b/>
                <w:bCs/>
                <w:spacing w:val="8"/>
              </w:rPr>
              <w:t>虚假记载</w:t>
            </w:r>
            <w:r>
              <w:rPr>
                <w:spacing w:val="8"/>
              </w:rPr>
              <w:t>；在蓝盾股份</w:t>
            </w:r>
            <w:r>
              <w:rPr>
                <w:spacing w:val="14"/>
              </w:rPr>
              <w:t xml:space="preserve"> </w:t>
            </w:r>
            <w:r>
              <w:rPr>
                <w:spacing w:val="6"/>
              </w:rPr>
              <w:t>2018年、</w:t>
            </w:r>
            <w:r>
              <w:rPr>
                <w:spacing w:val="-36"/>
              </w:rPr>
              <w:t xml:space="preserve"> </w:t>
            </w:r>
            <w:r>
              <w:rPr>
                <w:spacing w:val="6"/>
              </w:rPr>
              <w:t>2019年年度财务报表审计过程中</w:t>
            </w:r>
            <w:r>
              <w:rPr>
                <w:b/>
                <w:bCs/>
                <w:spacing w:val="5"/>
              </w:rPr>
              <w:t>未勤   </w:t>
            </w:r>
            <w:r>
              <w:rPr>
                <w:b/>
                <w:bCs/>
                <w:spacing w:val="6"/>
              </w:rPr>
              <w:t>勉尽责</w:t>
            </w:r>
            <w:r>
              <w:rPr>
                <w:spacing w:val="6"/>
              </w:rPr>
              <w:t>。</w:t>
            </w:r>
          </w:p>
        </w:tc>
      </w:tr>
      <w:tr>
        <w:trPr>
          <w:trHeight w:val="611" w:hRule="atLeast"/>
        </w:trPr>
        <w:tc>
          <w:tcPr>
            <w:tcW w:w="1544" w:type="dxa"/>
            <w:vAlign w:val="top"/>
          </w:tcPr>
          <w:p>
            <w:pPr>
              <w:pStyle w:val="TableText"/>
              <w:ind w:left="408"/>
              <w:spacing w:before="225" w:line="179" w:lineRule="auto"/>
              <w:rPr/>
            </w:pPr>
            <w:r>
              <w:rPr>
                <w:spacing w:val="3"/>
              </w:rPr>
              <w:t>002144</w:t>
            </w:r>
          </w:p>
        </w:tc>
        <w:tc>
          <w:tcPr>
            <w:tcW w:w="1555" w:type="dxa"/>
            <w:vAlign w:val="top"/>
          </w:tcPr>
          <w:p>
            <w:pPr>
              <w:pStyle w:val="TableText"/>
              <w:ind w:left="355"/>
              <w:spacing w:before="210" w:line="190" w:lineRule="auto"/>
              <w:rPr/>
            </w:pPr>
            <w:r>
              <w:rPr>
                <w:spacing w:val="8"/>
              </w:rPr>
              <w:t>宏达高科</w:t>
            </w:r>
          </w:p>
        </w:tc>
        <w:tc>
          <w:tcPr>
            <w:tcW w:w="1496" w:type="dxa"/>
            <w:vAlign w:val="top"/>
          </w:tcPr>
          <w:p>
            <w:pPr>
              <w:pStyle w:val="TableText"/>
              <w:ind w:left="434"/>
              <w:spacing w:before="211" w:line="189" w:lineRule="auto"/>
              <w:rPr/>
            </w:pPr>
            <w:r>
              <w:rPr>
                <w:spacing w:val="8"/>
              </w:rPr>
              <w:t>监管函</w:t>
            </w:r>
          </w:p>
        </w:tc>
        <w:tc>
          <w:tcPr>
            <w:tcW w:w="4719" w:type="dxa"/>
            <w:vAlign w:val="top"/>
          </w:tcPr>
          <w:p>
            <w:pPr>
              <w:pStyle w:val="TableText"/>
              <w:ind w:left="109"/>
              <w:spacing w:before="212" w:line="189" w:lineRule="auto"/>
              <w:rPr/>
            </w:pPr>
            <w:r>
              <w:rPr>
                <w:spacing w:val="8"/>
              </w:rPr>
              <w:t>副总经理配偶</w:t>
            </w:r>
            <w:r>
              <w:rPr>
                <w:b/>
                <w:bCs/>
                <w:spacing w:val="8"/>
              </w:rPr>
              <w:t>短线交易。</w:t>
            </w:r>
          </w:p>
        </w:tc>
      </w:tr>
      <w:tr>
        <w:trPr>
          <w:trHeight w:val="366" w:hRule="atLeast"/>
        </w:trPr>
        <w:tc>
          <w:tcPr>
            <w:shd w:val="clear" w:fill="B8CCE4"/>
            <w:tcW w:w="1544" w:type="dxa"/>
            <w:vAlign w:val="top"/>
          </w:tcPr>
          <w:p>
            <w:pPr>
              <w:pStyle w:val="TableText"/>
              <w:ind w:left="408"/>
              <w:spacing w:before="104" w:line="176" w:lineRule="auto"/>
              <w:rPr/>
            </w:pPr>
            <w:r>
              <w:rPr>
                <w:spacing w:val="3"/>
              </w:rPr>
              <w:t>000710</w:t>
            </w:r>
          </w:p>
        </w:tc>
        <w:tc>
          <w:tcPr>
            <w:shd w:val="clear" w:fill="B8CCE4"/>
            <w:tcW w:w="1555" w:type="dxa"/>
            <w:vAlign w:val="top"/>
          </w:tcPr>
          <w:p>
            <w:pPr>
              <w:pStyle w:val="TableText"/>
              <w:ind w:left="359"/>
              <w:spacing w:before="91" w:line="185" w:lineRule="auto"/>
              <w:rPr/>
            </w:pPr>
            <w:r>
              <w:rPr>
                <w:spacing w:val="7"/>
              </w:rPr>
              <w:t>贝瑞基因</w:t>
            </w:r>
          </w:p>
        </w:tc>
        <w:tc>
          <w:tcPr>
            <w:shd w:val="clear" w:fill="B8CCE4"/>
            <w:tcW w:w="1496" w:type="dxa"/>
            <w:vAlign w:val="top"/>
          </w:tcPr>
          <w:p>
            <w:pPr>
              <w:pStyle w:val="TableText"/>
              <w:ind w:left="434"/>
              <w:spacing w:before="90" w:line="186" w:lineRule="auto"/>
              <w:rPr/>
            </w:pPr>
            <w:r>
              <w:rPr>
                <w:spacing w:val="8"/>
              </w:rPr>
              <w:t>监管函</w:t>
            </w:r>
          </w:p>
        </w:tc>
        <w:tc>
          <w:tcPr>
            <w:shd w:val="clear" w:fill="B8CCE4"/>
            <w:tcW w:w="4719" w:type="dxa"/>
            <w:vAlign w:val="top"/>
          </w:tcPr>
          <w:p>
            <w:pPr>
              <w:pStyle w:val="TableText"/>
              <w:ind w:left="120"/>
              <w:spacing w:before="90" w:line="186" w:lineRule="auto"/>
              <w:rPr/>
            </w:pPr>
            <w:r>
              <w:rPr>
                <w:b/>
                <w:bCs/>
                <w:spacing w:val="8"/>
              </w:rPr>
              <w:t>内控</w:t>
            </w:r>
            <w:r>
              <w:rPr>
                <w:spacing w:val="8"/>
              </w:rPr>
              <w:t>执行不到位；</w:t>
            </w:r>
            <w:r>
              <w:rPr>
                <w:b/>
                <w:bCs/>
                <w:spacing w:val="8"/>
              </w:rPr>
              <w:t>会计核算</w:t>
            </w:r>
            <w:r>
              <w:rPr>
                <w:spacing w:val="8"/>
              </w:rPr>
              <w:t>不规范。</w:t>
            </w:r>
          </w:p>
        </w:tc>
      </w:tr>
      <w:tr>
        <w:trPr>
          <w:trHeight w:val="2885" w:hRule="atLeast"/>
        </w:trPr>
        <w:tc>
          <w:tcPr>
            <w:tcW w:w="1544" w:type="dxa"/>
            <w:vAlign w:val="top"/>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408"/>
              <w:spacing w:before="86" w:line="179" w:lineRule="auto"/>
              <w:rPr/>
            </w:pPr>
            <w:r>
              <w:rPr>
                <w:spacing w:val="3"/>
              </w:rPr>
              <w:t>002193</w:t>
            </w:r>
          </w:p>
        </w:tc>
        <w:tc>
          <w:tcPr>
            <w:tcW w:w="1555" w:type="dxa"/>
            <w:vAlign w:val="top"/>
          </w:tcPr>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355"/>
              <w:spacing w:before="85" w:line="190" w:lineRule="auto"/>
              <w:rPr/>
            </w:pPr>
            <w:r>
              <w:rPr>
                <w:spacing w:val="8"/>
              </w:rPr>
              <w:t>如意集团</w:t>
            </w:r>
          </w:p>
        </w:tc>
        <w:tc>
          <w:tcPr>
            <w:tcW w:w="1496" w:type="dxa"/>
            <w:vAlign w:val="top"/>
          </w:tcPr>
          <w:p>
            <w:pPr>
              <w:pStyle w:val="TableText"/>
              <w:ind w:left="117" w:right="117"/>
              <w:spacing w:before="87" w:line="243" w:lineRule="auto"/>
              <w:rPr/>
            </w:pPr>
            <w:r>
              <w:rPr>
                <w:spacing w:val="9"/>
              </w:rPr>
              <w:t>公开认定一定</w:t>
            </w:r>
            <w:r>
              <w:rPr/>
              <w:t xml:space="preserve"> </w:t>
            </w:r>
            <w:r>
              <w:rPr>
                <w:spacing w:val="9"/>
              </w:rPr>
              <w:t>期限内不适合</w:t>
            </w:r>
            <w:r>
              <w:rPr/>
              <w:t xml:space="preserve"> </w:t>
            </w:r>
            <w:r>
              <w:rPr>
                <w:spacing w:val="9"/>
              </w:rPr>
              <w:t>担任上市公司</w:t>
            </w:r>
            <w:r>
              <w:rPr/>
              <w:t xml:space="preserve"> </w:t>
            </w:r>
            <w:r>
              <w:rPr>
                <w:spacing w:val="7"/>
              </w:rPr>
              <w:t>董事、监事、</w:t>
            </w:r>
            <w:r>
              <w:rPr>
                <w:spacing w:val="3"/>
              </w:rPr>
              <w:t xml:space="preserve"> </w:t>
            </w:r>
            <w:r>
              <w:rPr>
                <w:spacing w:val="9"/>
              </w:rPr>
              <w:t>高级管理人员</w:t>
            </w:r>
            <w:r>
              <w:rPr/>
              <w:t xml:space="preserve"> </w:t>
            </w:r>
            <w:r>
              <w:rPr>
                <w:spacing w:val="9"/>
              </w:rPr>
              <w:t>或者境外发行</w:t>
            </w:r>
            <w:r>
              <w:rPr/>
              <w:t xml:space="preserve"> </w:t>
            </w:r>
            <w:r>
              <w:rPr>
                <w:spacing w:val="9"/>
              </w:rPr>
              <w:t>人信息披露境</w:t>
            </w:r>
          </w:p>
          <w:p>
            <w:pPr>
              <w:pStyle w:val="TableText"/>
              <w:ind w:left="450"/>
              <w:spacing w:before="89" w:line="186" w:lineRule="auto"/>
              <w:rPr/>
            </w:pPr>
            <w:r>
              <w:rPr>
                <w:spacing w:val="2"/>
              </w:rPr>
              <w:t>内代表</w:t>
            </w:r>
          </w:p>
        </w:tc>
        <w:tc>
          <w:tcPr>
            <w:tcW w:w="4719" w:type="dxa"/>
            <w:vAlign w:val="top"/>
          </w:tcPr>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107" w:right="200"/>
              <w:spacing w:before="85" w:line="221" w:lineRule="auto"/>
              <w:rPr/>
            </w:pPr>
            <w:r>
              <w:rPr>
                <w:spacing w:val="9"/>
              </w:rPr>
              <w:t>控股股东</w:t>
            </w:r>
            <w:r>
              <w:rPr>
                <w:b/>
                <w:bCs/>
                <w:spacing w:val="9"/>
              </w:rPr>
              <w:t>非经营性资金占用</w:t>
            </w:r>
            <w:r>
              <w:rPr>
                <w:spacing w:val="9"/>
              </w:rPr>
              <w:t>；未审议和披露</w:t>
            </w:r>
            <w:r>
              <w:rPr>
                <w:b/>
                <w:bCs/>
                <w:spacing w:val="9"/>
              </w:rPr>
              <w:t>关联</w:t>
            </w:r>
            <w:r>
              <w:rPr>
                <w:b/>
                <w:bCs/>
                <w:spacing w:val="16"/>
              </w:rPr>
              <w:t xml:space="preserve"> </w:t>
            </w:r>
            <w:r>
              <w:rPr>
                <w:b/>
                <w:bCs/>
                <w:spacing w:val="6"/>
              </w:rPr>
              <w:t>交易</w:t>
            </w:r>
            <w:r>
              <w:rPr>
                <w:spacing w:val="6"/>
              </w:rPr>
              <w:t>事项。</w:t>
            </w:r>
          </w:p>
        </w:tc>
      </w:tr>
      <w:tr>
        <w:trPr>
          <w:trHeight w:val="725" w:hRule="atLeast"/>
        </w:trPr>
        <w:tc>
          <w:tcPr>
            <w:shd w:val="clear" w:fill="B8CCE4"/>
            <w:tcW w:w="1544" w:type="dxa"/>
            <w:vAlign w:val="top"/>
          </w:tcPr>
          <w:p>
            <w:pPr>
              <w:pStyle w:val="TableText"/>
              <w:ind w:left="408"/>
              <w:spacing w:before="281" w:line="179" w:lineRule="auto"/>
              <w:rPr/>
            </w:pPr>
            <w:r>
              <w:rPr>
                <w:spacing w:val="3"/>
              </w:rPr>
              <w:t>002193</w:t>
            </w:r>
          </w:p>
        </w:tc>
        <w:tc>
          <w:tcPr>
            <w:shd w:val="clear" w:fill="B8CCE4"/>
            <w:tcW w:w="1555" w:type="dxa"/>
            <w:vAlign w:val="top"/>
          </w:tcPr>
          <w:p>
            <w:pPr>
              <w:pStyle w:val="TableText"/>
              <w:ind w:left="355"/>
              <w:spacing w:before="267" w:line="190" w:lineRule="auto"/>
              <w:rPr/>
            </w:pPr>
            <w:r>
              <w:rPr>
                <w:spacing w:val="8"/>
              </w:rPr>
              <w:t>如意集团</w:t>
            </w:r>
          </w:p>
        </w:tc>
        <w:tc>
          <w:tcPr>
            <w:shd w:val="clear" w:fill="B8CCE4"/>
            <w:tcW w:w="1496" w:type="dxa"/>
            <w:vAlign w:val="top"/>
          </w:tcPr>
          <w:p>
            <w:pPr>
              <w:pStyle w:val="TableText"/>
              <w:ind w:left="326"/>
              <w:spacing w:before="270" w:line="188" w:lineRule="auto"/>
              <w:rPr/>
            </w:pPr>
            <w:r>
              <w:rPr>
                <w:spacing w:val="8"/>
              </w:rPr>
              <w:t>通报批评</w:t>
            </w:r>
          </w:p>
        </w:tc>
        <w:tc>
          <w:tcPr>
            <w:shd w:val="clear" w:fill="B8CCE4"/>
            <w:tcW w:w="4719" w:type="dxa"/>
            <w:vAlign w:val="top"/>
          </w:tcPr>
          <w:p>
            <w:pPr>
              <w:pStyle w:val="TableText"/>
              <w:ind w:left="107" w:right="200"/>
              <w:spacing w:before="88" w:line="219" w:lineRule="auto"/>
              <w:rPr/>
            </w:pPr>
            <w:r>
              <w:rPr>
                <w:spacing w:val="9"/>
              </w:rPr>
              <w:t>控股股东</w:t>
            </w:r>
            <w:r>
              <w:rPr>
                <w:b/>
                <w:bCs/>
                <w:spacing w:val="9"/>
              </w:rPr>
              <w:t>非经营性资金占用</w:t>
            </w:r>
            <w:r>
              <w:rPr>
                <w:spacing w:val="9"/>
              </w:rPr>
              <w:t>；未审议和披露</w:t>
            </w:r>
            <w:r>
              <w:rPr>
                <w:b/>
                <w:bCs/>
                <w:spacing w:val="9"/>
              </w:rPr>
              <w:t>关联</w:t>
            </w:r>
            <w:r>
              <w:rPr>
                <w:b/>
                <w:bCs/>
                <w:spacing w:val="16"/>
              </w:rPr>
              <w:t xml:space="preserve"> </w:t>
            </w:r>
            <w:r>
              <w:rPr>
                <w:b/>
                <w:bCs/>
                <w:spacing w:val="6"/>
              </w:rPr>
              <w:t>交易</w:t>
            </w:r>
            <w:r>
              <w:rPr>
                <w:spacing w:val="6"/>
              </w:rPr>
              <w:t>事项。</w:t>
            </w:r>
          </w:p>
        </w:tc>
      </w:tr>
      <w:tr>
        <w:trPr>
          <w:trHeight w:val="729" w:hRule="atLeast"/>
        </w:trPr>
        <w:tc>
          <w:tcPr>
            <w:tcW w:w="1544" w:type="dxa"/>
            <w:vAlign w:val="top"/>
          </w:tcPr>
          <w:p>
            <w:pPr>
              <w:pStyle w:val="TableText"/>
              <w:ind w:left="408"/>
              <w:spacing w:before="283" w:line="179" w:lineRule="auto"/>
              <w:rPr/>
            </w:pPr>
            <w:r>
              <w:rPr>
                <w:spacing w:val="3"/>
              </w:rPr>
              <w:t>002193</w:t>
            </w:r>
          </w:p>
        </w:tc>
        <w:tc>
          <w:tcPr>
            <w:tcW w:w="1555" w:type="dxa"/>
            <w:vAlign w:val="top"/>
          </w:tcPr>
          <w:p>
            <w:pPr>
              <w:pStyle w:val="TableText"/>
              <w:ind w:left="355"/>
              <w:spacing w:before="269" w:line="190" w:lineRule="auto"/>
              <w:rPr/>
            </w:pPr>
            <w:r>
              <w:rPr>
                <w:spacing w:val="8"/>
              </w:rPr>
              <w:t>如意集团</w:t>
            </w:r>
          </w:p>
        </w:tc>
        <w:tc>
          <w:tcPr>
            <w:tcW w:w="1496" w:type="dxa"/>
            <w:vAlign w:val="top"/>
          </w:tcPr>
          <w:p>
            <w:pPr>
              <w:pStyle w:val="TableText"/>
              <w:ind w:left="326"/>
              <w:spacing w:before="273" w:line="187" w:lineRule="auto"/>
              <w:rPr/>
            </w:pPr>
            <w:r>
              <w:rPr>
                <w:spacing w:val="8"/>
              </w:rPr>
              <w:t>公开谴责</w:t>
            </w:r>
          </w:p>
        </w:tc>
        <w:tc>
          <w:tcPr>
            <w:tcW w:w="4719" w:type="dxa"/>
            <w:vAlign w:val="top"/>
          </w:tcPr>
          <w:p>
            <w:pPr>
              <w:pStyle w:val="TableText"/>
              <w:ind w:left="107" w:right="200"/>
              <w:spacing w:before="89" w:line="220" w:lineRule="auto"/>
              <w:rPr/>
            </w:pPr>
            <w:r>
              <w:rPr>
                <w:spacing w:val="9"/>
              </w:rPr>
              <w:t>控股股东</w:t>
            </w:r>
            <w:r>
              <w:rPr>
                <w:b/>
                <w:bCs/>
                <w:spacing w:val="9"/>
              </w:rPr>
              <w:t>非经营性资金占用</w:t>
            </w:r>
            <w:r>
              <w:rPr>
                <w:spacing w:val="9"/>
              </w:rPr>
              <w:t>；未审议和披露</w:t>
            </w:r>
            <w:r>
              <w:rPr>
                <w:b/>
                <w:bCs/>
                <w:spacing w:val="9"/>
              </w:rPr>
              <w:t>关联</w:t>
            </w:r>
            <w:r>
              <w:rPr>
                <w:b/>
                <w:bCs/>
                <w:spacing w:val="16"/>
              </w:rPr>
              <w:t xml:space="preserve"> </w:t>
            </w:r>
            <w:r>
              <w:rPr>
                <w:b/>
                <w:bCs/>
                <w:spacing w:val="6"/>
              </w:rPr>
              <w:t>交易</w:t>
            </w:r>
            <w:r>
              <w:rPr>
                <w:spacing w:val="6"/>
              </w:rPr>
              <w:t>事项。</w:t>
            </w:r>
          </w:p>
        </w:tc>
      </w:tr>
    </w:tbl>
    <w:p>
      <w:pPr>
        <w:ind w:left="79"/>
        <w:spacing w:before="313"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8"/>
        </w:rPr>
        <w:t>（ 2</w:t>
      </w:r>
      <w:r>
        <w:rPr>
          <w:rFonts w:ascii="Microsoft YaHei" w:hAnsi="Microsoft YaHei" w:eastAsia="Microsoft YaHei" w:cs="Microsoft YaHei"/>
          <w:sz w:val="24"/>
          <w:szCs w:val="24"/>
          <w:b/>
          <w:bCs/>
          <w:spacing w:val="21"/>
        </w:rPr>
        <w:t xml:space="preserve"> </w:t>
      </w:r>
      <w:r>
        <w:rPr>
          <w:rFonts w:ascii="Microsoft YaHei" w:hAnsi="Microsoft YaHei" w:eastAsia="Microsoft YaHei" w:cs="Microsoft YaHei"/>
          <w:sz w:val="24"/>
          <w:szCs w:val="24"/>
          <w:b/>
          <w:bCs/>
          <w:spacing w:val="-18"/>
        </w:rPr>
        <w:t>）函件统计</w:t>
      </w:r>
    </w:p>
    <w:tbl>
      <w:tblPr>
        <w:tblStyle w:val="TableNormal"/>
        <w:tblW w:w="9318" w:type="dxa"/>
        <w:tblInd w:w="287"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524"/>
        <w:gridCol w:w="1627"/>
        <w:gridCol w:w="6167"/>
      </w:tblGrid>
      <w:tr>
        <w:trPr>
          <w:trHeight w:val="607" w:hRule="atLeast"/>
        </w:trPr>
        <w:tc>
          <w:tcPr>
            <w:shd w:val="clear" w:fill="4BACC6"/>
            <w:tcW w:w="1524" w:type="dxa"/>
            <w:vAlign w:val="top"/>
            <w:tcBorders>
              <w:left w:val="nil"/>
              <w:top w:val="nil"/>
              <w:right w:val="single" w:color="92CDDC" w:sz="2" w:space="0"/>
            </w:tcBorders>
          </w:tcPr>
          <w:p>
            <w:pPr>
              <w:pStyle w:val="TableText"/>
              <w:ind w:left="326"/>
              <w:spacing w:before="89" w:line="183" w:lineRule="auto"/>
              <w:rPr>
                <w:sz w:val="22"/>
                <w:szCs w:val="22"/>
              </w:rPr>
            </w:pPr>
            <w:r>
              <w:rPr>
                <w:sz w:val="22"/>
                <w:szCs w:val="22"/>
                <w:b/>
                <w:bCs/>
                <w:color w:val="FFFFFF"/>
                <w:spacing w:val="-1"/>
              </w:rPr>
              <w:t>公司代码</w:t>
            </w:r>
          </w:p>
        </w:tc>
        <w:tc>
          <w:tcPr>
            <w:shd w:val="clear" w:fill="4BACC6"/>
            <w:tcW w:w="1627" w:type="dxa"/>
            <w:vAlign w:val="top"/>
            <w:tcBorders>
              <w:top w:val="nil"/>
              <w:left w:val="single" w:color="92CDDC" w:sz="2" w:space="0"/>
              <w:bottom w:val="single" w:color="92CDDC" w:sz="2" w:space="0"/>
              <w:right w:val="single" w:color="92CDDC" w:sz="2" w:space="0"/>
            </w:tcBorders>
          </w:tcPr>
          <w:p>
            <w:pPr>
              <w:pStyle w:val="TableText"/>
              <w:ind w:left="374"/>
              <w:spacing w:before="89" w:line="183" w:lineRule="auto"/>
              <w:rPr>
                <w:sz w:val="22"/>
                <w:szCs w:val="22"/>
              </w:rPr>
            </w:pPr>
            <w:r>
              <w:rPr>
                <w:sz w:val="22"/>
                <w:szCs w:val="22"/>
                <w:b/>
                <w:bCs/>
                <w:color w:val="FFFFFF"/>
                <w:spacing w:val="-1"/>
              </w:rPr>
              <w:t>公司简称</w:t>
            </w:r>
          </w:p>
        </w:tc>
        <w:tc>
          <w:tcPr>
            <w:shd w:val="clear" w:fill="4BACC6"/>
            <w:tcW w:w="6167" w:type="dxa"/>
            <w:vAlign w:val="top"/>
            <w:tcBorders>
              <w:right w:val="nil"/>
              <w:top w:val="nil"/>
              <w:left w:val="single" w:color="92CDDC" w:sz="2" w:space="0"/>
            </w:tcBorders>
          </w:tcPr>
          <w:p>
            <w:pPr>
              <w:pStyle w:val="TableText"/>
              <w:ind w:left="2653"/>
              <w:spacing w:before="87" w:line="184" w:lineRule="auto"/>
              <w:rPr>
                <w:sz w:val="22"/>
                <w:szCs w:val="22"/>
              </w:rPr>
            </w:pPr>
            <w:r>
              <w:rPr>
                <w:sz w:val="22"/>
                <w:szCs w:val="22"/>
                <w:b/>
                <w:bCs/>
                <w:color w:val="FFFFFF"/>
                <w:spacing w:val="-3"/>
              </w:rPr>
              <w:t>问询类型</w:t>
            </w:r>
          </w:p>
        </w:tc>
      </w:tr>
      <w:tr>
        <w:trPr>
          <w:trHeight w:val="463" w:hRule="atLeast"/>
        </w:trPr>
        <w:tc>
          <w:tcPr>
            <w:tcW w:w="1524" w:type="dxa"/>
            <w:vAlign w:val="top"/>
          </w:tcPr>
          <w:p>
            <w:pPr>
              <w:pStyle w:val="TableText"/>
              <w:ind w:left="397"/>
              <w:spacing w:before="150" w:line="179" w:lineRule="auto"/>
              <w:rPr/>
            </w:pPr>
            <w:r>
              <w:rPr>
                <w:spacing w:val="3"/>
              </w:rPr>
              <w:t>002431</w:t>
            </w:r>
          </w:p>
        </w:tc>
        <w:tc>
          <w:tcPr>
            <w:tcW w:w="1627" w:type="dxa"/>
            <w:vAlign w:val="top"/>
          </w:tcPr>
          <w:p>
            <w:pPr>
              <w:pStyle w:val="TableText"/>
              <w:ind w:left="391"/>
              <w:spacing w:before="137" w:line="189" w:lineRule="auto"/>
              <w:rPr/>
            </w:pPr>
            <w:r>
              <w:rPr>
                <w:spacing w:val="8"/>
              </w:rPr>
              <w:t>棕榈股份</w:t>
            </w:r>
          </w:p>
        </w:tc>
        <w:tc>
          <w:tcPr>
            <w:tcW w:w="6167" w:type="dxa"/>
            <w:vAlign w:val="top"/>
          </w:tcPr>
          <w:p>
            <w:pPr>
              <w:pStyle w:val="TableText"/>
              <w:ind w:left="2769"/>
              <w:spacing w:before="137" w:line="189" w:lineRule="auto"/>
              <w:rPr/>
            </w:pPr>
            <w:r>
              <w:rPr>
                <w:spacing w:val="8"/>
              </w:rPr>
              <w:t>关注函</w:t>
            </w:r>
          </w:p>
        </w:tc>
      </w:tr>
      <w:tr>
        <w:trPr>
          <w:trHeight w:val="463" w:hRule="atLeast"/>
        </w:trPr>
        <w:tc>
          <w:tcPr>
            <w:shd w:val="clear" w:fill="C7DAF1"/>
            <w:tcW w:w="1524" w:type="dxa"/>
            <w:vAlign w:val="top"/>
          </w:tcPr>
          <w:p>
            <w:pPr>
              <w:pStyle w:val="TableText"/>
              <w:ind w:left="403"/>
              <w:spacing w:before="154" w:line="178" w:lineRule="auto"/>
              <w:rPr/>
            </w:pPr>
            <w:r>
              <w:rPr>
                <w:spacing w:val="3"/>
              </w:rPr>
              <w:t>300268</w:t>
            </w:r>
          </w:p>
        </w:tc>
        <w:tc>
          <w:tcPr>
            <w:shd w:val="clear" w:fill="C7DAF1"/>
            <w:tcW w:w="1627" w:type="dxa"/>
            <w:vAlign w:val="top"/>
          </w:tcPr>
          <w:p>
            <w:pPr>
              <w:pStyle w:val="TableText"/>
              <w:ind w:left="437"/>
              <w:spacing w:before="139" w:line="189" w:lineRule="auto"/>
              <w:rPr/>
            </w:pPr>
            <w:r>
              <w:rPr>
                <w:spacing w:val="8"/>
              </w:rPr>
              <w:t>*</w:t>
            </w:r>
            <w:r>
              <w:rPr/>
              <w:t>ST</w:t>
            </w:r>
            <w:r>
              <w:rPr>
                <w:spacing w:val="8"/>
              </w:rPr>
              <w:t>佳沃</w:t>
            </w:r>
          </w:p>
        </w:tc>
        <w:tc>
          <w:tcPr>
            <w:shd w:val="clear" w:fill="C7DAF1"/>
            <w:tcW w:w="6167" w:type="dxa"/>
            <w:vAlign w:val="top"/>
          </w:tcPr>
          <w:p>
            <w:pPr>
              <w:pStyle w:val="TableText"/>
              <w:ind w:left="2557"/>
              <w:spacing w:before="139" w:line="189" w:lineRule="auto"/>
              <w:rPr/>
            </w:pPr>
            <w:r>
              <w:rPr>
                <w:spacing w:val="8"/>
              </w:rPr>
              <w:t>年报问询函</w:t>
            </w:r>
          </w:p>
        </w:tc>
      </w:tr>
      <w:tr>
        <w:trPr>
          <w:trHeight w:val="467" w:hRule="atLeast"/>
        </w:trPr>
        <w:tc>
          <w:tcPr>
            <w:tcW w:w="1524" w:type="dxa"/>
            <w:vAlign w:val="top"/>
          </w:tcPr>
          <w:p>
            <w:pPr>
              <w:pStyle w:val="TableText"/>
              <w:ind w:left="403"/>
              <w:spacing w:before="152" w:line="179" w:lineRule="auto"/>
              <w:rPr/>
            </w:pPr>
            <w:r>
              <w:rPr>
                <w:spacing w:val="3"/>
              </w:rPr>
              <w:t>300148</w:t>
            </w:r>
          </w:p>
        </w:tc>
        <w:tc>
          <w:tcPr>
            <w:tcW w:w="1627" w:type="dxa"/>
            <w:vAlign w:val="top"/>
          </w:tcPr>
          <w:p>
            <w:pPr>
              <w:pStyle w:val="TableText"/>
              <w:ind w:left="391"/>
              <w:spacing w:before="138" w:line="190" w:lineRule="auto"/>
              <w:rPr/>
            </w:pPr>
            <w:r>
              <w:rPr>
                <w:spacing w:val="8"/>
              </w:rPr>
              <w:t>天舟文化</w:t>
            </w:r>
          </w:p>
        </w:tc>
        <w:tc>
          <w:tcPr>
            <w:tcW w:w="6167" w:type="dxa"/>
            <w:vAlign w:val="top"/>
          </w:tcPr>
          <w:p>
            <w:pPr>
              <w:pStyle w:val="TableText"/>
              <w:ind w:left="2769"/>
              <w:spacing w:before="139" w:line="189" w:lineRule="auto"/>
              <w:rPr/>
            </w:pPr>
            <w:r>
              <w:rPr>
                <w:spacing w:val="8"/>
              </w:rPr>
              <w:t>关注函</w:t>
            </w:r>
          </w:p>
        </w:tc>
      </w:tr>
    </w:tbl>
    <w:p>
      <w:pPr>
        <w:pStyle w:val="BodyText"/>
        <w:spacing w:line="320" w:lineRule="auto"/>
        <w:rPr/>
      </w:pPr>
      <w:r/>
    </w:p>
    <w:p>
      <w:pPr>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2、市场交易监管动态</w:t>
      </w:r>
    </w:p>
    <w:p>
      <w:pPr>
        <w:pStyle w:val="BodyText"/>
        <w:spacing w:line="253" w:lineRule="auto"/>
        <w:rPr/>
      </w:pPr>
      <w:r/>
    </w:p>
    <w:p>
      <w:pPr>
        <w:ind w:left="79" w:firstLine="436"/>
        <w:spacing w:before="94" w:line="17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2024年3月11日-3月17日，深交所共对61</w:t>
      </w:r>
      <w:r>
        <w:rPr>
          <w:rFonts w:ascii="Microsoft YaHei" w:hAnsi="Microsoft YaHei" w:eastAsia="Microsoft YaHei" w:cs="Microsoft YaHei"/>
          <w:sz w:val="22"/>
          <w:szCs w:val="22"/>
          <w:spacing w:val="-6"/>
        </w:rPr>
        <w:t>起证券异常交易行为采取了自律监管措施，涉及盘中拉抬打   </w:t>
      </w:r>
      <w:r>
        <w:rPr>
          <w:rFonts w:ascii="Microsoft YaHei" w:hAnsi="Microsoft YaHei" w:eastAsia="Microsoft YaHei" w:cs="Microsoft YaHei"/>
          <w:sz w:val="22"/>
          <w:szCs w:val="22"/>
          <w:spacing w:val="-7"/>
        </w:rPr>
        <w:t>压、</w:t>
      </w:r>
      <w:r>
        <w:rPr>
          <w:rFonts w:ascii="Microsoft YaHei" w:hAnsi="Microsoft YaHei" w:eastAsia="Microsoft YaHei" w:cs="Microsoft YaHei"/>
          <w:sz w:val="22"/>
          <w:szCs w:val="22"/>
          <w:spacing w:val="-6"/>
        </w:rPr>
        <w:t>虚假申报等异常交易情形；对“*ST左江”等涨跌异常证券进行重点监控；共对4起上市公司重大事项</w:t>
      </w:r>
      <w:r>
        <w:rPr>
          <w:rFonts w:ascii="Microsoft YaHei" w:hAnsi="Microsoft YaHei" w:eastAsia="Microsoft YaHei" w:cs="Microsoft YaHei"/>
          <w:sz w:val="22"/>
          <w:szCs w:val="22"/>
          <w:spacing w:val="-4"/>
        </w:rPr>
        <w:t>进</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6"/>
        </w:rPr>
        <w:t>行核查，并上报证监会6起涉嫌违法违规案件线索。</w:t>
      </w:r>
    </w:p>
    <w:sectPr>
      <w:pgSz w:w="11910" w:h="16840"/>
      <w:pgMar w:top="400" w:right="473" w:bottom="400" w:left="1253"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jpeg"/><Relationship Id="rId8" Type="http://schemas.openxmlformats.org/officeDocument/2006/relationships/image" Target="media/image7.jpeg"/><Relationship Id="rId7" Type="http://schemas.openxmlformats.org/officeDocument/2006/relationships/image" Target="media/image6.jpeg"/><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media/image3.jpeg"/><Relationship Id="rId3" Type="http://schemas.openxmlformats.org/officeDocument/2006/relationships/image" Target="media/image2.jpeg"/><Relationship Id="rId20" Type="http://schemas.openxmlformats.org/officeDocument/2006/relationships/fontTable" Target="fontTable.xml"/><Relationship Id="rId2" Type="http://schemas.openxmlformats.org/officeDocument/2006/relationships/header" Target="header2.xml"/><Relationship Id="rId19" Type="http://schemas.openxmlformats.org/officeDocument/2006/relationships/styles" Target="styles.xml"/><Relationship Id="rId18" Type="http://schemas.openxmlformats.org/officeDocument/2006/relationships/settings" Target="settings.xml"/><Relationship Id="rId17" Type="http://schemas.openxmlformats.org/officeDocument/2006/relationships/image" Target="media/image15.jpeg"/><Relationship Id="rId16" Type="http://schemas.openxmlformats.org/officeDocument/2006/relationships/image" Target="media/image14.jpeg"/><Relationship Id="rId15" Type="http://schemas.openxmlformats.org/officeDocument/2006/relationships/image" Target="media/image13.jpeg"/><Relationship Id="rId14" Type="http://schemas.openxmlformats.org/officeDocument/2006/relationships/image" Target="media/image12.jpeg"/><Relationship Id="rId13" Type="http://schemas.openxmlformats.org/officeDocument/2006/relationships/footer" Target="footer1.xml"/><Relationship Id="rId12" Type="http://schemas.openxmlformats.org/officeDocument/2006/relationships/image" Target="media/image11.jpeg"/><Relationship Id="rId11" Type="http://schemas.openxmlformats.org/officeDocument/2006/relationships/image" Target="media/image10.jpeg"/><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2024-03-18T10:56:44Z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2024-04-02T17:05:34</vt:filetime>
  </property>
</Properties>
</file>