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2584"/>
        <w:spacing w:before="351" w:line="215" w:lineRule="auto"/>
        <w:outlineLvl w:val="0"/>
        <w:rPr>
          <w:rFonts w:ascii="Microsoft YaHei" w:hAnsi="Microsoft YaHei" w:eastAsia="Microsoft YaHei" w:cs="Microsoft YaHei"/>
          <w:sz w:val="82"/>
          <w:szCs w:val="82"/>
        </w:rPr>
      </w:pPr>
      <w:r>
        <w:rPr>
          <w:rFonts w:ascii="Microsoft YaHei" w:hAnsi="Microsoft YaHei" w:eastAsia="Microsoft YaHei" w:cs="Microsoft YaHei"/>
          <w:sz w:val="82"/>
          <w:szCs w:val="82"/>
          <w:b/>
          <w:bCs/>
          <w:color w:val="FFFFFF"/>
          <w:spacing w:val="19"/>
        </w:rPr>
        <w:t>一周法规速递|监管动态</w:t>
      </w:r>
    </w:p>
    <w:p>
      <w:pPr>
        <w:ind w:left="5554"/>
        <w:spacing w:line="183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3"/>
        </w:rPr>
        <w:t>2024年5月6日-2024年5月12日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4571" w:right="3636" w:hanging="900"/>
        <w:spacing w:before="128" w:line="200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26"/>
        </w:rPr>
        <w:t>深圳价值在线咨询顾问有限公司</w:t>
      </w: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11"/>
        </w:rPr>
        <w:t>2024年5月13日</w:t>
      </w:r>
    </w:p>
    <w:p>
      <w:pPr>
        <w:spacing w:line="200" w:lineRule="auto"/>
        <w:sectPr>
          <w:headerReference w:type="default" r:id="rId1"/>
          <w:pgSz w:w="11910" w:h="16840"/>
          <w:pgMar w:top="400" w:right="0" w:bottom="0" w:left="31" w:header="0" w:footer="0" w:gutter="0"/>
        </w:sectPr>
        <w:rPr>
          <w:rFonts w:ascii="Microsoft YaHei" w:hAnsi="Microsoft YaHei" w:eastAsia="Microsoft YaHei" w:cs="Microsoft YaHei"/>
          <w:sz w:val="30"/>
          <w:szCs w:val="30"/>
        </w:rPr>
      </w:pPr>
    </w:p>
    <w:p>
      <w:pPr>
        <w:ind w:left="2629"/>
        <w:spacing w:before="309" w:line="186" w:lineRule="auto"/>
        <w:rPr>
          <w:rFonts w:ascii="Microsoft YaHei" w:hAnsi="Microsoft YaHei" w:eastAsia="Microsoft YaHei" w:cs="Microsoft YaHei"/>
          <w:sz w:val="42"/>
          <w:szCs w:val="42"/>
        </w:rPr>
      </w:pPr>
      <w:r>
        <w:pict>
          <v:group id="_x0000_s2" style="position:absolute;margin-left:0pt;margin-top:20.04pt;mso-position-vertical-relative:page;mso-position-horizontal-relative:page;width:63.25pt;height:49.25pt;z-index:251658240;" o:allowincell="f" filled="false" stroked="false" coordsize="1265,985" coordorigin="0,0">
            <v:shape id="_x0000_s4" style="position:absolute;left:0;top:0;width:1265;height:985;" fillcolor="#A61C20" filled="true" stroked="false" coordsize="1265,985" coordorigin="0,0" path="m,l1264,0l1264,984l0,984l0,0xe"/>
            <v:shape id="_x0000_s6" style="position:absolute;left:167;top:0;width:876;height:936;" fillcolor="#FFFFFF" filled="true" stroked="false" coordsize="876,936" coordorigin="0,0" path="m439,936m439,936l367,928l300,909l237,878l180,840l127,787l84,729l48,662l21,590l7,513l0,429l7,350l21,271l48,199l84,132l127,74l180,21l213,0l379,0l369,0l307,19l247,52l194,96l148,148l110,208l84,278l64,352l57,429l64,508l84,583l110,652l148,712l194,768l247,808l307,842l369,864l439,868l655,868l640,878l578,909l511,928l439,936xm655,868m655,868l439,868l506,864l571,842l631,808l683,768l729,712l768,652l794,583l813,508l820,429l813,352l794,278l768,208l729,148l683,96l631,52l571,19l506,0l496,0l664,0l698,21l751,74l791,132l828,199l854,271l871,350l876,429l871,513l854,590l828,662l791,729l751,787l698,840l655,868xm439,194m439,194l415,187l396,172l384,148l379,122l384,96l396,74l415,60l439,55l463,60l480,74l492,96l499,122l492,148l480,172l463,187l439,194xm516,374m516,374l465,374l467,374l585,242l623,199l638,194l650,199l655,213l650,228l571,314l530,360l516,374xm446,494m446,494l429,494l410,484l396,468l386,444l386,420l396,398l410,379l429,369l451,367l460,372l463,374l516,374l492,398l444,398l424,403l415,424l417,448l434,463l484,463l475,477l463,487l446,494xm484,463m484,463l434,463l456,456l465,434l463,412l444,398l492,398l490,403l488,404l489,405l492,412l492,417l492,422l492,424l494,424l600,446l633,453l643,458l487,458l484,463xm626,489m626,489l523,468l489,458l643,458l645,463l650,475l643,487l626,489xm439,808m439,808l422,804l407,794l400,777l396,758l400,739l407,722l422,712l439,710l456,712l470,722l480,739l482,758l480,777l470,794l456,804l439,808e"/>
          </v:group>
        </w:pict>
      </w:r>
      <w:r>
        <w:rPr>
          <w:rFonts w:ascii="Microsoft YaHei" w:hAnsi="Microsoft YaHei" w:eastAsia="Microsoft YaHei" w:cs="Microsoft YaHei"/>
          <w:sz w:val="42"/>
          <w:szCs w:val="42"/>
          <w:spacing w:val="20"/>
        </w:rPr>
        <w:t>法规速递</w:t>
      </w:r>
    </w:p>
    <w:p>
      <w:pPr>
        <w:ind w:firstLine="1264"/>
        <w:spacing w:before="47" w:line="53" w:lineRule="exact"/>
        <w:rPr/>
      </w:pPr>
      <w:r>
        <w:rPr>
          <w:position w:val="-1"/>
        </w:rPr>
        <w:pict>
          <v:shape id="_x0000_s8" style="mso-position-vertical-relative:line;mso-position-horizontal-relative:char;width:525.6pt;height:2.65pt;" fillcolor="#A61C20" filled="true" stroked="false" coordsize="10511,53" coordorigin="0,0" path="m,l0,52l10511,52l10511,0l0,0e"/>
        </w:pict>
      </w:r>
    </w:p>
    <w:p>
      <w:pPr>
        <w:pStyle w:val="BodyText"/>
        <w:spacing w:line="275" w:lineRule="auto"/>
        <w:rPr/>
      </w:pPr>
      <w:r/>
    </w:p>
    <w:p>
      <w:pPr>
        <w:ind w:left="953"/>
        <w:spacing w:before="103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1、关于加强上市证券公司监管的规定</w:t>
      </w:r>
    </w:p>
    <w:p>
      <w:pPr>
        <w:pStyle w:val="BodyText"/>
        <w:spacing w:line="268" w:lineRule="auto"/>
        <w:rPr/>
      </w:pPr>
      <w:r/>
    </w:p>
    <w:p>
      <w:pPr>
        <w:ind w:left="931" w:right="185" w:firstLine="439"/>
        <w:spacing w:before="94" w:line="221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上市证券公司具有证券公司与上市公司的双重属性，</w:t>
      </w:r>
      <w:r>
        <w:rPr>
          <w:rFonts w:ascii="Microsoft YaHei" w:hAnsi="Microsoft YaHei" w:eastAsia="Microsoft YaHei" w:cs="Microsoft YaHei"/>
          <w:sz w:val="22"/>
          <w:szCs w:val="2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作为证券公司，</w:t>
      </w:r>
      <w:r>
        <w:rPr>
          <w:rFonts w:ascii="Microsoft YaHei" w:hAnsi="Microsoft YaHei" w:eastAsia="Microsoft YaHei" w:cs="Microsoft YaHei"/>
          <w:sz w:val="22"/>
          <w:szCs w:val="2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要适用证券公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司监管相关法规；</w:t>
      </w:r>
      <w:r>
        <w:rPr>
          <w:rFonts w:ascii="Microsoft YaHei" w:hAnsi="Microsoft YaHei" w:eastAsia="Microsoft YaHei" w:cs="Microsoft YaHei"/>
          <w:sz w:val="22"/>
          <w:szCs w:val="2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作为上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市公司， 要适用上市、发行监管相关法规。为做好相关法律法规的协调和衔接，</w:t>
      </w:r>
      <w:r>
        <w:rPr>
          <w:rFonts w:ascii="Microsoft YaHei" w:hAnsi="Microsoft YaHei" w:eastAsia="Microsoft YaHei" w:cs="Microsoft YaHei"/>
          <w:sz w:val="22"/>
          <w:szCs w:val="22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加强对上市证券公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司的监管，</w:t>
      </w:r>
      <w:r>
        <w:rPr>
          <w:rFonts w:ascii="Microsoft YaHei" w:hAnsi="Microsoft YaHei" w:eastAsia="Microsoft YaHei" w:cs="Microsoft YaHei"/>
          <w:sz w:val="22"/>
          <w:szCs w:val="2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督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 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促上市证券公司端正经营理念， 聚焦主责主业，</w:t>
      </w:r>
      <w:r>
        <w:rPr>
          <w:rFonts w:ascii="Microsoft YaHei" w:hAnsi="Microsoft YaHei" w:eastAsia="Microsoft YaHei" w:cs="Microsoft YaHei"/>
          <w:sz w:val="22"/>
          <w:szCs w:val="2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把功能性放在首要位置，</w:t>
      </w:r>
      <w:r>
        <w:rPr>
          <w:rFonts w:ascii="Microsoft YaHei" w:hAnsi="Microsoft YaHei" w:eastAsia="Microsoft YaHei" w:cs="Microsoft YaHei"/>
          <w:sz w:val="22"/>
          <w:szCs w:val="2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积极发挥金融服务实体经济的功能作用，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突出价值创造、股东回报和投资者保护，</w:t>
      </w:r>
      <w:r>
        <w:rPr>
          <w:rFonts w:ascii="Microsoft YaHei" w:hAnsi="Microsoft YaHei" w:eastAsia="Microsoft YaHei" w:cs="Microsoft YaHei"/>
          <w:sz w:val="22"/>
          <w:szCs w:val="22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落实全面风险管理与全员合规管理要求，</w:t>
      </w:r>
      <w:r>
        <w:rPr>
          <w:rFonts w:ascii="Microsoft YaHei" w:hAnsi="Microsoft YaHei" w:eastAsia="Microsoft YaHei" w:cs="Microsoft YaHei"/>
          <w:sz w:val="22"/>
          <w:szCs w:val="2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提升信息披露有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效性， 在规范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公司治理等方面发挥标杆示范作用。</w:t>
      </w:r>
    </w:p>
    <w:p>
      <w:pPr>
        <w:ind w:left="9784" w:right="323" w:hanging="714"/>
        <w:spacing w:before="269" w:line="371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中国证券监督管理委员会</w:t>
      </w:r>
      <w:r>
        <w:rPr>
          <w:rFonts w:ascii="Microsoft YaHei" w:hAnsi="Microsoft YaHei" w:eastAsia="Microsoft YaHei" w:cs="Microsoft YaHei"/>
          <w:sz w:val="22"/>
          <w:szCs w:val="22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2024年05月10日</w:t>
      </w:r>
    </w:p>
    <w:p>
      <w:pPr>
        <w:pStyle w:val="BodyText"/>
        <w:spacing w:line="344" w:lineRule="auto"/>
        <w:rPr/>
      </w:pPr>
      <w:r/>
    </w:p>
    <w:p>
      <w:pPr>
        <w:ind w:firstLine="5121"/>
        <w:spacing w:line="2112" w:lineRule="exact"/>
        <w:rPr/>
      </w:pPr>
      <w:r>
        <w:rPr>
          <w:position w:val="-42"/>
        </w:rPr>
        <w:drawing>
          <wp:inline distT="0" distB="0" distL="0" distR="0">
            <wp:extent cx="1348739" cy="134112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48739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5" w:lineRule="auto"/>
        <w:rPr/>
      </w:pPr>
      <w:r/>
    </w:p>
    <w:p>
      <w:pPr>
        <w:ind w:left="4393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关于加强上市证券公司监管的规定</w:t>
      </w:r>
    </w:p>
    <w:p>
      <w:pPr>
        <w:spacing w:line="183" w:lineRule="auto"/>
        <w:sectPr>
          <w:headerReference w:type="default" r:id="rId2"/>
          <w:pgSz w:w="11910" w:h="16840"/>
          <w:pgMar w:top="400" w:right="133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12"/>
        <w:spacing w:before="117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2、关于依法合规开展证券交易、防范短线交易违规的提醒</w:t>
      </w:r>
    </w:p>
    <w:p>
      <w:pPr>
        <w:pStyle w:val="BodyText"/>
        <w:spacing w:line="269" w:lineRule="auto"/>
        <w:rPr/>
      </w:pPr>
      <w:r/>
    </w:p>
    <w:p>
      <w:pPr>
        <w:ind w:right="159" w:firstLine="438"/>
        <w:spacing w:before="94" w:line="220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近期， 上市公司董事、监事及高级管理人员的配偶、父母、子女违反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短线交易相关规定的案例时有发生， 引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发市场各方高度关注。</w:t>
      </w:r>
    </w:p>
    <w:p>
      <w:pPr>
        <w:ind w:right="169" w:firstLine="432"/>
        <w:spacing w:before="291" w:line="221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《证券法》第四十四条规定，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短线交易是指上市公司持有5%以上股份的股东、董监高，</w:t>
      </w:r>
      <w:r>
        <w:rPr>
          <w:rFonts w:ascii="Microsoft YaHei" w:hAnsi="Microsoft YaHei" w:eastAsia="Microsoft YaHei" w:cs="Microsoft YaHei"/>
          <w:sz w:val="22"/>
          <w:szCs w:val="22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将其持有的该公司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的股票在买入后六个月内卖出，</w:t>
      </w:r>
      <w:r>
        <w:rPr>
          <w:rFonts w:ascii="Microsoft YaHei" w:hAnsi="Microsoft YaHei" w:eastAsia="Microsoft YaHei" w:cs="Microsoft YaHei"/>
          <w:sz w:val="22"/>
          <w:szCs w:val="2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或者在卖出后六个月内又买入的行为。该条第二款明确， 董监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高、自然人股东持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有的股票，</w:t>
      </w:r>
      <w:r>
        <w:rPr>
          <w:rFonts w:ascii="Microsoft YaHei" w:hAnsi="Microsoft YaHei" w:eastAsia="Microsoft YaHei" w:cs="Microsoft YaHei"/>
          <w:sz w:val="22"/>
          <w:szCs w:val="2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包括其配偶、父母、子女持有的股票。据此， 董监高、持股5%以上自然人股东的配偶、父母、子女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在六个月内买卖股票的行为，</w:t>
      </w:r>
      <w:r>
        <w:rPr>
          <w:rFonts w:ascii="Microsoft YaHei" w:hAnsi="Microsoft YaHei" w:eastAsia="Microsoft YaHei" w:cs="Microsoft YaHei"/>
          <w:sz w:val="22"/>
          <w:szCs w:val="2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构成短线交易。上述主体违规短线交易的，</w:t>
      </w:r>
      <w:r>
        <w:rPr>
          <w:rFonts w:ascii="Microsoft YaHei" w:hAnsi="Microsoft YaHei" w:eastAsia="Microsoft YaHei" w:cs="Microsoft YaHei"/>
          <w:sz w:val="22"/>
          <w:szCs w:val="2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本所将视情节相应采取监管措施或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实施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1"/>
        </w:rPr>
        <w:t>纪律处分；</w:t>
      </w:r>
      <w:r>
        <w:rPr>
          <w:rFonts w:ascii="Microsoft YaHei" w:hAnsi="Microsoft YaHei" w:eastAsia="Microsoft YaHei" w:cs="Microsoft YaHei"/>
          <w:sz w:val="22"/>
          <w:szCs w:val="2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1"/>
        </w:rPr>
        <w:t>情节严重的， 证监会将予以立案， 实施行政处罚； 涉及利用内幕</w:t>
      </w:r>
      <w:r>
        <w:rPr>
          <w:rFonts w:ascii="Microsoft YaHei" w:hAnsi="Microsoft YaHei" w:eastAsia="Microsoft YaHei" w:cs="Microsoft YaHei"/>
          <w:sz w:val="22"/>
          <w:szCs w:val="22"/>
          <w:spacing w:val="-12"/>
        </w:rPr>
        <w:t>信息交易的，</w:t>
      </w:r>
      <w:r>
        <w:rPr>
          <w:rFonts w:ascii="Microsoft YaHei" w:hAnsi="Microsoft YaHei" w:eastAsia="Microsoft YaHei" w:cs="Microsoft YaHei"/>
          <w:sz w:val="22"/>
          <w:szCs w:val="2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12"/>
        </w:rPr>
        <w:t>还将构成刑事犯罪。</w:t>
      </w:r>
    </w:p>
    <w:p>
      <w:pPr>
        <w:ind w:firstLine="436"/>
        <w:spacing w:before="324" w:line="220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鉴于上述情况，</w:t>
      </w:r>
      <w:r>
        <w:rPr>
          <w:rFonts w:ascii="Microsoft YaHei" w:hAnsi="Microsoft YaHei" w:eastAsia="Microsoft YaHei" w:cs="Microsoft YaHei"/>
          <w:sz w:val="22"/>
          <w:szCs w:val="2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现就相关工作提醒如下。一是， 上市公司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董监高和持股5%以上的自然人股东应当高度重视，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严格遵守证券交易相关法律法规， 并督促配偶、父母、子女严格执行，</w:t>
      </w:r>
      <w:r>
        <w:rPr>
          <w:rFonts w:ascii="Microsoft YaHei" w:hAnsi="Microsoft YaHei" w:eastAsia="Microsoft YaHei" w:cs="Microsoft YaHei"/>
          <w:sz w:val="22"/>
          <w:szCs w:val="2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避免违反短线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交易相关规定。二是， 上市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公司应当做好股份变动管理， 董事会秘书应当切实履行职责，</w:t>
      </w:r>
      <w:r>
        <w:rPr>
          <w:rFonts w:ascii="Microsoft YaHei" w:hAnsi="Microsoft YaHei" w:eastAsia="Microsoft YaHei" w:cs="Microsoft YaHei"/>
          <w:sz w:val="22"/>
          <w:szCs w:val="2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通过告知书、培训等方式强化对董监高、持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股5%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   </w:t>
      </w: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以上的自然人股东及其配偶、父母、子女合规买卖本公司股票行为的管理。三是， 董监高、持股5%以上的自然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  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人股东及其配偶、父母、子女发生短线交易违规的， 上市公司董事会应当依法收回其所得收益， 并及时进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>行披露，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说明相关人员违规买卖的情况、收益的金额、公司采取的处理措施和收回收益的具体情况等。</w:t>
      </w:r>
    </w:p>
    <w:p>
      <w:pPr>
        <w:pStyle w:val="BodyText"/>
        <w:spacing w:line="274" w:lineRule="auto"/>
        <w:rPr/>
      </w:pPr>
      <w:r/>
    </w:p>
    <w:p>
      <w:pPr>
        <w:ind w:left="9134" w:right="133" w:hanging="2889"/>
        <w:spacing w:before="94" w:line="426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上市公司管理一部、二部、科创板公司管理部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2024年5月8日</w:t>
      </w:r>
    </w:p>
    <w:p>
      <w:pPr>
        <w:ind w:firstLine="4202"/>
        <w:spacing w:before="162" w:line="2044" w:lineRule="exact"/>
        <w:rPr/>
      </w:pPr>
      <w:r>
        <w:rPr>
          <w:position w:val="-40"/>
        </w:rPr>
        <w:drawing>
          <wp:inline distT="0" distB="0" distL="0" distR="0">
            <wp:extent cx="1341120" cy="1297813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41120" cy="1297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0" w:lineRule="auto"/>
        <w:rPr/>
      </w:pPr>
      <w:r/>
    </w:p>
    <w:p>
      <w:pPr>
        <w:ind w:left="2382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</w:rPr>
        <w:t>关于依法合规开展证券交易、防范短线交易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违规的提醒</w:t>
      </w:r>
    </w:p>
    <w:p>
      <w:pPr>
        <w:spacing w:line="183" w:lineRule="auto"/>
        <w:sectPr>
          <w:pgSz w:w="11910" w:h="16840"/>
          <w:pgMar w:top="400" w:right="319" w:bottom="0" w:left="931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>
        <w:pict>
          <v:group id="_x0000_s10" style="position:absolute;margin-left:0pt;margin-top:4.60345pt;mso-position-vertical-relative:text;mso-position-horizontal-relative:text;width:67.85pt;height:56.8pt;z-index:251660288;" filled="false" stroked="false" coordsize="1356,1135" coordorigin="0,0">
            <v:shape id="_x0000_s12" style="position:absolute;left:0;top:0;width:1356;height:1135;" fillcolor="#A61C20" filled="true" stroked="false" coordsize="1356,1135" coordorigin="0,0" path="m,l1356,0l1356,1135l0,1135l0,0xe"/>
            <v:shape id="_x0000_s14" style="position:absolute;left:223;top:170;width:819;height:911;" fillcolor="#FFFFFF" filled="true" stroked="false" coordsize="819,911" coordorigin="0,0" path="m595,777l223,777l213,770l213,731l223,724l595,724l604,731l604,770l595,777xm580,708l237,708l225,698l225,688l213,635l179,583l136,532l88,480l43,424l11,362l0,297l0,290l4,237l21,187l50,144l83,105l127,71l175,48l230,26l287,11l347,2l410,0l470,2l530,11l588,26l640,48l688,71l732,105l736,108l364,108l360,117l360,124l355,148l352,151l232,151l201,175l189,184l177,194l172,199l172,208l177,215l206,242l208,244l208,249l201,259l196,268l191,280l184,290l184,291l182,291l179,292l170,292l124,297l115,302l115,371l124,374l136,376l180,381l182,381l184,382l184,384l191,395l196,405l201,415l208,424l208,429l201,436l191,444l177,460l172,465l172,472l177,480l225,515l232,520l352,520l355,540l360,549l360,559l364,564l648,564l636,578l604,628l592,688l592,698l580,708xm524,182l523,182l496,172l482,168l468,164l466,164l468,163l465,160l465,148l460,136l460,124l458,117l451,108l736,108l768,144l772,151l585,151l576,153l566,158l529,181l528,182l525,182m292,182l290,181l287,182l280,175l271,170l261,163l251,158l242,153l232,151l352,151l352,160l351,162l349,164l347,165l335,168l321,172l307,177l293,181l292,182m686,520l585,520l648,472l645,465l640,460l624,444l616,436l607,428l607,427l609,424l616,415l621,405l626,395l631,384l631,384l636,381l638,381l684,376l693,374l703,371l703,302l693,297l684,297l648,292l638,292l636,292l631,291l631,290l626,280l621,268l616,259l609,248l607,247l607,244l609,242l640,215l645,208l648,199l640,194l628,184l616,175l592,158l585,151l772,151l794,187l811,237l818,290l818,297l804,362l772,422l729,475l686,520xm410,448l355,439l307,415l278,379l266,335l278,295l307,259l355,235l410,228l465,235l508,259l540,295l549,335l540,379l508,415l465,439l410,448xm352,520l242,520l251,515l261,511l271,504l280,499l288,493l290,491l292,491l307,496l321,504l335,506l347,508l352,511l352,515l352,520xm648,564l451,564l458,559l460,549l460,540l465,525l464,513l466,511l466,510l468,508l496,504l508,496l523,491l527,491l530,494l540,499l547,504l556,511l566,515l576,520l686,520l681,528l648,564xm559,911l256,911l247,904l247,864l256,859l559,859l568,864l568,904l559,911xm580,844l235,844l227,840l227,796l235,791l580,791l592,796l592,840l580,844e"/>
          </v:group>
        </w:pict>
      </w:r>
      <w:r/>
    </w:p>
    <w:p>
      <w:pPr>
        <w:ind w:left="1715"/>
        <w:spacing w:before="180" w:line="186" w:lineRule="auto"/>
        <w:rPr>
          <w:rFonts w:ascii="Microsoft YaHei" w:hAnsi="Microsoft YaHei" w:eastAsia="Microsoft YaHei" w:cs="Microsoft YaHei"/>
          <w:sz w:val="42"/>
          <w:szCs w:val="42"/>
        </w:rPr>
      </w:pPr>
      <w:r>
        <w:rPr>
          <w:rFonts w:ascii="Microsoft YaHei" w:hAnsi="Microsoft YaHei" w:eastAsia="Microsoft YaHei" w:cs="Microsoft YaHei"/>
          <w:sz w:val="42"/>
          <w:szCs w:val="42"/>
          <w:spacing w:val="18"/>
        </w:rPr>
        <w:t>监管动态</w:t>
      </w:r>
    </w:p>
    <w:p>
      <w:pPr>
        <w:ind w:firstLine="1356"/>
        <w:spacing w:before="157" w:line="53" w:lineRule="exact"/>
        <w:rPr/>
      </w:pPr>
      <w:r>
        <w:rPr>
          <w:position w:val="-1"/>
        </w:rPr>
        <w:pict>
          <v:shape id="_x0000_s16" style="mso-position-vertical-relative:line;mso-position-horizontal-relative:char;width:525.65pt;height:2.65pt;" fillcolor="#A61C20" filled="true" stroked="false" coordsize="10513,53" coordorigin="0,0" path="m,l0,52l10512,52l10512,0l0,0e"/>
        </w:pict>
      </w:r>
    </w:p>
    <w:p>
      <w:pPr>
        <w:pStyle w:val="BodyText"/>
        <w:spacing w:line="326" w:lineRule="auto"/>
        <w:rPr/>
      </w:pPr>
      <w:r/>
    </w:p>
    <w:p>
      <w:pPr>
        <w:ind w:firstLine="19"/>
        <w:spacing w:line="924" w:lineRule="exact"/>
        <w:rPr/>
      </w:pPr>
      <w:r>
        <w:rPr>
          <w:position w:val="-18"/>
        </w:rPr>
        <w:pict>
          <v:group id="_x0000_s18" style="mso-position-vertical-relative:line;mso-position-horizontal-relative:char;width:112.1pt;height:46.25pt;" filled="false" stroked="false" coordsize="2241,925" coordorigin="0,0">
            <v:shape id="_x0000_s20" style="position:absolute;left:0;top:0;width:2241;height:925;" filled="false" stroked="false" type="#_x0000_t75">
              <v:imagedata o:title="" r:id="rId5"/>
            </v:shape>
            <v:shape id="_x0000_s22" style="position:absolute;left:-20;top:-20;width:2281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97"/>
                      <w:spacing w:before="29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4"/>
                      </w:rPr>
                      <w:t>市场监管概览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310" w:lineRule="auto"/>
        <w:rPr/>
      </w:pPr>
      <w:r/>
    </w:p>
    <w:p>
      <w:pPr>
        <w:ind w:left="454" w:right="631" w:firstLine="446"/>
        <w:spacing w:before="95" w:line="210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2024年5月6日-5月12日， 证监会作出12份监管文书； 证监局作出51份监管文书； 上交所作出5份监管文书；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深交所作出13份监管文书。</w:t>
      </w:r>
    </w:p>
    <w:p>
      <w:pPr>
        <w:pStyle w:val="BodyText"/>
        <w:spacing w:line="471" w:lineRule="auto"/>
        <w:rPr/>
      </w:pPr>
      <w:r/>
    </w:p>
    <w:p>
      <w:pPr>
        <w:ind w:firstLine="1763"/>
        <w:spacing w:line="4905" w:lineRule="exact"/>
        <w:rPr/>
      </w:pPr>
      <w:r>
        <w:rPr>
          <w:position w:val="-98"/>
        </w:rPr>
        <w:drawing>
          <wp:inline distT="0" distB="0" distL="0" distR="0">
            <wp:extent cx="5312409" cy="311467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2409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ind w:firstLine="1769"/>
        <w:spacing w:before="1" w:line="4999" w:lineRule="exact"/>
        <w:rPr/>
      </w:pPr>
      <w:r>
        <w:rPr>
          <w:position w:val="-99"/>
        </w:rPr>
        <w:drawing>
          <wp:inline distT="0" distB="0" distL="0" distR="0">
            <wp:extent cx="5304790" cy="317436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479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999" w:lineRule="exact"/>
        <w:sectPr>
          <w:pgSz w:w="11910" w:h="16840"/>
          <w:pgMar w:top="400" w:right="41" w:bottom="0" w:left="0" w:header="0" w:footer="0" w:gutter="0"/>
        </w:sectPr>
        <w:rPr/>
      </w:pPr>
    </w:p>
    <w:p>
      <w:pPr>
        <w:ind w:firstLine="18"/>
        <w:spacing w:line="924" w:lineRule="exact"/>
        <w:rPr/>
      </w:pPr>
      <w:r>
        <w:rPr>
          <w:position w:val="-18"/>
        </w:rPr>
        <w:pict>
          <v:group id="_x0000_s24" style="mso-position-vertical-relative:line;mso-position-horizontal-relative:char;width:188.3pt;height:46.25pt;" filled="false" stroked="false" coordsize="3766,925" coordorigin="0,0">
            <v:shape id="_x0000_s26" style="position:absolute;left:0;top:0;width:3766;height:925;" filled="false" stroked="false" type="#_x0000_t75">
              <v:imagedata o:title="" r:id="rId8"/>
            </v:shape>
            <v:shape id="_x0000_s28" style="position:absolute;left:-20;top:-20;width:380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89"/>
                      <w:spacing w:before="29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2"/>
                      </w:rPr>
                      <w:t>证监会证监局监管动态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448" w:lineRule="auto"/>
        <w:rPr/>
      </w:pPr>
      <w:r/>
    </w:p>
    <w:p>
      <w:pPr>
        <w:ind w:firstLine="446"/>
        <w:spacing w:before="95" w:line="277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2024年5月6日-5月12日， 证监会作出1份行政处罚决定书， 1份行政处罚事先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告知书， 对10个对象进行立案调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查； 证监局作出1份行政处罚决定事先告知书， 5份行政处罚决定书， 45份行政监管措施决定书。</w:t>
      </w:r>
    </w:p>
    <w:p>
      <w:pPr>
        <w:ind w:left="34"/>
        <w:spacing w:before="4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0"/>
        </w:rPr>
        <w:t>（1） 行政处罚决定书</w:t>
      </w:r>
    </w:p>
    <w:p>
      <w:pPr>
        <w:spacing w:line="192" w:lineRule="exact"/>
        <w:rPr/>
      </w:pPr>
      <w:r/>
    </w:p>
    <w:tbl>
      <w:tblPr>
        <w:tblStyle w:val="TableNormal"/>
        <w:tblW w:w="8053" w:type="dxa"/>
        <w:tblInd w:w="1475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7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1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4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0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729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39"/>
              <w:spacing w:before="281" w:line="178" w:lineRule="auto"/>
              <w:rPr/>
            </w:pPr>
            <w:r>
              <w:rPr>
                <w:spacing w:val="3"/>
              </w:rPr>
              <w:t>600837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43"/>
              <w:spacing w:before="266" w:line="189" w:lineRule="auto"/>
              <w:rPr/>
            </w:pPr>
            <w:r>
              <w:rPr>
                <w:spacing w:val="8"/>
              </w:rPr>
              <w:t>海通证券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0" w:right="134"/>
              <w:spacing w:before="87" w:line="221" w:lineRule="auto"/>
              <w:rPr/>
            </w:pPr>
            <w:r>
              <w:rPr>
                <w:spacing w:val="10"/>
              </w:rPr>
              <w:t>海通证券股份有限公司在相关主体违反限制</w:t>
            </w:r>
            <w:r>
              <w:rPr>
                <w:spacing w:val="9"/>
              </w:rPr>
              <w:t>性规定转让中</w:t>
            </w:r>
            <w:r>
              <w:rPr/>
              <w:t xml:space="preserve"> </w:t>
            </w:r>
            <w:r>
              <w:rPr>
                <w:spacing w:val="7"/>
              </w:rPr>
              <w:t>核钛白 2023 年非公开发行股票过程中涉嫌违法违规。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3" w:right="103" w:firstLine="9"/>
              <w:spacing w:before="39" w:line="236" w:lineRule="auto"/>
              <w:rPr/>
            </w:pPr>
            <w:r>
              <w:rPr>
                <w:b/>
                <w:bCs/>
                <w:spacing w:val="19"/>
              </w:rPr>
              <w:t>【行政处罚决定】 </w:t>
            </w:r>
            <w:r>
              <w:rPr>
                <w:spacing w:val="19"/>
              </w:rPr>
              <w:t>中国证监会决定： 对海通证券股份</w:t>
            </w:r>
            <w:r>
              <w:rPr>
                <w:spacing w:val="18"/>
              </w:rPr>
              <w:t>有限公司合计没收违法所得</w:t>
            </w:r>
            <w:r>
              <w:rPr/>
              <w:t xml:space="preserve"> </w:t>
            </w:r>
            <w:r>
              <w:rPr>
                <w:spacing w:val="2"/>
              </w:rPr>
              <w:t>89,445.21 元， 并处以 6,975,000 元罚款。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2"/>
              <w:spacing w:before="279" w:line="178" w:lineRule="auto"/>
              <w:rPr/>
            </w:pPr>
            <w:r>
              <w:rPr>
                <w:spacing w:val="3"/>
              </w:rPr>
              <w:t>300368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1"/>
              <w:spacing w:before="265" w:line="188" w:lineRule="auto"/>
              <w:rPr/>
            </w:pPr>
            <w:r>
              <w:rPr>
                <w:spacing w:val="9"/>
              </w:rPr>
              <w:t>汇金股份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430" w:firstLine="9"/>
              <w:spacing w:before="83" w:line="221" w:lineRule="auto"/>
              <w:rPr/>
            </w:pPr>
            <w:r>
              <w:rPr>
                <w:spacing w:val="5"/>
              </w:rPr>
              <w:t>2021 年年度报告存在</w:t>
            </w:r>
            <w:r>
              <w:rPr>
                <w:b/>
                <w:bCs/>
                <w:spacing w:val="5"/>
              </w:rPr>
              <w:t>虚假记载</w:t>
            </w:r>
            <w:r>
              <w:rPr>
                <w:spacing w:val="5"/>
              </w:rPr>
              <w:t>； 未按规定披露</w:t>
            </w:r>
            <w:r>
              <w:rPr>
                <w:b/>
                <w:bCs/>
                <w:spacing w:val="5"/>
              </w:rPr>
              <w:t>重大事</w:t>
            </w:r>
            <w:r>
              <w:rPr>
                <w:b/>
                <w:bCs/>
                <w:spacing w:val="18"/>
              </w:rPr>
              <w:t xml:space="preserve"> </w:t>
            </w:r>
            <w:r>
              <w:rPr>
                <w:b/>
                <w:bCs/>
                <w:spacing w:val="3"/>
              </w:rPr>
              <w:t>项</w:t>
            </w:r>
            <w:r>
              <w:rPr>
                <w:spacing w:val="3"/>
              </w:rPr>
              <w:t>。</w:t>
            </w:r>
          </w:p>
        </w:tc>
      </w:tr>
      <w:tr>
        <w:trPr>
          <w:trHeight w:val="252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40" w:line="237" w:lineRule="auto"/>
              <w:rPr/>
            </w:pPr>
            <w:r>
              <w:rPr>
                <w:b/>
                <w:bCs/>
                <w:spacing w:val="7"/>
              </w:rPr>
              <w:t>【行政处罚决定】</w:t>
            </w:r>
            <w:r>
              <w:rPr>
                <w:b/>
                <w:bCs/>
                <w:spacing w:val="-12"/>
              </w:rPr>
              <w:t xml:space="preserve"> </w:t>
            </w:r>
            <w:r>
              <w:rPr>
                <w:spacing w:val="7"/>
              </w:rPr>
              <w:t>中国证券监督管理委员会河北监管局决定：</w:t>
            </w:r>
          </w:p>
          <w:p>
            <w:pPr>
              <w:pStyle w:val="TableText"/>
              <w:ind w:left="105" w:right="103" w:firstLine="12"/>
              <w:spacing w:before="25"/>
              <w:rPr/>
            </w:pPr>
            <w:r>
              <w:rPr>
                <w:spacing w:val="16"/>
              </w:rPr>
              <w:t>(一)对河北汇金集团股份有限公司 20</w:t>
            </w:r>
            <w:r>
              <w:rPr>
                <w:spacing w:val="15"/>
              </w:rPr>
              <w:t>21 年年度报告虚假记载的行为， 依据《证券</w:t>
            </w:r>
            <w:r>
              <w:rPr/>
              <w:t xml:space="preserve"> </w:t>
            </w:r>
            <w:r>
              <w:rPr>
                <w:spacing w:val="10"/>
              </w:rPr>
              <w:t>法》第一百九十七条第二款和《行政处罚法》第三十二条</w:t>
            </w:r>
            <w:r>
              <w:rPr>
                <w:spacing w:val="9"/>
              </w:rPr>
              <w:t>第一项、第三项的规定， 对</w:t>
            </w:r>
            <w:r>
              <w:rPr/>
              <w:t xml:space="preserve"> </w:t>
            </w:r>
            <w:r>
              <w:rPr>
                <w:spacing w:val="5"/>
              </w:rPr>
              <w:t>河北汇金集团股份有限公司责令改正， 给予警告， 并</w:t>
            </w:r>
            <w:r>
              <w:rPr>
                <w:spacing w:val="4"/>
              </w:rPr>
              <w:t>处以 150 万元罚款;</w:t>
            </w:r>
          </w:p>
          <w:p>
            <w:pPr>
              <w:pStyle w:val="TableText"/>
              <w:ind w:left="104" w:right="103" w:firstLine="14"/>
              <w:spacing w:before="49"/>
              <w:rPr/>
            </w:pPr>
            <w:r>
              <w:rPr>
                <w:spacing w:val="11"/>
              </w:rPr>
              <w:t>(二)对河北汇金集团股份有限公司未按规定披露重大事项的行为， </w:t>
            </w:r>
            <w:r>
              <w:rPr>
                <w:spacing w:val="10"/>
              </w:rPr>
              <w:t>依据《证券法》第</w:t>
            </w:r>
            <w:r>
              <w:rPr/>
              <w:t xml:space="preserve"> </w:t>
            </w:r>
            <w:r>
              <w:rPr>
                <w:spacing w:val="10"/>
              </w:rPr>
              <w:t>一百九十七条第一款和《行政处罚法》第三十二条第一项、第</w:t>
            </w:r>
            <w:r>
              <w:rPr>
                <w:spacing w:val="9"/>
              </w:rPr>
              <w:t>三项的规定， 对河北汇</w:t>
            </w:r>
            <w:r>
              <w:rPr/>
              <w:t xml:space="preserve"> </w:t>
            </w:r>
            <w:r>
              <w:rPr>
                <w:spacing w:val="4"/>
              </w:rPr>
              <w:t>金集团股份有限公司责令改正， 给予警告， 并处以 50 万元罚款。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280" w:line="179" w:lineRule="auto"/>
              <w:rPr/>
            </w:pPr>
            <w:r>
              <w:rPr>
                <w:spacing w:val="3"/>
              </w:rPr>
              <w:t>603421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3"/>
              <w:spacing w:before="267" w:line="189" w:lineRule="auto"/>
              <w:rPr/>
            </w:pPr>
            <w:r>
              <w:rPr>
                <w:spacing w:val="8"/>
              </w:rPr>
              <w:t>鼎信通讯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8" w:line="219" w:lineRule="auto"/>
              <w:rPr/>
            </w:pPr>
            <w:r>
              <w:rPr>
                <w:spacing w:val="8"/>
              </w:rPr>
              <w:t>未及时披露</w:t>
            </w:r>
            <w:r>
              <w:rPr>
                <w:b/>
                <w:bCs/>
                <w:spacing w:val="8"/>
              </w:rPr>
              <w:t>生产经营的外部条件</w:t>
            </w:r>
            <w:r>
              <w:rPr>
                <w:spacing w:val="8"/>
              </w:rPr>
              <w:t>发生重大变化； 未及时披</w:t>
            </w:r>
            <w:r>
              <w:rPr>
                <w:spacing w:val="9"/>
              </w:rPr>
              <w:t xml:space="preserve"> </w:t>
            </w:r>
            <w:r>
              <w:rPr>
                <w:spacing w:val="9"/>
              </w:rPr>
              <w:t>露控股股东、实际控制人</w:t>
            </w:r>
            <w:r>
              <w:rPr>
                <w:b/>
                <w:bCs/>
                <w:spacing w:val="9"/>
              </w:rPr>
              <w:t>所持股份处分</w:t>
            </w:r>
            <w:r>
              <w:rPr>
                <w:spacing w:val="9"/>
              </w:rPr>
              <w:t>情况。</w:t>
            </w:r>
          </w:p>
        </w:tc>
      </w:tr>
      <w:tr>
        <w:trPr>
          <w:trHeight w:val="216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45" w:line="237" w:lineRule="auto"/>
              <w:rPr/>
            </w:pPr>
            <w:r>
              <w:rPr>
                <w:b/>
                <w:bCs/>
                <w:spacing w:val="7"/>
              </w:rPr>
              <w:t>【行政处罚决定】</w:t>
            </w:r>
            <w:r>
              <w:rPr>
                <w:b/>
                <w:bCs/>
                <w:spacing w:val="-12"/>
              </w:rPr>
              <w:t xml:space="preserve"> </w:t>
            </w:r>
            <w:r>
              <w:rPr>
                <w:spacing w:val="7"/>
              </w:rPr>
              <w:t>中国证券监督管理委员会青岛监管局决定：</w:t>
            </w:r>
          </w:p>
          <w:p>
            <w:pPr>
              <w:pStyle w:val="TableText"/>
              <w:ind w:left="139"/>
              <w:spacing w:before="25" w:line="229" w:lineRule="auto"/>
              <w:rPr/>
            </w:pPr>
            <w:r>
              <w:rPr>
                <w:spacing w:val="4"/>
              </w:rPr>
              <w:t>（一） 对青岛鼎信通讯股份有限公司给予警告，</w:t>
            </w:r>
            <w:r>
              <w:rPr>
                <w:spacing w:val="3"/>
              </w:rPr>
              <w:t xml:space="preserve"> 并处以 70 万元的罚款；</w:t>
            </w:r>
          </w:p>
          <w:p>
            <w:pPr>
              <w:pStyle w:val="TableText"/>
              <w:ind w:left="139"/>
              <w:spacing w:before="32" w:line="229" w:lineRule="auto"/>
              <w:rPr/>
            </w:pPr>
            <w:r>
              <w:rPr>
                <w:spacing w:val="2"/>
              </w:rPr>
              <w:t>（二） 对董事长王某华给予警告， 并处以 100 万元的罚款；</w:t>
            </w:r>
          </w:p>
          <w:p>
            <w:pPr>
              <w:pStyle w:val="TableText"/>
              <w:ind w:left="139"/>
              <w:spacing w:before="32" w:line="229" w:lineRule="auto"/>
              <w:rPr/>
            </w:pPr>
            <w:r>
              <w:rPr>
                <w:spacing w:val="2"/>
              </w:rPr>
              <w:t>（三） 对总经理曾某忆给予警告， 并处以 50 万元的罚款；</w:t>
            </w:r>
          </w:p>
          <w:p>
            <w:pPr>
              <w:pStyle w:val="TableText"/>
              <w:ind w:left="139"/>
              <w:spacing w:before="32" w:line="229" w:lineRule="auto"/>
              <w:rPr/>
            </w:pPr>
            <w:r>
              <w:rPr>
                <w:spacing w:val="3"/>
              </w:rPr>
              <w:t>（四） 对董事会秘书,高管葛某给予警告， 并处以 30 万元的罚款；</w:t>
            </w:r>
          </w:p>
          <w:p>
            <w:pPr>
              <w:pStyle w:val="TableText"/>
              <w:ind w:left="139"/>
              <w:spacing w:before="32" w:line="213" w:lineRule="auto"/>
              <w:rPr/>
            </w:pPr>
            <w:r>
              <w:rPr>
                <w:spacing w:val="2"/>
              </w:rPr>
              <w:t>（五） 对高管袁某双给予警告， 并处以 25 万元的罚款。</w:t>
            </w:r>
          </w:p>
        </w:tc>
      </w:tr>
      <w:tr>
        <w:trPr>
          <w:trHeight w:val="36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104" w:line="175" w:lineRule="auto"/>
              <w:rPr/>
            </w:pPr>
            <w:r>
              <w:rPr>
                <w:spacing w:val="3"/>
              </w:rPr>
              <w:t>603019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57"/>
              <w:spacing w:before="91" w:line="184" w:lineRule="auto"/>
              <w:rPr/>
            </w:pPr>
            <w:r>
              <w:rPr>
                <w:spacing w:val="5"/>
              </w:rPr>
              <w:t>中科曙光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1"/>
              <w:spacing w:before="91" w:line="184" w:lineRule="auto"/>
              <w:rPr/>
            </w:pPr>
            <w:r>
              <w:rPr>
                <w:spacing w:val="8"/>
              </w:rPr>
              <w:t>董事长配偶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03" w:firstLine="14"/>
              <w:spacing w:before="45" w:line="234" w:lineRule="auto"/>
              <w:rPr/>
            </w:pPr>
            <w:r>
              <w:rPr>
                <w:b/>
                <w:bCs/>
                <w:spacing w:val="8"/>
              </w:rPr>
              <w:t>【行政处罚决定】</w:t>
            </w:r>
            <w:r>
              <w:rPr>
                <w:b/>
                <w:bCs/>
                <w:spacing w:val="-13"/>
              </w:rPr>
              <w:t xml:space="preserve"> </w:t>
            </w:r>
            <w:r>
              <w:rPr>
                <w:spacing w:val="8"/>
              </w:rPr>
              <w:t>中国证券监督管理委员会天津监管局决定： 对董事长李某杰给予警</w:t>
            </w:r>
            <w:r>
              <w:rPr/>
              <w:t xml:space="preserve"> </w:t>
            </w:r>
            <w:r>
              <w:rPr>
                <w:spacing w:val="2"/>
              </w:rPr>
              <w:t>告， 并处以 800,000 元的罚款。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284" w:line="178" w:lineRule="auto"/>
              <w:rPr/>
            </w:pPr>
            <w:r>
              <w:rPr>
                <w:spacing w:val="3"/>
              </w:rPr>
              <w:t>002656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15"/>
              <w:spacing w:before="269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摩登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 w:firstLine="8"/>
              <w:spacing w:before="90" w:line="218" w:lineRule="auto"/>
              <w:rPr/>
            </w:pPr>
            <w:r>
              <w:rPr>
                <w:spacing w:val="10"/>
              </w:rPr>
              <w:t>2021 年年度报告存在</w:t>
            </w:r>
            <w:r>
              <w:rPr>
                <w:b/>
                <w:bCs/>
                <w:spacing w:val="10"/>
              </w:rPr>
              <w:t>虚假记载</w:t>
            </w:r>
            <w:r>
              <w:rPr>
                <w:spacing w:val="10"/>
              </w:rPr>
              <w:t>； 未及时披露</w:t>
            </w:r>
            <w:r>
              <w:rPr>
                <w:b/>
                <w:bCs/>
                <w:spacing w:val="10"/>
              </w:rPr>
              <w:t>股权投资重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3"/>
              </w:rPr>
              <w:t>大损失</w:t>
            </w:r>
            <w:r>
              <w:rPr>
                <w:spacing w:val="3"/>
              </w:rPr>
              <w:t>； 未</w:t>
            </w:r>
            <w:r>
              <w:rPr>
                <w:b/>
                <w:bCs/>
                <w:spacing w:val="3"/>
              </w:rPr>
              <w:t>按期披露 </w:t>
            </w:r>
            <w:r>
              <w:rPr>
                <w:spacing w:val="3"/>
              </w:rPr>
              <w:t>2022 年年度报告。</w:t>
            </w:r>
          </w:p>
        </w:tc>
      </w:tr>
      <w:tr>
        <w:trPr>
          <w:trHeight w:val="25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49" w:line="237" w:lineRule="auto"/>
              <w:rPr/>
            </w:pPr>
            <w:r>
              <w:rPr>
                <w:b/>
                <w:bCs/>
                <w:spacing w:val="7"/>
              </w:rPr>
              <w:t>【行政处罚决定】</w:t>
            </w:r>
            <w:r>
              <w:rPr>
                <w:b/>
                <w:bCs/>
                <w:spacing w:val="-12"/>
              </w:rPr>
              <w:t xml:space="preserve"> </w:t>
            </w:r>
            <w:r>
              <w:rPr>
                <w:spacing w:val="7"/>
              </w:rPr>
              <w:t>中国证券监督管理委员会广东监管局决定：</w:t>
            </w:r>
          </w:p>
          <w:p>
            <w:pPr>
              <w:pStyle w:val="TableText"/>
              <w:ind w:left="139"/>
              <w:spacing w:before="25" w:line="229" w:lineRule="auto"/>
              <w:rPr/>
            </w:pPr>
            <w:r>
              <w:rPr>
                <w:spacing w:val="4"/>
              </w:rPr>
              <w:t>（一） 对摩登大道时尚集团股份有限公司给予警告， 并处以 5</w:t>
            </w:r>
            <w:r>
              <w:rPr>
                <w:spacing w:val="3"/>
              </w:rPr>
              <w:t>80 万元罚款；</w:t>
            </w:r>
          </w:p>
          <w:p>
            <w:pPr>
              <w:pStyle w:val="TableText"/>
              <w:ind w:left="105" w:right="103" w:firstLine="33"/>
              <w:spacing w:before="32" w:line="234" w:lineRule="auto"/>
              <w:rPr/>
            </w:pPr>
            <w:r>
              <w:rPr>
                <w:spacing w:val="7"/>
              </w:rPr>
              <w:t>（二） 对时任董事长,时任总经理,时任财务总监林某超给予警告， 并处以 260 万元罚</w:t>
            </w:r>
            <w:r>
              <w:rPr>
                <w:spacing w:val="8"/>
              </w:rPr>
              <w:t xml:space="preserve"> </w:t>
            </w:r>
            <w:r>
              <w:rPr>
                <w:spacing w:val="3"/>
              </w:rPr>
              <w:t>款；</w:t>
            </w:r>
          </w:p>
          <w:p>
            <w:pPr>
              <w:pStyle w:val="TableText"/>
              <w:ind w:left="139"/>
              <w:spacing w:before="50" w:line="229" w:lineRule="auto"/>
              <w:rPr/>
            </w:pPr>
            <w:r>
              <w:rPr>
                <w:spacing w:val="3"/>
              </w:rPr>
              <w:t>（三） 对时任高管,时任董事魏某给予警告， 并</w:t>
            </w:r>
            <w:r>
              <w:rPr>
                <w:spacing w:val="2"/>
              </w:rPr>
              <w:t>处以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130 万元罚款；</w:t>
            </w:r>
          </w:p>
          <w:p>
            <w:pPr>
              <w:pStyle w:val="TableText"/>
              <w:ind w:left="139"/>
              <w:spacing w:before="34" w:line="229" w:lineRule="auto"/>
              <w:rPr/>
            </w:pPr>
            <w:r>
              <w:rPr>
                <w:spacing w:val="4"/>
              </w:rPr>
              <w:t>（四） 对时任高管,时任董事,时任董秘翁某芳给予警告， 并处以 100 万</w:t>
            </w:r>
            <w:r>
              <w:rPr>
                <w:spacing w:val="3"/>
              </w:rPr>
              <w:t>元罚款；</w:t>
            </w:r>
          </w:p>
          <w:p>
            <w:pPr>
              <w:pStyle w:val="TableText"/>
              <w:ind w:left="139"/>
              <w:spacing w:before="32" w:line="209" w:lineRule="auto"/>
              <w:rPr/>
            </w:pPr>
            <w:r>
              <w:rPr>
                <w:spacing w:val="2"/>
              </w:rPr>
              <w:t>（五） 对时任独董陈某敏给予警告， 并处以 50 万元罚款。</w:t>
            </w:r>
          </w:p>
        </w:tc>
      </w:tr>
      <w:tr>
        <w:trPr>
          <w:trHeight w:val="73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289" w:line="178" w:lineRule="auto"/>
              <w:rPr/>
            </w:pPr>
            <w:r>
              <w:rPr>
                <w:spacing w:val="3"/>
              </w:rPr>
              <w:t>000976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15"/>
              <w:spacing w:before="275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华铁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 w:firstLine="9"/>
              <w:spacing w:before="92" w:line="220" w:lineRule="auto"/>
              <w:rPr/>
            </w:pPr>
            <w:r>
              <w:rPr>
                <w:spacing w:val="11"/>
              </w:rPr>
              <w:t>2020 年年度报告、</w:t>
            </w:r>
            <w:r>
              <w:rPr>
                <w:spacing w:val="-29"/>
              </w:rPr>
              <w:t xml:space="preserve"> </w:t>
            </w:r>
            <w:r>
              <w:rPr>
                <w:spacing w:val="11"/>
              </w:rPr>
              <w:t>2021 年年度报告</w:t>
            </w:r>
            <w:r>
              <w:rPr>
                <w:spacing w:val="10"/>
              </w:rPr>
              <w:t>存在</w:t>
            </w:r>
            <w:r>
              <w:rPr>
                <w:b/>
                <w:bCs/>
                <w:spacing w:val="10"/>
              </w:rPr>
              <w:t>虚假记载</w:t>
            </w:r>
            <w:r>
              <w:rPr>
                <w:spacing w:val="10"/>
              </w:rPr>
              <w:t>； 未</w:t>
            </w:r>
            <w:r>
              <w:rPr/>
              <w:t xml:space="preserve"> </w:t>
            </w:r>
            <w:r>
              <w:rPr>
                <w:spacing w:val="11"/>
              </w:rPr>
              <w:t>按规定披露</w:t>
            </w:r>
            <w:r>
              <w:rPr>
                <w:b/>
                <w:bCs/>
                <w:spacing w:val="11"/>
              </w:rPr>
              <w:t>关联交易</w:t>
            </w:r>
            <w:r>
              <w:rPr>
                <w:spacing w:val="11"/>
              </w:rPr>
              <w:t>，</w:t>
            </w:r>
            <w:r>
              <w:rPr>
                <w:spacing w:val="21"/>
              </w:rPr>
              <w:t xml:space="preserve"> </w:t>
            </w:r>
            <w:r>
              <w:rPr>
                <w:spacing w:val="11"/>
              </w:rPr>
              <w:t>2019 年年度报</w:t>
            </w:r>
            <w:r>
              <w:rPr>
                <w:spacing w:val="10"/>
              </w:rPr>
              <w:t>告、</w:t>
            </w:r>
            <w:r>
              <w:rPr>
                <w:spacing w:val="-29"/>
              </w:rPr>
              <w:t xml:space="preserve"> </w:t>
            </w:r>
            <w:r>
              <w:rPr>
                <w:spacing w:val="10"/>
              </w:rPr>
              <w:t>2020 年年度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374" w:right="550" w:bottom="0" w:left="444" w:header="0" w:footer="0" w:gutter="0"/>
        </w:sectPr>
        <w:rPr/>
      </w:pPr>
    </w:p>
    <w:tbl>
      <w:tblPr>
        <w:tblStyle w:val="TableNormal"/>
        <w:tblW w:w="8053" w:type="dxa"/>
        <w:tblInd w:w="144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742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 w:right="103"/>
              <w:spacing w:before="100" w:line="221" w:lineRule="auto"/>
              <w:rPr/>
            </w:pPr>
            <w:r>
              <w:rPr>
                <w:spacing w:val="12"/>
              </w:rPr>
              <w:t>报告、</w:t>
            </w:r>
            <w:r>
              <w:rPr>
                <w:spacing w:val="-18"/>
              </w:rPr>
              <w:t xml:space="preserve"> </w:t>
            </w:r>
            <w:r>
              <w:rPr>
                <w:spacing w:val="12"/>
              </w:rPr>
              <w:t>2021 年年度报告、</w:t>
            </w:r>
            <w:r>
              <w:rPr>
                <w:spacing w:val="-29"/>
              </w:rPr>
              <w:t xml:space="preserve"> </w:t>
            </w:r>
            <w:r>
              <w:rPr>
                <w:spacing w:val="12"/>
              </w:rPr>
              <w:t>2022 年年度报告存在</w:t>
            </w:r>
            <w:r>
              <w:rPr>
                <w:b/>
                <w:bCs/>
                <w:spacing w:val="12"/>
              </w:rPr>
              <w:t>重大遗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3"/>
              </w:rPr>
              <w:t>漏。</w:t>
            </w:r>
          </w:p>
        </w:tc>
      </w:tr>
      <w:tr>
        <w:trPr>
          <w:trHeight w:val="43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41" w:line="237" w:lineRule="auto"/>
              <w:rPr/>
            </w:pPr>
            <w:r>
              <w:rPr>
                <w:b/>
                <w:bCs/>
                <w:spacing w:val="7"/>
              </w:rPr>
              <w:t>【行政处罚决定】</w:t>
            </w:r>
            <w:r>
              <w:rPr>
                <w:b/>
                <w:bCs/>
                <w:spacing w:val="-12"/>
              </w:rPr>
              <w:t xml:space="preserve"> </w:t>
            </w:r>
            <w:r>
              <w:rPr>
                <w:spacing w:val="7"/>
              </w:rPr>
              <w:t>中国证券监督管理委员会广东监管局决定：</w:t>
            </w:r>
          </w:p>
          <w:p>
            <w:pPr>
              <w:pStyle w:val="TableText"/>
              <w:ind w:left="139"/>
              <w:spacing w:before="25" w:line="229" w:lineRule="auto"/>
              <w:rPr/>
            </w:pPr>
            <w:r>
              <w:rPr>
                <w:spacing w:val="4"/>
              </w:rPr>
              <w:t>（一） 对广东华铁通达高铁装备股份有限公司给予警告， 并处以 800 万元罚款。</w:t>
            </w:r>
          </w:p>
          <w:p>
            <w:pPr>
              <w:pStyle w:val="TableText"/>
              <w:ind w:left="106" w:right="103" w:firstLine="33"/>
              <w:spacing w:before="33" w:line="254" w:lineRule="auto"/>
              <w:rPr/>
            </w:pPr>
            <w:r>
              <w:rPr>
                <w:spacing w:val="6"/>
              </w:rPr>
              <w:t>（二） 对实际控制人,时任董事长,时任董事宣某国给予警告， 并处以 800 万元罚款</w:t>
            </w:r>
            <w:r>
              <w:rPr>
                <w:spacing w:val="-9"/>
              </w:rPr>
              <w:t xml:space="preserve"> </w:t>
            </w:r>
            <w:r>
              <w:rPr>
                <w:spacing w:val="6"/>
              </w:rPr>
              <w:t>，</w:t>
            </w:r>
            <w:r>
              <w:rPr/>
              <w:t xml:space="preserve"> </w:t>
            </w:r>
            <w:r>
              <w:rPr>
                <w:spacing w:val="7"/>
              </w:rPr>
              <w:t>其中对其作为直接负责的主管人员处以 450 万元罚款， </w:t>
            </w:r>
            <w:r>
              <w:rPr>
                <w:spacing w:val="6"/>
              </w:rPr>
              <w:t>对其作为实际控制人处以 350</w:t>
            </w:r>
            <w:r>
              <w:rPr/>
              <w:t xml:space="preserve"> </w:t>
            </w:r>
            <w:r>
              <w:rPr>
                <w:spacing w:val="6"/>
              </w:rPr>
              <w:t>万元罚款。</w:t>
            </w:r>
          </w:p>
          <w:p>
            <w:pPr>
              <w:pStyle w:val="TableText"/>
              <w:ind w:left="104" w:right="103" w:firstLine="4"/>
              <w:spacing w:before="27" w:line="243" w:lineRule="auto"/>
              <w:rPr/>
            </w:pPr>
            <w:r>
              <w:rPr>
                <w:spacing w:val="13"/>
              </w:rPr>
              <w:t>宣某国作为华铁股份实际控制人， 时任董事长、</w:t>
            </w:r>
            <w:r>
              <w:rPr>
                <w:spacing w:val="-39"/>
              </w:rPr>
              <w:t xml:space="preserve"> </w:t>
            </w:r>
            <w:r>
              <w:rPr>
                <w:spacing w:val="13"/>
              </w:rPr>
              <w:t>副董事长， 组织</w:t>
            </w:r>
            <w:r>
              <w:rPr>
                <w:spacing w:val="12"/>
              </w:rPr>
              <w:t>、指使从事虚假业</w:t>
            </w:r>
            <w:r>
              <w:rPr/>
              <w:t xml:space="preserve"> </w:t>
            </w:r>
            <w:r>
              <w:rPr>
                <w:spacing w:val="6"/>
              </w:rPr>
              <w:t>务、未按规定披露关联方和关联交易， 严重扰乱证券市场秩序， 违法情节严重， 根据</w:t>
            </w:r>
            <w:r>
              <w:rPr>
                <w:spacing w:val="11"/>
              </w:rPr>
              <w:t xml:space="preserve"> </w:t>
            </w:r>
            <w:r>
              <w:rPr>
                <w:spacing w:val="11"/>
              </w:rPr>
              <w:t>2005 年《证券法》</w:t>
            </w:r>
            <w:r>
              <w:rPr>
                <w:spacing w:val="-32"/>
              </w:rPr>
              <w:t xml:space="preserve"> </w:t>
            </w:r>
            <w:r>
              <w:rPr>
                <w:spacing w:val="11"/>
              </w:rPr>
              <w:t>第二百三十三条、《证券法》</w:t>
            </w:r>
            <w:r>
              <w:rPr>
                <w:spacing w:val="-32"/>
              </w:rPr>
              <w:t xml:space="preserve"> </w:t>
            </w:r>
            <w:r>
              <w:rPr>
                <w:spacing w:val="11"/>
              </w:rPr>
              <w:t>第二百二十一条， 2015 年</w:t>
            </w:r>
            <w:r>
              <w:rPr>
                <w:spacing w:val="10"/>
              </w:rPr>
              <w:t>修订的</w:t>
            </w:r>
            <w:r>
              <w:rPr/>
              <w:t xml:space="preserve"> </w:t>
            </w:r>
            <w:r>
              <w:rPr>
                <w:spacing w:val="9"/>
              </w:rPr>
              <w:t>《证券市场禁入规定》 （证监会令第</w:t>
            </w:r>
            <w:r>
              <w:rPr>
                <w:spacing w:val="20"/>
              </w:rPr>
              <w:t xml:space="preserve"> </w:t>
            </w:r>
            <w:r>
              <w:rPr>
                <w:spacing w:val="9"/>
              </w:rPr>
              <w:t>115  号） 第三条第一项、第</w:t>
            </w:r>
            <w:r>
              <w:rPr>
                <w:spacing w:val="8"/>
              </w:rPr>
              <w:t>二项、第四条、第</w:t>
            </w:r>
            <w:r>
              <w:rPr/>
              <w:t xml:space="preserve"> </w:t>
            </w:r>
            <w:r>
              <w:rPr>
                <w:spacing w:val="5"/>
              </w:rPr>
              <w:t>五条， 2021 年修订的《证券市场禁入规定》 （证监会令第</w:t>
            </w:r>
            <w:r>
              <w:rPr>
                <w:spacing w:val="33"/>
              </w:rPr>
              <w:t xml:space="preserve"> </w:t>
            </w:r>
            <w:r>
              <w:rPr>
                <w:spacing w:val="5"/>
              </w:rPr>
              <w:t>185 号） 第三条第一项、</w:t>
            </w:r>
            <w:r>
              <w:rPr/>
              <w:t xml:space="preserve"> </w:t>
            </w:r>
            <w:r>
              <w:rPr>
                <w:spacing w:val="10"/>
              </w:rPr>
              <w:t>第四条第一款第一项、第五条、第七条第一款的规定， 中国</w:t>
            </w:r>
            <w:r>
              <w:rPr>
                <w:spacing w:val="9"/>
              </w:rPr>
              <w:t>证券监督管理委员会广东</w:t>
            </w:r>
            <w:r>
              <w:rPr/>
              <w:t xml:space="preserve"> </w:t>
            </w:r>
            <w:r>
              <w:rPr>
                <w:spacing w:val="6"/>
              </w:rPr>
              <w:t>监管局决定： 对宣某国采取终身市场禁入措施。</w:t>
            </w:r>
          </w:p>
        </w:tc>
      </w:tr>
    </w:tbl>
    <w:p>
      <w:pPr>
        <w:spacing w:before="266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8"/>
        </w:rPr>
        <w:t>（2） 行政处罚决定事先告知书</w:t>
      </w:r>
    </w:p>
    <w:p>
      <w:pPr>
        <w:spacing w:line="219" w:lineRule="exact"/>
        <w:rPr/>
      </w:pPr>
      <w:r/>
    </w:p>
    <w:tbl>
      <w:tblPr>
        <w:tblStyle w:val="TableNormal"/>
        <w:tblW w:w="8053" w:type="dxa"/>
        <w:tblInd w:w="144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6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1"/>
              <w:spacing w:before="108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4"/>
              <w:spacing w:before="110" w:line="186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0"/>
              <w:spacing w:before="108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728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39"/>
              <w:spacing w:before="282" w:line="178" w:lineRule="auto"/>
              <w:rPr/>
            </w:pPr>
            <w:r>
              <w:rPr>
                <w:spacing w:val="3"/>
              </w:rPr>
              <w:t>600220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315"/>
              <w:spacing w:before="269" w:line="188" w:lineRule="auto"/>
              <w:rPr/>
            </w:pPr>
            <w:r>
              <w:rPr/>
              <w:t>ST</w:t>
            </w:r>
            <w:r>
              <w:rPr>
                <w:spacing w:val="7"/>
              </w:rPr>
              <w:t xml:space="preserve"> </w:t>
            </w:r>
            <w:r>
              <w:rPr/>
              <w:t>阳光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13" w:right="134" w:hanging="3"/>
              <w:spacing w:before="86" w:line="221" w:lineRule="auto"/>
              <w:rPr/>
            </w:pPr>
            <w:r>
              <w:rPr>
                <w:spacing w:val="9"/>
              </w:rPr>
              <w:t>阳光集团</w:t>
            </w:r>
            <w:r>
              <w:rPr>
                <w:b/>
                <w:bCs/>
                <w:spacing w:val="9"/>
              </w:rPr>
              <w:t>涉嫌内幕交易</w:t>
            </w:r>
            <w:r>
              <w:rPr>
                <w:spacing w:val="9"/>
              </w:rPr>
              <w:t>海润光伏科技股份有限公司股票案 </w:t>
            </w:r>
            <w:r>
              <w:rPr>
                <w:spacing w:val="7"/>
              </w:rPr>
              <w:t>已由中国证监会调查完毕。</w:t>
            </w:r>
          </w:p>
        </w:tc>
      </w:tr>
      <w:tr>
        <w:trPr>
          <w:trHeight w:val="722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1" w:firstLine="17"/>
              <w:spacing w:before="42" w:line="234" w:lineRule="auto"/>
              <w:rPr/>
            </w:pPr>
            <w:r>
              <w:rPr>
                <w:b/>
                <w:bCs/>
                <w:spacing w:val="11"/>
              </w:rPr>
              <w:t>【行政处罚决定 （拟）</w:t>
            </w:r>
            <w:r>
              <w:rPr>
                <w:b/>
                <w:bCs/>
                <w:spacing w:val="23"/>
                <w:w w:val="101"/>
              </w:rPr>
              <w:t xml:space="preserve"> </w:t>
            </w:r>
            <w:r>
              <w:rPr>
                <w:b/>
                <w:bCs/>
                <w:spacing w:val="11"/>
              </w:rPr>
              <w:t>】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spacing w:val="11"/>
              </w:rPr>
              <w:t>中国证监会依法拟对阳光</w:t>
            </w:r>
            <w:r>
              <w:rPr>
                <w:spacing w:val="10"/>
              </w:rPr>
              <w:t>集团处以</w:t>
            </w:r>
            <w:r>
              <w:rPr>
                <w:spacing w:val="20"/>
              </w:rPr>
              <w:t xml:space="preserve"> </w:t>
            </w:r>
            <w:r>
              <w:rPr>
                <w:spacing w:val="10"/>
              </w:rPr>
              <w:t>232,105,629.46 元罚</w:t>
            </w:r>
            <w:r>
              <w:rPr/>
              <w:t xml:space="preserve"> </w:t>
            </w:r>
            <w:r>
              <w:rPr>
                <w:spacing w:val="3"/>
              </w:rPr>
              <w:t>款。</w:t>
            </w:r>
          </w:p>
        </w:tc>
      </w:tr>
      <w:tr>
        <w:trPr>
          <w:trHeight w:val="108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9" w:lineRule="auto"/>
              <w:rPr/>
            </w:pPr>
            <w:r>
              <w:rPr>
                <w:spacing w:val="3"/>
              </w:rPr>
              <w:t>002131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88" w:lineRule="auto"/>
              <w:rPr/>
            </w:pPr>
            <w:r>
              <w:rPr>
                <w:spacing w:val="8"/>
              </w:rPr>
              <w:t>利欧股份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 w:firstLine="1"/>
              <w:spacing w:before="85" w:line="230" w:lineRule="auto"/>
              <w:jc w:val="both"/>
              <w:rPr/>
            </w:pPr>
            <w:r>
              <w:rPr>
                <w:spacing w:val="14"/>
              </w:rPr>
              <w:t>董事长,总经理及董事,高管亲属存在将持有的利欧股份股 </w:t>
            </w:r>
            <w:r>
              <w:rPr>
                <w:spacing w:val="8"/>
              </w:rPr>
              <w:t>票买入后六个月内卖出， 或者在卖出后六个月内又买入的 </w:t>
            </w:r>
            <w:r>
              <w:rPr>
                <w:spacing w:val="4"/>
              </w:rPr>
              <w:t>行为。</w:t>
            </w:r>
          </w:p>
        </w:tc>
      </w:tr>
      <w:tr>
        <w:trPr>
          <w:trHeight w:val="1091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49" w:line="233" w:lineRule="auto"/>
              <w:rPr/>
            </w:pPr>
            <w:r>
              <w:rPr>
                <w:b/>
                <w:bCs/>
                <w:spacing w:val="4"/>
              </w:rPr>
              <w:t>【行政处罚决定 （拟） 】</w:t>
            </w:r>
            <w:r>
              <w:rPr>
                <w:b/>
                <w:bCs/>
                <w:spacing w:val="-35"/>
              </w:rPr>
              <w:t xml:space="preserve"> </w:t>
            </w:r>
            <w:r>
              <w:rPr>
                <w:spacing w:val="4"/>
              </w:rPr>
              <w:t>中国证券监督管理委员会浙江监管局拟决定：</w:t>
            </w:r>
          </w:p>
          <w:p>
            <w:pPr>
              <w:pStyle w:val="TableText"/>
              <w:ind w:left="139"/>
              <w:spacing w:before="30" w:line="229" w:lineRule="auto"/>
              <w:rPr/>
            </w:pPr>
            <w:r>
              <w:rPr>
                <w:spacing w:val="2"/>
              </w:rPr>
              <w:t>（一） 对董事长,总经理王某荣给予警告， 并处以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2"/>
              </w:rPr>
              <w:t>10 万元的罚款。</w:t>
            </w:r>
          </w:p>
          <w:p>
            <w:pPr>
              <w:pStyle w:val="TableText"/>
              <w:ind w:left="139"/>
              <w:spacing w:before="32" w:line="215" w:lineRule="auto"/>
              <w:rPr/>
            </w:pPr>
            <w:r>
              <w:rPr>
                <w:spacing w:val="2"/>
              </w:rPr>
              <w:t>（二） 对董事,高管王某利给予警告， 并处以 10 万元的罚款。</w:t>
            </w:r>
          </w:p>
        </w:tc>
      </w:tr>
    </w:tbl>
    <w:p>
      <w:pPr>
        <w:spacing w:before="311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1"/>
        </w:rPr>
        <w:t>（3） 行政监管措施</w:t>
      </w:r>
    </w:p>
    <w:p>
      <w:pPr>
        <w:spacing w:line="192" w:lineRule="exact"/>
        <w:rPr/>
      </w:pPr>
      <w:r/>
    </w:p>
    <w:tbl>
      <w:tblPr>
        <w:tblStyle w:val="TableNormal"/>
        <w:tblW w:w="8053" w:type="dxa"/>
        <w:tblInd w:w="144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7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1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4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0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441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42"/>
              <w:spacing w:before="135" w:line="179" w:lineRule="auto"/>
              <w:rPr/>
            </w:pPr>
            <w:r>
              <w:rPr>
                <w:spacing w:val="3"/>
              </w:rPr>
              <w:t>300133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44"/>
              <w:spacing w:before="122" w:line="189" w:lineRule="auto"/>
              <w:rPr/>
            </w:pPr>
            <w:r>
              <w:rPr>
                <w:spacing w:val="8"/>
              </w:rPr>
              <w:t>华策影视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1"/>
              <w:spacing w:before="158" w:line="189" w:lineRule="auto"/>
              <w:rPr/>
            </w:pPr>
            <w:r>
              <w:rPr>
                <w:spacing w:val="8"/>
              </w:rPr>
              <w:t>董事配偶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  <w:tr>
        <w:trPr>
          <w:trHeight w:val="72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03" w:firstLine="16"/>
              <w:spacing w:before="40" w:line="235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中国证券监督管理委员会浙江监管局决定对董事夏某才采取监管谈</w:t>
            </w:r>
            <w:r>
              <w:rPr/>
              <w:t xml:space="preserve"> </w:t>
            </w:r>
            <w:r>
              <w:rPr>
                <w:spacing w:val="6"/>
              </w:rPr>
              <w:t>话的监督管理措施， 并记入证券期货市场诚信档案。</w:t>
            </w:r>
          </w:p>
        </w:tc>
      </w:tr>
      <w:tr>
        <w:trPr>
          <w:trHeight w:val="36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2"/>
              <w:spacing w:before="98" w:line="179" w:lineRule="auto"/>
              <w:rPr/>
            </w:pPr>
            <w:r>
              <w:rPr>
                <w:spacing w:val="3"/>
              </w:rPr>
              <w:t>300181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1"/>
              <w:spacing w:before="86" w:line="187" w:lineRule="auto"/>
              <w:rPr/>
            </w:pPr>
            <w:r>
              <w:rPr>
                <w:spacing w:val="9"/>
              </w:rPr>
              <w:t>佐力药业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2"/>
              <w:spacing w:before="85" w:line="188" w:lineRule="auto"/>
              <w:rPr/>
            </w:pPr>
            <w:r>
              <w:rPr>
                <w:spacing w:val="8"/>
              </w:rPr>
              <w:t>副总经理配偶短线交易。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44" w:line="234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局决定对副总经理马某华采取监</w:t>
            </w:r>
            <w:r>
              <w:rPr/>
              <w:t xml:space="preserve"> </w:t>
            </w:r>
            <w:r>
              <w:rPr>
                <w:spacing w:val="6"/>
              </w:rPr>
              <w:t>管谈话的监督管理措施， 并记入证券期货市场诚信档案。</w:t>
            </w:r>
          </w:p>
        </w:tc>
      </w:tr>
      <w:tr>
        <w:trPr>
          <w:trHeight w:val="108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8" w:lineRule="auto"/>
              <w:rPr/>
            </w:pPr>
            <w:r>
              <w:rPr>
                <w:spacing w:val="3"/>
              </w:rPr>
              <w:t>000558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86" w:line="189" w:lineRule="auto"/>
              <w:rPr/>
            </w:pPr>
            <w:r>
              <w:rPr>
                <w:spacing w:val="8"/>
              </w:rPr>
              <w:t>莱茵体育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9" w:line="229" w:lineRule="auto"/>
              <w:jc w:val="both"/>
              <w:rPr/>
            </w:pPr>
            <w:r>
              <w:rPr>
                <w:spacing w:val="11"/>
              </w:rPr>
              <w:t>莱茵达控股集团有限公司未主动向莱茵体育支付业绩补偿</w:t>
            </w:r>
            <w:r>
              <w:rPr/>
              <w:t xml:space="preserve"> </w:t>
            </w:r>
            <w:r>
              <w:rPr>
                <w:spacing w:val="16"/>
              </w:rPr>
              <w:t>款项， 违反了莱茵达控股集团有限公司在《股份转让协</w:t>
            </w:r>
            <w:r>
              <w:rPr>
                <w:spacing w:val="17"/>
              </w:rPr>
              <w:t xml:space="preserve"> </w:t>
            </w:r>
            <w:r>
              <w:rPr>
                <w:spacing w:val="5"/>
              </w:rPr>
              <w:t>议》</w:t>
            </w:r>
            <w:r>
              <w:rPr>
                <w:spacing w:val="-24"/>
              </w:rPr>
              <w:t xml:space="preserve"> </w:t>
            </w:r>
            <w:r>
              <w:rPr>
                <w:spacing w:val="5"/>
              </w:rPr>
              <w:t>中所作出的</w:t>
            </w:r>
            <w:r>
              <w:rPr>
                <w:b/>
                <w:bCs/>
                <w:spacing w:val="5"/>
              </w:rPr>
              <w:t>承诺。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66" w:firstLine="14"/>
              <w:spacing w:before="47" w:line="233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中国证券监督管理委员会四川监管</w:t>
            </w:r>
            <w:r>
              <w:rPr>
                <w:spacing w:val="8"/>
              </w:rPr>
              <w:t>局决定对莱茵达控股集团有限公</w:t>
            </w:r>
            <w:r>
              <w:rPr/>
              <w:t xml:space="preserve"> </w:t>
            </w:r>
            <w:r>
              <w:rPr>
                <w:spacing w:val="7"/>
              </w:rPr>
              <w:t>司采取出具警示函的监督管理措施， 并记入证券期货市场诚信档案。</w:t>
            </w:r>
          </w:p>
        </w:tc>
      </w:tr>
      <w:tr>
        <w:trPr>
          <w:trHeight w:val="730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287" w:line="178" w:lineRule="auto"/>
              <w:rPr/>
            </w:pPr>
            <w:r>
              <w:rPr>
                <w:spacing w:val="3"/>
              </w:rPr>
              <w:t>002736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55"/>
              <w:spacing w:before="273" w:line="189" w:lineRule="auto"/>
              <w:rPr/>
            </w:pPr>
            <w:r>
              <w:rPr>
                <w:spacing w:val="5"/>
              </w:rPr>
              <w:t>国信证券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2" w:right="103" w:firstLine="9"/>
              <w:spacing w:before="90" w:line="220" w:lineRule="auto"/>
              <w:rPr/>
            </w:pPr>
            <w:r>
              <w:rPr>
                <w:spacing w:val="10"/>
              </w:rPr>
              <w:t>国信证券股份有限公司作为广东奥普特科技股份有限公司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首发上市保荐机构， 在持续督导过程中存在</w:t>
            </w:r>
            <w:r>
              <w:rPr>
                <w:b/>
                <w:bCs/>
                <w:spacing w:val="6"/>
              </w:rPr>
              <w:t>违规情形</w:t>
            </w:r>
            <w:r>
              <w:rPr>
                <w:spacing w:val="6"/>
              </w:rPr>
              <w:t>。</w:t>
            </w:r>
          </w:p>
        </w:tc>
      </w:tr>
    </w:tbl>
    <w:p>
      <w:pPr>
        <w:pStyle w:val="BodyText"/>
        <w:spacing w:line="174" w:lineRule="exact"/>
        <w:rPr>
          <w:sz w:val="15"/>
        </w:rPr>
      </w:pPr>
      <w:r/>
    </w:p>
    <w:p>
      <w:pPr>
        <w:spacing w:line="174" w:lineRule="exact"/>
        <w:sectPr>
          <w:footerReference w:type="default" r:id="rId9"/>
          <w:pgSz w:w="11910" w:h="16840"/>
          <w:pgMar w:top="400" w:right="1786" w:bottom="1" w:left="478" w:header="0" w:footer="0" w:gutter="0"/>
        </w:sectPr>
        <w:rPr>
          <w:sz w:val="15"/>
          <w:szCs w:val="15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743" w:hRule="atLeast"/>
        </w:trPr>
        <w:tc>
          <w:tcPr>
            <w:tcW w:w="8053" w:type="dxa"/>
            <w:vAlign w:val="top"/>
            <w:gridSpan w:val="3"/>
            <w:tcBorders>
              <w:top w:val="single" w:color="FFFFFF" w:sz="2" w:space="0"/>
            </w:tcBorders>
          </w:tcPr>
          <w:p>
            <w:pPr>
              <w:pStyle w:val="TableText"/>
              <w:ind w:left="105" w:right="166" w:firstLine="17"/>
              <w:spacing w:before="58" w:line="236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中国证券监督管理委员会广东监管</w:t>
            </w:r>
            <w:r>
              <w:rPr>
                <w:spacing w:val="8"/>
              </w:rPr>
              <w:t>局决定对国信证券股份有限公司</w:t>
            </w:r>
            <w:r>
              <w:rPr/>
              <w:t xml:space="preserve"> </w:t>
            </w:r>
            <w:r>
              <w:rPr>
                <w:spacing w:val="8"/>
              </w:rPr>
              <w:t>采取出具警示函的行政监管措施。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2"/>
              <w:spacing w:before="273" w:line="179" w:lineRule="auto"/>
              <w:rPr/>
            </w:pPr>
            <w:r>
              <w:rPr>
                <w:spacing w:val="3"/>
              </w:rPr>
              <w:t>300412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2"/>
              <w:spacing w:before="262" w:line="188" w:lineRule="auto"/>
              <w:rPr/>
            </w:pPr>
            <w:r>
              <w:rPr>
                <w:spacing w:val="8"/>
              </w:rPr>
              <w:t>迦南科技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3"/>
              <w:spacing w:before="83" w:line="221" w:lineRule="auto"/>
              <w:rPr/>
            </w:pPr>
            <w:r>
              <w:rPr>
                <w:spacing w:val="11"/>
              </w:rPr>
              <w:t>公司控股子公司南京比逊医药科技有限公司将部分募集资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金</w:t>
            </w:r>
            <w:r>
              <w:rPr>
                <w:b/>
                <w:bCs/>
                <w:spacing w:val="9"/>
              </w:rPr>
              <w:t>用于支付非募集资金支出</w:t>
            </w:r>
            <w:r>
              <w:rPr>
                <w:spacing w:val="9"/>
              </w:rPr>
              <w:t>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15" w:firstLine="17"/>
              <w:spacing w:before="40" w:line="241" w:lineRule="auto"/>
              <w:jc w:val="both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局决定对浙江迦南科技股份有限</w:t>
            </w:r>
            <w:r>
              <w:rPr/>
              <w:t xml:space="preserve">  </w:t>
            </w:r>
            <w:r>
              <w:rPr>
                <w:spacing w:val="10"/>
              </w:rPr>
              <w:t>公司、董事长,总经理方某、董事会秘书晁某、财务总监</w:t>
            </w:r>
            <w:r>
              <w:rPr>
                <w:spacing w:val="9"/>
              </w:rPr>
              <w:t>徐某智分别采取出具警示函的</w:t>
            </w:r>
            <w:r>
              <w:rPr/>
              <w:t xml:space="preserve"> </w:t>
            </w:r>
            <w:r>
              <w:rPr>
                <w:spacing w:val="6"/>
              </w:rPr>
              <w:t>监督管理措施， 并记入证券期货市场诚信档案。</w:t>
            </w:r>
          </w:p>
        </w:tc>
      </w:tr>
      <w:tr>
        <w:trPr>
          <w:trHeight w:val="223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5" w:line="178" w:lineRule="auto"/>
              <w:rPr/>
            </w:pPr>
            <w:r>
              <w:rPr>
                <w:spacing w:val="3"/>
              </w:rPr>
              <w:t>600678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9"/>
              <w:spacing w:before="86" w:line="188" w:lineRule="auto"/>
              <w:rPr/>
            </w:pPr>
            <w:r>
              <w:rPr>
                <w:spacing w:val="4"/>
              </w:rPr>
              <w:t>四川金顶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34"/>
              <w:spacing w:before="113" w:line="246" w:lineRule="auto"/>
              <w:jc w:val="both"/>
              <w:rPr/>
            </w:pPr>
            <w:r>
              <w:rPr>
                <w:spacing w:val="4"/>
              </w:rPr>
              <w:t>洛阳均盈私募股权投资基金合伙企业 （有限合伙） 、洛阳</w:t>
            </w:r>
            <w:r>
              <w:rPr>
                <w:spacing w:val="18"/>
              </w:rPr>
              <w:t xml:space="preserve"> </w:t>
            </w:r>
            <w:r>
              <w:rPr>
                <w:spacing w:val="7"/>
              </w:rPr>
              <w:t>国苑投资控股集团有限公司在上市公司收购过程中， 作为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相关信息的披露义务人， 对洛阳均盈私募股权投资基金合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伙企业 （有限合伙） 、洛阳国苑投资控股集团有限公司及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7"/>
              </w:rPr>
              <w:t>上市公司的实际控制人认定不严谨， </w:t>
            </w:r>
            <w:r>
              <w:rPr>
                <w:b/>
                <w:bCs/>
                <w:spacing w:val="7"/>
              </w:rPr>
              <w:t>在收购报告书中对实</w:t>
            </w:r>
            <w:r>
              <w:rPr>
                <w:b/>
                <w:bCs/>
                <w:spacing w:val="4"/>
              </w:rPr>
              <w:t xml:space="preserve"> </w:t>
            </w:r>
            <w:r>
              <w:rPr>
                <w:b/>
                <w:bCs/>
                <w:spacing w:val="8"/>
              </w:rPr>
              <w:t>际控制人的信息披露不准确。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44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中国证券监督管理委员会四川监管局决定对洛阳均盈私募股权投资</w:t>
            </w:r>
            <w:r>
              <w:rPr/>
              <w:t xml:space="preserve"> </w:t>
            </w:r>
            <w:r>
              <w:rPr>
                <w:spacing w:val="8"/>
              </w:rPr>
              <w:t>基金合伙企业 （有限合伙） 、洛阳国苑投资控股集团有限公司采取出具警示</w:t>
            </w:r>
            <w:r>
              <w:rPr>
                <w:spacing w:val="7"/>
              </w:rPr>
              <w:t>函的行政</w:t>
            </w:r>
            <w:r>
              <w:rPr/>
              <w:t xml:space="preserve"> </w:t>
            </w:r>
            <w:r>
              <w:rPr>
                <w:spacing w:val="5"/>
              </w:rPr>
              <w:t>监管措施， 并记入证券期货市场诚信档案。</w:t>
            </w:r>
          </w:p>
        </w:tc>
      </w:tr>
      <w:tr>
        <w:trPr>
          <w:trHeight w:val="108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300027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4"/>
              <w:spacing w:before="86" w:line="190" w:lineRule="auto"/>
              <w:rPr/>
            </w:pPr>
            <w:r>
              <w:rPr>
                <w:spacing w:val="8"/>
              </w:rPr>
              <w:t>华谊兄弟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1" w:right="103"/>
              <w:spacing w:before="43"/>
              <w:jc w:val="both"/>
              <w:rPr/>
            </w:pPr>
            <w:r>
              <w:rPr>
                <w:spacing w:val="11"/>
              </w:rPr>
              <w:t>华谊兄弟传媒股份有限公司董事长于公司披露</w:t>
            </w:r>
            <w:r>
              <w:rPr>
                <w:b/>
                <w:bCs/>
                <w:spacing w:val="11"/>
              </w:rPr>
              <w:t>《</w:t>
            </w:r>
            <w:r>
              <w:rPr>
                <w:b/>
                <w:bCs/>
                <w:spacing w:val="-35"/>
              </w:rPr>
              <w:t xml:space="preserve"> </w:t>
            </w:r>
            <w:r>
              <w:rPr>
                <w:b/>
                <w:bCs/>
                <w:spacing w:val="11"/>
              </w:rPr>
              <w:t>2023 年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10"/>
              </w:rPr>
              <w:t>半年度报告》</w:t>
            </w:r>
            <w:r>
              <w:rPr>
                <w:b/>
                <w:bCs/>
                <w:spacing w:val="-25"/>
              </w:rPr>
              <w:t xml:space="preserve"> </w:t>
            </w:r>
            <w:r>
              <w:rPr>
                <w:b/>
                <w:bCs/>
                <w:spacing w:val="10"/>
              </w:rPr>
              <w:t>前三十日内</w:t>
            </w:r>
            <w:r>
              <w:rPr>
                <w:spacing w:val="10"/>
              </w:rPr>
              <w:t>卖出公司股票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10"/>
              </w:rPr>
              <w:t>328,700 股， 成</w:t>
            </w:r>
            <w:r>
              <w:rPr/>
              <w:t xml:space="preserve"> </w:t>
            </w:r>
            <w:r>
              <w:rPr>
                <w:spacing w:val="4"/>
              </w:rPr>
              <w:t>交金额 999,248 元。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66" w:firstLine="14"/>
              <w:spacing w:before="45" w:line="234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局决定对董事长王某军采取出具</w:t>
            </w:r>
            <w:r>
              <w:rPr/>
              <w:t xml:space="preserve"> </w:t>
            </w:r>
            <w:r>
              <w:rPr>
                <w:spacing w:val="6"/>
              </w:rPr>
              <w:t>警示函的监督管理措施， 并记入证券期货市场诚信档案。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9" w:lineRule="auto"/>
              <w:rPr/>
            </w:pPr>
            <w:r>
              <w:rPr>
                <w:spacing w:val="3"/>
              </w:rPr>
              <w:t>601881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7"/>
              <w:spacing w:before="85" w:line="189" w:lineRule="auto"/>
              <w:rPr/>
            </w:pPr>
            <w:r>
              <w:rPr>
                <w:spacing w:val="5"/>
              </w:rPr>
              <w:t>中国银河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14"/>
              <w:spacing w:before="88" w:line="235" w:lineRule="auto"/>
              <w:jc w:val="both"/>
              <w:rPr/>
            </w:pPr>
            <w:r>
              <w:rPr>
                <w:spacing w:val="12"/>
              </w:rPr>
              <w:t>中</w:t>
            </w:r>
            <w:r>
              <w:rPr>
                <w:spacing w:val="-17"/>
              </w:rPr>
              <w:t xml:space="preserve"> </w:t>
            </w:r>
            <w:r>
              <w:rPr>
                <w:spacing w:val="12"/>
              </w:rPr>
              <w:t>国证</w:t>
            </w:r>
            <w:r>
              <w:rPr>
                <w:spacing w:val="-30"/>
              </w:rPr>
              <w:t xml:space="preserve"> </w:t>
            </w:r>
            <w:r>
              <w:rPr>
                <w:spacing w:val="12"/>
              </w:rPr>
              <w:t>券监</w:t>
            </w:r>
            <w:r>
              <w:rPr>
                <w:spacing w:val="-31"/>
              </w:rPr>
              <w:t xml:space="preserve"> </w:t>
            </w:r>
            <w:r>
              <w:rPr>
                <w:spacing w:val="12"/>
              </w:rPr>
              <w:t>督管</w:t>
            </w:r>
            <w:r>
              <w:rPr>
                <w:spacing w:val="-32"/>
              </w:rPr>
              <w:t xml:space="preserve"> </w:t>
            </w:r>
            <w:r>
              <w:rPr>
                <w:spacing w:val="12"/>
              </w:rPr>
              <w:t>理委</w:t>
            </w:r>
            <w:r>
              <w:rPr>
                <w:spacing w:val="-28"/>
              </w:rPr>
              <w:t xml:space="preserve"> </w:t>
            </w:r>
            <w:r>
              <w:rPr>
                <w:spacing w:val="12"/>
              </w:rPr>
              <w:t>员</w:t>
            </w:r>
            <w:r>
              <w:rPr>
                <w:spacing w:val="-31"/>
              </w:rPr>
              <w:t xml:space="preserve"> </w:t>
            </w:r>
            <w:r>
              <w:rPr>
                <w:spacing w:val="12"/>
              </w:rPr>
              <w:t>会江</w:t>
            </w:r>
            <w:r>
              <w:rPr>
                <w:spacing w:val="-31"/>
              </w:rPr>
              <w:t xml:space="preserve"> </w:t>
            </w:r>
            <w:r>
              <w:rPr>
                <w:spacing w:val="12"/>
              </w:rPr>
              <w:t>苏监</w:t>
            </w:r>
            <w:r>
              <w:rPr>
                <w:spacing w:val="-29"/>
              </w:rPr>
              <w:t xml:space="preserve"> </w:t>
            </w:r>
            <w:r>
              <w:rPr>
                <w:spacing w:val="12"/>
              </w:rPr>
              <w:t>管局</w:t>
            </w:r>
            <w:r>
              <w:rPr>
                <w:spacing w:val="-31"/>
              </w:rPr>
              <w:t xml:space="preserve"> </w:t>
            </w:r>
            <w:r>
              <w:rPr>
                <w:spacing w:val="12"/>
              </w:rPr>
              <w:t>发</w:t>
            </w:r>
            <w:r>
              <w:rPr>
                <w:spacing w:val="-30"/>
              </w:rPr>
              <w:t xml:space="preserve"> </w:t>
            </w:r>
            <w:r>
              <w:rPr>
                <w:spacing w:val="12"/>
              </w:rPr>
              <w:t>现</w:t>
            </w:r>
            <w:r>
              <w:rPr>
                <w:spacing w:val="30"/>
              </w:rPr>
              <w:t xml:space="preserve"> </w:t>
            </w:r>
            <w:r>
              <w:rPr>
                <w:spacing w:val="12"/>
              </w:rPr>
              <w:t>2021</w:t>
            </w:r>
            <w:r>
              <w:rPr>
                <w:spacing w:val="24"/>
              </w:rPr>
              <w:t xml:space="preserve"> </w:t>
            </w:r>
            <w:r>
              <w:rPr>
                <w:spacing w:val="12"/>
              </w:rPr>
              <w:t>年</w:t>
            </w:r>
            <w:r>
              <w:rPr>
                <w:spacing w:val="-29"/>
              </w:rPr>
              <w:t xml:space="preserve"> </w:t>
            </w:r>
            <w:r>
              <w:rPr>
                <w:spacing w:val="12"/>
              </w:rPr>
              <w:t>至</w:t>
            </w:r>
            <w:r>
              <w:rPr/>
              <w:t xml:space="preserve"> </w:t>
            </w:r>
            <w:r>
              <w:rPr>
                <w:spacing w:val="13"/>
              </w:rPr>
              <w:t>2023 年间中国银河证券南京燕山路证券营业部部</w:t>
            </w:r>
            <w:r>
              <w:rPr>
                <w:spacing w:val="12"/>
              </w:rPr>
              <w:t>分员工</w:t>
            </w:r>
            <w:r>
              <w:rPr/>
              <w:t xml:space="preserve"> </w:t>
            </w:r>
            <w:r>
              <w:rPr>
                <w:spacing w:val="11"/>
              </w:rPr>
              <w:t>存在委托证券经纪人以外的非证券从业人员招揽客户的行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为。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45" w:line="234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中国证券监督管理委员会江苏监管</w:t>
            </w:r>
            <w:r>
              <w:rPr>
                <w:spacing w:val="8"/>
              </w:rPr>
              <w:t>局决定对从业人员周某杰采取出</w:t>
            </w:r>
            <w:r>
              <w:rPr/>
              <w:t xml:space="preserve"> </w:t>
            </w:r>
            <w:r>
              <w:rPr>
                <w:spacing w:val="9"/>
              </w:rPr>
              <w:t>具警示函的行政监管措施,并记入证券期货市场诚信档案。</w:t>
            </w:r>
          </w:p>
        </w:tc>
      </w:tr>
      <w:tr>
        <w:trPr>
          <w:trHeight w:val="144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9" w:lineRule="auto"/>
              <w:rPr/>
            </w:pPr>
            <w:r>
              <w:rPr>
                <w:spacing w:val="3"/>
              </w:rPr>
              <w:t>601881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7"/>
              <w:spacing w:before="86" w:line="189" w:lineRule="auto"/>
              <w:rPr/>
            </w:pPr>
            <w:r>
              <w:rPr>
                <w:spacing w:val="5"/>
              </w:rPr>
              <w:t>中国银河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3" w:firstLine="15"/>
              <w:spacing w:before="89" w:line="235" w:lineRule="auto"/>
              <w:jc w:val="both"/>
              <w:rPr/>
            </w:pPr>
            <w:r>
              <w:rPr>
                <w:spacing w:val="11"/>
              </w:rPr>
              <w:t>中国证券监督管理委员会江苏监管局发现 2021 至 2023</w:t>
            </w:r>
            <w:r>
              <w:rPr>
                <w:spacing w:val="16"/>
              </w:rPr>
              <w:t xml:space="preserve"> </w:t>
            </w:r>
            <w:r>
              <w:rPr>
                <w:spacing w:val="11"/>
              </w:rPr>
              <w:t>年间中国银河证券股份有限公司南京燕山路证券营业部部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分员工存在委托证券经纪人以外的非证券从业人员招揽客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户的行为。</w:t>
            </w:r>
          </w:p>
        </w:tc>
      </w:tr>
      <w:tr>
        <w:trPr>
          <w:trHeight w:val="108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3" w:right="115" w:firstLine="19"/>
              <w:spacing w:before="47" w:line="239" w:lineRule="auto"/>
              <w:jc w:val="both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中国证券监督管理委员会江苏监管</w:t>
            </w:r>
            <w:r>
              <w:rPr>
                <w:spacing w:val="8"/>
              </w:rPr>
              <w:t>局决定对中国银河证券股份有限</w:t>
            </w:r>
            <w:r>
              <w:rPr/>
              <w:t xml:space="preserve">  </w:t>
            </w:r>
            <w:r>
              <w:rPr>
                <w:spacing w:val="10"/>
              </w:rPr>
              <w:t>公司南京燕山路证券营业部采取出具警示函的行政监管措施,</w:t>
            </w:r>
            <w:r>
              <w:rPr>
                <w:spacing w:val="9"/>
              </w:rPr>
              <w:t>并记入证券期货市场诚信</w:t>
            </w:r>
            <w:r>
              <w:rPr/>
              <w:t xml:space="preserve"> </w:t>
            </w:r>
            <w:r>
              <w:rPr>
                <w:spacing w:val="5"/>
              </w:rPr>
              <w:t>档案。</w:t>
            </w:r>
          </w:p>
        </w:tc>
      </w:tr>
      <w:tr>
        <w:trPr>
          <w:trHeight w:val="36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106" w:line="174" w:lineRule="auto"/>
              <w:rPr/>
            </w:pPr>
            <w:r>
              <w:rPr>
                <w:spacing w:val="3"/>
              </w:rPr>
              <w:t>600261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53"/>
              <w:spacing w:before="94" w:line="182" w:lineRule="auto"/>
              <w:rPr/>
            </w:pPr>
            <w:r>
              <w:rPr>
                <w:spacing w:val="6"/>
              </w:rPr>
              <w:t>阳光照明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/>
              <w:spacing w:before="91" w:line="184" w:lineRule="auto"/>
              <w:rPr/>
            </w:pPr>
            <w:r>
              <w:rPr>
                <w:spacing w:val="8"/>
              </w:rPr>
              <w:t>独立董事配偶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66" w:firstLine="14"/>
              <w:spacing w:before="47" w:line="233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局决定对独立董事薛某采取出具</w:t>
            </w:r>
            <w:r>
              <w:rPr/>
              <w:t xml:space="preserve"> </w:t>
            </w:r>
            <w:r>
              <w:rPr>
                <w:spacing w:val="6"/>
              </w:rPr>
              <w:t>警示函的监督管理措施， 并记入证券期货市场诚信档案。</w:t>
            </w:r>
          </w:p>
        </w:tc>
      </w:tr>
      <w:tr>
        <w:trPr>
          <w:trHeight w:val="1156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300353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89" w:lineRule="auto"/>
              <w:rPr/>
            </w:pPr>
            <w:r>
              <w:rPr>
                <w:spacing w:val="8"/>
              </w:rPr>
              <w:t>东土科技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41"/>
              <w:spacing w:before="125" w:line="238" w:lineRule="auto"/>
              <w:jc w:val="both"/>
              <w:rPr/>
            </w:pPr>
            <w:r>
              <w:rPr>
                <w:spacing w:val="9"/>
              </w:rPr>
              <w:t>信永中和会计师事务所(特殊普通合伙)、会计师执行的北</w:t>
            </w:r>
            <w:r>
              <w:rPr>
                <w:spacing w:val="2"/>
              </w:rPr>
              <w:t xml:space="preserve">  </w:t>
            </w:r>
            <w:r>
              <w:rPr>
                <w:spacing w:val="8"/>
              </w:rPr>
              <w:t>京东土科技股份有限公司 </w:t>
            </w:r>
            <w:r>
              <w:rPr>
                <w:b/>
                <w:bCs/>
                <w:spacing w:val="8"/>
              </w:rPr>
              <w:t>2022 年度财务报表审计项目</w:t>
            </w:r>
            <w:r>
              <w:rPr>
                <w:spacing w:val="8"/>
              </w:rPr>
              <w:t>存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在问题。</w:t>
            </w:r>
          </w:p>
        </w:tc>
      </w:tr>
      <w:tr>
        <w:trPr>
          <w:trHeight w:val="108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03" w:firstLine="16"/>
              <w:spacing w:before="52" w:line="238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中国证券监督管理委员会北京监管局决定对信永中和会计师事务所</w:t>
            </w:r>
            <w:r>
              <w:rPr/>
              <w:t xml:space="preserve"> </w:t>
            </w:r>
            <w:r>
              <w:rPr>
                <w:spacing w:val="11"/>
              </w:rPr>
              <w:t>(特殊普通合伙)、会计师采取出具警示函的行政监管措施,并记入证券期货市场诚信档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案。</w:t>
            </w:r>
          </w:p>
        </w:tc>
      </w:tr>
      <w:tr>
        <w:trPr>
          <w:trHeight w:val="37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111" w:line="176" w:lineRule="auto"/>
              <w:rPr/>
            </w:pPr>
            <w:r>
              <w:rPr>
                <w:spacing w:val="3"/>
              </w:rPr>
              <w:t>603567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46"/>
              <w:spacing w:before="97" w:line="186" w:lineRule="auto"/>
              <w:rPr/>
            </w:pPr>
            <w:r>
              <w:rPr>
                <w:spacing w:val="8"/>
              </w:rPr>
              <w:t>珍宝岛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/>
              <w:spacing w:before="95" w:line="187" w:lineRule="auto"/>
              <w:rPr/>
            </w:pPr>
            <w:r>
              <w:rPr>
                <w:spacing w:val="8"/>
              </w:rPr>
              <w:t>控股股东</w:t>
            </w:r>
            <w:r>
              <w:rPr>
                <w:b/>
                <w:bCs/>
                <w:spacing w:val="8"/>
              </w:rPr>
              <w:t>非经营性占用</w:t>
            </w:r>
            <w:r>
              <w:rPr>
                <w:spacing w:val="8"/>
              </w:rPr>
              <w:t>上市公司资金， 关联交易未按规定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108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4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1"/>
              <w:spacing w:before="101" w:line="190" w:lineRule="auto"/>
              <w:rPr/>
            </w:pPr>
            <w:r>
              <w:rPr>
                <w:spacing w:val="8"/>
              </w:rPr>
              <w:t>履行审议程序和信息披露义务。</w:t>
            </w:r>
          </w:p>
        </w:tc>
      </w:tr>
      <w:tr>
        <w:trPr>
          <w:trHeight w:val="144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66" w:firstLine="17"/>
              <w:spacing w:before="37" w:line="244" w:lineRule="auto"/>
              <w:jc w:val="both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中国证券监督管理委员会黑龙江监</w:t>
            </w:r>
            <w:r>
              <w:rPr>
                <w:spacing w:val="8"/>
              </w:rPr>
              <w:t>管局决定对黑龙江珍宝岛药业股</w:t>
            </w:r>
            <w:r>
              <w:rPr/>
              <w:t xml:space="preserve"> </w:t>
            </w:r>
            <w:r>
              <w:rPr>
                <w:spacing w:val="10"/>
              </w:rPr>
              <w:t>份有限公司、黑龙江创达集团有限公司、董事长方某华、总经理闫某江、</w:t>
            </w:r>
            <w:r>
              <w:rPr>
                <w:spacing w:val="9"/>
              </w:rPr>
              <w:t>财务总监王</w:t>
            </w:r>
            <w:r>
              <w:rPr/>
              <w:t xml:space="preserve"> </w:t>
            </w:r>
            <w:r>
              <w:rPr>
                <w:spacing w:val="8"/>
              </w:rPr>
              <w:t>某、董事会秘书张某方分别采取出具警示函的行政监管措施， 并记入证券期货市场诚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信档案。</w:t>
            </w:r>
          </w:p>
        </w:tc>
      </w:tr>
      <w:tr>
        <w:trPr>
          <w:trHeight w:val="180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9" w:lineRule="auto"/>
              <w:rPr/>
            </w:pPr>
            <w:r>
              <w:rPr>
                <w:spacing w:val="3"/>
              </w:rPr>
              <w:t>603717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85" w:line="189" w:lineRule="auto"/>
              <w:rPr/>
            </w:pPr>
            <w:r>
              <w:rPr>
                <w:spacing w:val="8"/>
              </w:rPr>
              <w:t>天域生态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2"/>
              <w:spacing w:before="84" w:line="239" w:lineRule="auto"/>
              <w:jc w:val="both"/>
              <w:rPr/>
            </w:pPr>
            <w:r>
              <w:rPr>
                <w:spacing w:val="8"/>
              </w:rPr>
              <w:t>丰元股份对聚之源的投资交易并未实现， 不属于实际发生</w:t>
            </w:r>
            <w:r>
              <w:rPr>
                <w:spacing w:val="6"/>
              </w:rPr>
              <w:t xml:space="preserve"> </w:t>
            </w:r>
            <w:r>
              <w:rPr>
                <w:spacing w:val="26"/>
              </w:rPr>
              <w:t>的市场交易信息</w:t>
            </w:r>
            <w:r>
              <w:rPr>
                <w:spacing w:val="-11"/>
              </w:rPr>
              <w:t xml:space="preserve"> </w:t>
            </w:r>
            <w:r>
              <w:rPr>
                <w:spacing w:val="26"/>
              </w:rPr>
              <w:t>。</w:t>
            </w:r>
            <w:r>
              <w:rPr>
                <w:spacing w:val="-29"/>
              </w:rPr>
              <w:t xml:space="preserve"> </w:t>
            </w:r>
            <w:r>
              <w:rPr>
                <w:spacing w:val="26"/>
              </w:rPr>
              <w:t>天域生态环境股份有限公司将前述</w:t>
            </w:r>
            <w:r>
              <w:rPr/>
              <w:t xml:space="preserve"> </w:t>
            </w:r>
            <w:r>
              <w:rPr>
                <w:spacing w:val="14"/>
              </w:rPr>
              <w:t>52,870 万元估值结果作为计算聚之</w:t>
            </w:r>
            <w:r>
              <w:rPr>
                <w:spacing w:val="13"/>
              </w:rPr>
              <w:t>源长期股权投资公允</w:t>
            </w:r>
            <w:r>
              <w:rPr/>
              <w:t xml:space="preserve"> </w:t>
            </w:r>
            <w:r>
              <w:rPr>
                <w:spacing w:val="6"/>
              </w:rPr>
              <w:t>价值的依据， 不符合企业会计准则要求， 导致</w:t>
            </w:r>
            <w:r>
              <w:rPr>
                <w:b/>
                <w:bCs/>
                <w:spacing w:val="6"/>
              </w:rPr>
              <w:t>减</w:t>
            </w:r>
            <w:r>
              <w:rPr>
                <w:b/>
                <w:bCs/>
                <w:spacing w:val="5"/>
              </w:rPr>
              <w:t>值准备计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提不充分。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66" w:firstLine="17"/>
              <w:spacing w:before="40" w:line="236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中国证券监督管理委员会重庆监管</w:t>
            </w:r>
            <w:r>
              <w:rPr>
                <w:spacing w:val="8"/>
              </w:rPr>
              <w:t>局决定对天域生态环境股份有限</w:t>
            </w:r>
            <w:r>
              <w:rPr/>
              <w:t xml:space="preserve"> </w:t>
            </w:r>
            <w:r>
              <w:rPr>
                <w:spacing w:val="9"/>
              </w:rPr>
              <w:t>公司采取责令改正的行政监管措施。</w:t>
            </w:r>
          </w:p>
        </w:tc>
      </w:tr>
      <w:tr>
        <w:trPr>
          <w:trHeight w:val="252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8" w:lineRule="auto"/>
              <w:rPr/>
            </w:pPr>
            <w:r>
              <w:rPr>
                <w:spacing w:val="3"/>
              </w:rPr>
              <w:t>002945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4"/>
              <w:spacing w:before="86" w:line="189" w:lineRule="auto"/>
              <w:rPr/>
            </w:pPr>
            <w:r>
              <w:rPr>
                <w:spacing w:val="8"/>
              </w:rPr>
              <w:t>华林证券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3"/>
              <w:spacing w:before="89" w:line="242" w:lineRule="auto"/>
              <w:rPr/>
            </w:pPr>
            <w:r>
              <w:rPr>
                <w:spacing w:val="11"/>
              </w:rPr>
              <w:t>公司</w:t>
            </w:r>
            <w:r>
              <w:rPr>
                <w:b/>
                <w:bCs/>
                <w:spacing w:val="11"/>
              </w:rPr>
              <w:t>业绩预告</w:t>
            </w:r>
            <w:r>
              <w:rPr>
                <w:spacing w:val="11"/>
              </w:rPr>
              <w:t>中未考虑红博会展仲裁案存在的风险迹象、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未准确计提业务及管理费， 导致 2023 年年报业绩预</w:t>
            </w:r>
            <w:r>
              <w:rPr>
                <w:spacing w:val="7"/>
              </w:rPr>
              <w:t>告归</w:t>
            </w:r>
            <w:r>
              <w:rPr/>
              <w:t xml:space="preserve"> </w:t>
            </w:r>
            <w:r>
              <w:rPr>
                <w:spacing w:val="8"/>
              </w:rPr>
              <w:t>母净利润</w:t>
            </w:r>
            <w:r>
              <w:rPr>
                <w:spacing w:val="20"/>
              </w:rPr>
              <w:t xml:space="preserve"> </w:t>
            </w:r>
            <w:r>
              <w:rPr>
                <w:spacing w:val="8"/>
              </w:rPr>
              <w:t>1.72 亿元——2.18 亿元与 2023 </w:t>
            </w:r>
            <w:r>
              <w:rPr>
                <w:spacing w:val="7"/>
              </w:rPr>
              <w:t>年业绩预告修</w:t>
            </w:r>
            <w:r>
              <w:rPr/>
              <w:t xml:space="preserve"> </w:t>
            </w:r>
            <w:r>
              <w:rPr>
                <w:spacing w:val="9"/>
              </w:rPr>
              <w:t>正公告中归母净利润 0.25 亿元——</w:t>
            </w:r>
            <w:r>
              <w:rPr>
                <w:spacing w:val="8"/>
              </w:rPr>
              <w:t>0.37 亿元存在较大差</w:t>
            </w:r>
            <w:r>
              <w:rPr/>
              <w:t xml:space="preserve"> </w:t>
            </w:r>
            <w:r>
              <w:rPr>
                <w:spacing w:val="6"/>
              </w:rPr>
              <w:t>异； 公司在 2024 年 2 月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6"/>
              </w:rPr>
              <w:t>18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6"/>
              </w:rPr>
              <w:t>日收到上海国际经济贸易</w:t>
            </w:r>
            <w:r>
              <w:rPr>
                <w:b/>
                <w:bCs/>
                <w:spacing w:val="6"/>
              </w:rPr>
              <w:t>仲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5"/>
              </w:rPr>
              <w:t>裁委员会《裁决书》</w:t>
            </w:r>
            <w:r>
              <w:rPr>
                <w:b/>
                <w:bCs/>
                <w:spacing w:val="-18"/>
              </w:rPr>
              <w:t xml:space="preserve"> </w:t>
            </w:r>
            <w:r>
              <w:rPr>
                <w:spacing w:val="5"/>
              </w:rPr>
              <w:t>后， 迟至 2024 年 2 月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27</w:t>
            </w:r>
            <w:r>
              <w:rPr>
                <w:spacing w:val="30"/>
              </w:rPr>
              <w:t xml:space="preserve"> </w:t>
            </w:r>
            <w:r>
              <w:rPr>
                <w:spacing w:val="5"/>
              </w:rPr>
              <w:t>日才进行</w:t>
            </w:r>
            <w:r>
              <w:rPr/>
              <w:t xml:space="preserve"> </w:t>
            </w:r>
            <w:r>
              <w:rPr>
                <w:spacing w:val="5"/>
              </w:rPr>
              <w:t>披露。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44"/>
              <w:jc w:val="both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中国证券监督管理委员会西藏监管</w:t>
            </w:r>
            <w:r>
              <w:rPr>
                <w:spacing w:val="8"/>
              </w:rPr>
              <w:t>局决定对华林证券股份有限公司</w:t>
            </w:r>
            <w:r>
              <w:rPr/>
              <w:t xml:space="preserve"> </w:t>
            </w:r>
            <w:r>
              <w:rPr>
                <w:spacing w:val="9"/>
              </w:rPr>
              <w:t>、董事长,董事长林某、财务总监,总经理朱某、董事会秘书,董事会秘书谢某明采取出</w:t>
            </w:r>
            <w:r>
              <w:rPr>
                <w:spacing w:val="4"/>
              </w:rPr>
              <w:t xml:space="preserve">  </w:t>
            </w:r>
            <w:r>
              <w:rPr>
                <w:spacing w:val="7"/>
              </w:rPr>
              <w:t>具警示函的监督管理措施， 并将相关情况记入证券期货市场诚信档案。</w:t>
            </w:r>
          </w:p>
        </w:tc>
      </w:tr>
      <w:tr>
        <w:trPr>
          <w:trHeight w:val="216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8" w:lineRule="auto"/>
              <w:rPr/>
            </w:pPr>
            <w:r>
              <w:rPr>
                <w:spacing w:val="3"/>
              </w:rPr>
              <w:t>002736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5"/>
              <w:spacing w:before="86" w:line="189" w:lineRule="auto"/>
              <w:rPr/>
            </w:pPr>
            <w:r>
              <w:rPr>
                <w:spacing w:val="5"/>
              </w:rPr>
              <w:t>国信证券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12"/>
              <w:spacing w:before="84" w:line="241" w:lineRule="auto"/>
              <w:rPr/>
            </w:pPr>
            <w:r>
              <w:rPr>
                <w:spacing w:val="10"/>
              </w:rPr>
              <w:t>国信证券股份有限公司、从业人员保荐的利尔达科技集团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股份有限公司于 2023 年 2 月</w:t>
            </w:r>
            <w:r>
              <w:rPr>
                <w:spacing w:val="23"/>
              </w:rPr>
              <w:t xml:space="preserve"> </w:t>
            </w:r>
            <w:r>
              <w:rPr>
                <w:spacing w:val="6"/>
              </w:rPr>
              <w:t>17</w:t>
            </w:r>
            <w:r>
              <w:rPr>
                <w:spacing w:val="32"/>
                <w:w w:val="101"/>
              </w:rPr>
              <w:t xml:space="preserve"> </w:t>
            </w:r>
            <w:r>
              <w:rPr>
                <w:spacing w:val="6"/>
              </w:rPr>
              <w:t>日在北交所上市， 根据</w:t>
            </w:r>
            <w:r>
              <w:rPr/>
              <w:t xml:space="preserve"> </w:t>
            </w:r>
            <w:r>
              <w:rPr>
                <w:spacing w:val="1"/>
              </w:rPr>
              <w:t>利</w:t>
            </w:r>
            <w:r>
              <w:rPr>
                <w:spacing w:val="-6"/>
              </w:rPr>
              <w:t xml:space="preserve"> </w:t>
            </w:r>
            <w:r>
              <w:rPr>
                <w:spacing w:val="1"/>
              </w:rPr>
              <w:t>尔</w:t>
            </w:r>
            <w:r>
              <w:rPr>
                <w:spacing w:val="-20"/>
              </w:rPr>
              <w:t xml:space="preserve"> </w:t>
            </w:r>
            <w:r>
              <w:rPr>
                <w:spacing w:val="1"/>
              </w:rPr>
              <w:t>达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2024</w:t>
            </w:r>
            <w:r>
              <w:rPr>
                <w:spacing w:val="36"/>
              </w:rPr>
              <w:t xml:space="preserve"> </w:t>
            </w:r>
            <w:r>
              <w:rPr>
                <w:spacing w:val="1"/>
              </w:rPr>
              <w:t>年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spacing w:val="1"/>
              </w:rPr>
              <w:t>4</w:t>
            </w:r>
            <w:r>
              <w:rPr>
                <w:spacing w:val="37"/>
              </w:rPr>
              <w:t xml:space="preserve"> </w:t>
            </w:r>
            <w:r>
              <w:rPr>
                <w:spacing w:val="1"/>
              </w:rPr>
              <w:t>月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26  日</w:t>
            </w:r>
            <w:r>
              <w:rPr>
                <w:spacing w:val="-19"/>
              </w:rPr>
              <w:t xml:space="preserve"> </w:t>
            </w:r>
            <w:r>
              <w:rPr>
                <w:spacing w:val="1"/>
              </w:rPr>
              <w:t>披</w:t>
            </w:r>
            <w:r>
              <w:rPr>
                <w:spacing w:val="-20"/>
              </w:rPr>
              <w:t xml:space="preserve"> </w:t>
            </w:r>
            <w:r>
              <w:rPr>
                <w:spacing w:val="1"/>
              </w:rPr>
              <w:t>露 的</w:t>
            </w:r>
            <w:r>
              <w:rPr>
                <w:spacing w:val="-17"/>
              </w:rPr>
              <w:t xml:space="preserve"> </w:t>
            </w:r>
            <w:r>
              <w:rPr>
                <w:spacing w:val="1"/>
              </w:rPr>
              <w:t>《 2023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1"/>
              </w:rPr>
              <w:t>年</w:t>
            </w:r>
            <w:r>
              <w:rPr>
                <w:spacing w:val="-17"/>
              </w:rPr>
              <w:t xml:space="preserve"> </w:t>
            </w:r>
            <w:r>
              <w:rPr>
                <w:spacing w:val="1"/>
              </w:rPr>
              <w:t>年</w:t>
            </w:r>
            <w:r>
              <w:rPr>
                <w:spacing w:val="-22"/>
              </w:rPr>
              <w:t xml:space="preserve"> </w:t>
            </w:r>
            <w:r>
              <w:rPr>
                <w:spacing w:val="1"/>
              </w:rPr>
              <w:t>度</w:t>
            </w:r>
            <w:r>
              <w:rPr>
                <w:spacing w:val="-18"/>
              </w:rPr>
              <w:t xml:space="preserve"> </w:t>
            </w:r>
            <w:r>
              <w:rPr>
                <w:spacing w:val="1"/>
              </w:rPr>
              <w:t>报</w:t>
            </w:r>
            <w:r>
              <w:rPr/>
              <w:t xml:space="preserve"> </w:t>
            </w:r>
            <w:r>
              <w:rPr>
                <w:spacing w:val="8"/>
              </w:rPr>
              <w:t>告》， 利尔达 2023 年归属于上市公司股东的</w:t>
            </w:r>
            <w:r>
              <w:rPr>
                <w:spacing w:val="7"/>
              </w:rPr>
              <w:t>扣除非经常</w:t>
            </w:r>
            <w:r>
              <w:rPr/>
              <w:t xml:space="preserve"> </w:t>
            </w:r>
            <w:r>
              <w:rPr>
                <w:spacing w:val="7"/>
              </w:rPr>
              <w:t>性损益后的净利润为-1,831.71 万元， </w:t>
            </w:r>
            <w:r>
              <w:rPr>
                <w:b/>
                <w:bCs/>
                <w:spacing w:val="7"/>
              </w:rPr>
              <w:t>上市当年即亏损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spacing w:val="7"/>
              </w:rPr>
              <w:t>，</w:t>
            </w:r>
            <w:r>
              <w:rPr/>
              <w:t xml:space="preserve"> </w:t>
            </w:r>
            <w:r>
              <w:rPr>
                <w:spacing w:val="9"/>
              </w:rPr>
              <w:t>且该项目选取的上市标准含净利润标准。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5" w:right="166" w:firstLine="7"/>
              <w:spacing w:before="48" w:line="233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局决定对国信证券股份有限公司</w:t>
            </w:r>
            <w:r>
              <w:rPr/>
              <w:t xml:space="preserve"> </w:t>
            </w:r>
            <w:r>
              <w:rPr>
                <w:spacing w:val="7"/>
              </w:rPr>
              <w:t>、从业人员分别采取出具警示函的监督管理措施， 并记入证券期货市场诚信档案。</w:t>
            </w:r>
          </w:p>
        </w:tc>
      </w:tr>
      <w:tr>
        <w:trPr>
          <w:trHeight w:val="115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86" w:line="179" w:lineRule="auto"/>
              <w:rPr/>
            </w:pPr>
            <w:r>
              <w:rPr>
                <w:spacing w:val="3"/>
              </w:rPr>
              <w:t>832149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86" w:line="188" w:lineRule="auto"/>
              <w:rPr/>
            </w:pPr>
            <w:r>
              <w:rPr>
                <w:spacing w:val="8"/>
              </w:rPr>
              <w:t>利尔达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34" w:hanging="1"/>
              <w:spacing w:before="162" w:line="229" w:lineRule="auto"/>
              <w:jc w:val="both"/>
              <w:rPr/>
            </w:pPr>
            <w:r>
              <w:rPr>
                <w:spacing w:val="10"/>
              </w:rPr>
              <w:t>公司</w:t>
            </w:r>
            <w:r>
              <w:rPr>
                <w:b/>
                <w:bCs/>
                <w:spacing w:val="10"/>
              </w:rPr>
              <w:t>业绩快报、业绩预告</w:t>
            </w:r>
            <w:r>
              <w:rPr>
                <w:spacing w:val="10"/>
              </w:rPr>
              <w:t>相关信息披露不准确</w:t>
            </w:r>
            <w:r>
              <w:rPr>
                <w:spacing w:val="9"/>
              </w:rPr>
              <w:t>、更正不及</w:t>
            </w:r>
            <w:r>
              <w:rPr/>
              <w:t xml:space="preserve"> </w:t>
            </w:r>
            <w:r>
              <w:rPr>
                <w:spacing w:val="5"/>
              </w:rPr>
              <w:t>时。此外， 利尔达《</w:t>
            </w:r>
            <w:r>
              <w:rPr>
                <w:spacing w:val="-28"/>
              </w:rPr>
              <w:t xml:space="preserve"> </w:t>
            </w:r>
            <w:r>
              <w:rPr>
                <w:spacing w:val="5"/>
              </w:rPr>
              <w:t>2023 年年度业绩快报修正公告》相</w:t>
            </w:r>
            <w:r>
              <w:rPr/>
              <w:t xml:space="preserve">  </w:t>
            </w:r>
            <w:r>
              <w:rPr>
                <w:spacing w:val="8"/>
              </w:rPr>
              <w:t>关内容存在</w:t>
            </w:r>
            <w:r>
              <w:rPr>
                <w:b/>
                <w:bCs/>
                <w:spacing w:val="8"/>
              </w:rPr>
              <w:t>前后矛盾</w:t>
            </w:r>
            <w:r>
              <w:rPr>
                <w:spacing w:val="8"/>
              </w:rPr>
              <w:t>的情况。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48" w:line="239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中国证券监督管理委员会浙江监管局决定对利尔达科技集团股份有</w:t>
            </w:r>
            <w:r>
              <w:rPr/>
              <w:t xml:space="preserve"> </w:t>
            </w:r>
            <w:r>
              <w:rPr>
                <w:spacing w:val="12"/>
              </w:rPr>
              <w:t>限公司、时任董事长叶某光、总经理陈某、财</w:t>
            </w:r>
            <w:r>
              <w:rPr>
                <w:spacing w:val="11"/>
              </w:rPr>
              <w:t>务总监孙某祖、董事会秘书段某春分别</w:t>
            </w:r>
            <w:r>
              <w:rPr/>
              <w:t xml:space="preserve"> </w:t>
            </w:r>
            <w:r>
              <w:rPr>
                <w:spacing w:val="7"/>
              </w:rPr>
              <w:t>采取出具警示函的监督管理措施， 并记入证券期货市场诚信档案。</w:t>
            </w:r>
          </w:p>
        </w:tc>
      </w:tr>
      <w:tr>
        <w:trPr>
          <w:trHeight w:val="2890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600030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7"/>
              <w:spacing w:before="85" w:line="189" w:lineRule="auto"/>
              <w:rPr/>
            </w:pPr>
            <w:r>
              <w:rPr>
                <w:spacing w:val="5"/>
              </w:rPr>
              <w:t>中信证券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14"/>
              <w:spacing w:before="89" w:line="244" w:lineRule="auto"/>
              <w:jc w:val="both"/>
              <w:rPr/>
            </w:pPr>
            <w:r>
              <w:rPr>
                <w:spacing w:val="10"/>
              </w:rPr>
              <w:t>中信证券股份有限公司作为广东泉为科技股份有限公司</w:t>
            </w:r>
            <w:r>
              <w:rPr>
                <w:b/>
                <w:bCs/>
                <w:spacing w:val="10"/>
              </w:rPr>
              <w:t>首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  <w:spacing w:val="8"/>
              </w:rPr>
              <w:t>次公开发行股票持续督导机构</w:t>
            </w:r>
            <w:r>
              <w:rPr>
                <w:spacing w:val="8"/>
              </w:rPr>
              <w:t>， 在持续督导履职过程中存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在以下违规行为： 一是对二甲苯贸易业务客户和供应商之</w:t>
            </w:r>
            <w:r>
              <w:rPr>
                <w:spacing w:val="9"/>
              </w:rPr>
              <w:t xml:space="preserve"> </w:t>
            </w:r>
            <w:r>
              <w:rPr>
                <w:spacing w:val="11"/>
              </w:rPr>
              <w:t>间的关联关系核查不充分。二是对二甲苯贸易业务真实性</w:t>
            </w:r>
            <w:r>
              <w:rPr>
                <w:spacing w:val="1"/>
              </w:rPr>
              <w:t xml:space="preserve"> </w:t>
            </w:r>
            <w:r>
              <w:rPr>
                <w:spacing w:val="11"/>
              </w:rPr>
              <w:t>核查不充分。三是对二甲苯业务单据审核中未关注到运输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合同与船舱计量报告对应的船运公司存在明</w:t>
            </w:r>
            <w:r>
              <w:rPr>
                <w:spacing w:val="9"/>
              </w:rPr>
              <w:t>显差异。</w:t>
            </w:r>
            <w:r>
              <w:rPr>
                <w:spacing w:val="-27"/>
              </w:rPr>
              <w:t xml:space="preserve"> </w:t>
            </w:r>
            <w:r>
              <w:rPr>
                <w:spacing w:val="9"/>
              </w:rPr>
              <w:t>四是</w:t>
            </w:r>
            <w:r>
              <w:rPr/>
              <w:t xml:space="preserve"> </w:t>
            </w:r>
            <w:r>
              <w:rPr>
                <w:spacing w:val="11"/>
              </w:rPr>
              <w:t>对二甲苯业务单据审核中未关注到销售合同和租船合同约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定的装货港存在明显异常。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280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1269" w:hRule="atLeast"/>
        </w:trPr>
        <w:tc>
          <w:tcPr>
            <w:tcW w:w="8053" w:type="dxa"/>
            <w:vAlign w:val="top"/>
            <w:gridSpan w:val="3"/>
            <w:tcBorders>
              <w:top w:val="single" w:color="FFFFFF" w:sz="2" w:space="0"/>
            </w:tcBorders>
          </w:tcPr>
          <w:p>
            <w:pPr>
              <w:pStyle w:val="TableText"/>
              <w:ind w:left="115" w:right="166" w:firstLine="7"/>
              <w:spacing w:before="320" w:line="248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中国证券监督管理委员会广东监管</w:t>
            </w:r>
            <w:r>
              <w:rPr>
                <w:spacing w:val="8"/>
              </w:rPr>
              <w:t>局决定对中信证券股份有限公司</w:t>
            </w:r>
            <w:r>
              <w:rPr/>
              <w:t xml:space="preserve"> </w:t>
            </w:r>
            <w:r>
              <w:rPr>
                <w:spacing w:val="8"/>
              </w:rPr>
              <w:t>、保荐代表人采取出具警示函的行政监管措施。</w:t>
            </w:r>
          </w:p>
        </w:tc>
      </w:tr>
      <w:tr>
        <w:trPr>
          <w:trHeight w:val="180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9" w:lineRule="auto"/>
              <w:rPr/>
            </w:pPr>
            <w:r>
              <w:rPr>
                <w:spacing w:val="3"/>
              </w:rPr>
              <w:t>300716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89" w:lineRule="auto"/>
              <w:rPr/>
            </w:pPr>
            <w:r>
              <w:rPr>
                <w:spacing w:val="8"/>
              </w:rPr>
              <w:t>泉为科技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4" w:line="239" w:lineRule="auto"/>
              <w:jc w:val="both"/>
              <w:rPr/>
            </w:pPr>
            <w:r>
              <w:rPr>
                <w:spacing w:val="11"/>
              </w:rPr>
              <w:t>东莞证券股份有限公司作为广东泉为科技股份有限公司</w:t>
            </w:r>
            <w:r>
              <w:rPr>
                <w:b/>
                <w:bCs/>
                <w:spacing w:val="11"/>
              </w:rPr>
              <w:t>首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8"/>
              </w:rPr>
              <w:t>次公开发行股票上市保荐机构</w:t>
            </w:r>
            <w:r>
              <w:rPr>
                <w:spacing w:val="8"/>
              </w:rPr>
              <w:t>， 在持续督导履职过程中存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在以下违规行为： 一是未对上市公司大额资金往来交易真</w:t>
            </w:r>
            <w:r>
              <w:rPr>
                <w:spacing w:val="9"/>
              </w:rPr>
              <w:t xml:space="preserve"> </w:t>
            </w:r>
            <w:r>
              <w:rPr>
                <w:spacing w:val="10"/>
              </w:rPr>
              <w:t>实性审慎核查。二是未按规定完整填报 2019 年度现场检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查报告。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5" w:right="166" w:firstLine="7"/>
              <w:spacing w:before="40" w:line="236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中国证券监督管理委员会广东监管</w:t>
            </w:r>
            <w:r>
              <w:rPr>
                <w:spacing w:val="8"/>
              </w:rPr>
              <w:t>局决定对东莞证券股份有限公司</w:t>
            </w:r>
            <w:r>
              <w:rPr/>
              <w:t xml:space="preserve"> </w:t>
            </w:r>
            <w:r>
              <w:rPr>
                <w:spacing w:val="8"/>
              </w:rPr>
              <w:t>、保荐代表人采取出具警示函的行政监管措施。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276" w:line="179" w:lineRule="auto"/>
              <w:rPr/>
            </w:pPr>
            <w:r>
              <w:rPr>
                <w:spacing w:val="3"/>
              </w:rPr>
              <w:t>601995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57"/>
              <w:spacing w:before="263" w:line="189" w:lineRule="auto"/>
              <w:rPr/>
            </w:pPr>
            <w:r>
              <w:rPr>
                <w:spacing w:val="5"/>
              </w:rPr>
              <w:t>中金公司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 w:firstLine="13"/>
              <w:spacing w:before="84" w:line="220" w:lineRule="auto"/>
              <w:rPr/>
            </w:pPr>
            <w:r>
              <w:rPr>
                <w:spacing w:val="10"/>
              </w:rPr>
              <w:t>中国国际金融股份有限公司资产管理业务存在</w:t>
            </w:r>
            <w:r>
              <w:rPr>
                <w:b/>
                <w:bCs/>
                <w:spacing w:val="10"/>
              </w:rPr>
              <w:t>违规提供通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  <w:spacing w:val="8"/>
              </w:rPr>
              <w:t>道服务</w:t>
            </w:r>
            <w:r>
              <w:rPr>
                <w:spacing w:val="8"/>
              </w:rPr>
              <w:t>的问题。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41" w:line="235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中国证券监督管理委员会北京监管</w:t>
            </w:r>
            <w:r>
              <w:rPr>
                <w:spacing w:val="8"/>
              </w:rPr>
              <w:t>局决定对时任高管徐某成采取出</w:t>
            </w:r>
            <w:r>
              <w:rPr/>
              <w:t xml:space="preserve"> </w:t>
            </w:r>
            <w:r>
              <w:rPr>
                <w:spacing w:val="8"/>
              </w:rPr>
              <w:t>具警示函的监督管理措施。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278" w:line="179" w:lineRule="auto"/>
              <w:rPr/>
            </w:pPr>
            <w:r>
              <w:rPr>
                <w:spacing w:val="3"/>
              </w:rPr>
              <w:t>601995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57"/>
              <w:spacing w:before="265" w:line="189" w:lineRule="auto"/>
              <w:rPr/>
            </w:pPr>
            <w:r>
              <w:rPr>
                <w:spacing w:val="5"/>
              </w:rPr>
              <w:t>中金公司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 w:firstLine="13"/>
              <w:spacing w:before="85" w:line="220" w:lineRule="auto"/>
              <w:rPr/>
            </w:pPr>
            <w:r>
              <w:rPr>
                <w:spacing w:val="10"/>
              </w:rPr>
              <w:t>中国国际金融股份有限公司资产管理业务存在</w:t>
            </w:r>
            <w:r>
              <w:rPr>
                <w:b/>
                <w:bCs/>
                <w:spacing w:val="10"/>
              </w:rPr>
              <w:t>违规提供通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  <w:spacing w:val="8"/>
              </w:rPr>
              <w:t>道服务</w:t>
            </w:r>
            <w:r>
              <w:rPr>
                <w:spacing w:val="8"/>
              </w:rPr>
              <w:t>的问题。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8" w:right="166" w:firstLine="4"/>
              <w:spacing w:before="41" w:line="235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中国证券监督管理委员会北京监管</w:t>
            </w:r>
            <w:r>
              <w:rPr>
                <w:spacing w:val="8"/>
              </w:rPr>
              <w:t>局决定对员工于某采取出具警示</w:t>
            </w:r>
            <w:r>
              <w:rPr/>
              <w:t xml:space="preserve"> </w:t>
            </w:r>
            <w:r>
              <w:rPr>
                <w:spacing w:val="6"/>
              </w:rPr>
              <w:t>函的监督管理措施。</w:t>
            </w:r>
          </w:p>
        </w:tc>
      </w:tr>
      <w:tr>
        <w:trPr>
          <w:trHeight w:val="223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8" w:lineRule="auto"/>
              <w:rPr/>
            </w:pPr>
            <w:r>
              <w:rPr>
                <w:spacing w:val="3"/>
              </w:rPr>
              <w:t>002306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7"/>
              <w:spacing w:before="85" w:line="189" w:lineRule="auto"/>
              <w:rPr/>
            </w:pPr>
            <w:r>
              <w:rPr>
                <w:spacing w:val="5"/>
              </w:rPr>
              <w:t>中科云网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34" w:firstLine="15"/>
              <w:spacing w:before="157" w:line="241" w:lineRule="auto"/>
              <w:rPr/>
            </w:pPr>
            <w:r>
              <w:rPr>
                <w:spacing w:val="5"/>
              </w:rPr>
              <w:t>中科云网科技集团股份有限公司于 202</w:t>
            </w:r>
            <w:r>
              <w:rPr>
                <w:spacing w:val="4"/>
              </w:rPr>
              <w:t>4 年 4 月 30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4"/>
              </w:rPr>
              <w:t>日披</w:t>
            </w:r>
            <w:r>
              <w:rPr/>
              <w:t xml:space="preserve">  </w:t>
            </w:r>
            <w:r>
              <w:rPr>
                <w:spacing w:val="5"/>
              </w:rPr>
              <w:t>露了《</w:t>
            </w:r>
            <w:r>
              <w:rPr>
                <w:spacing w:val="-15"/>
              </w:rPr>
              <w:t xml:space="preserve"> </w:t>
            </w:r>
            <w:r>
              <w:rPr>
                <w:spacing w:val="5"/>
              </w:rPr>
              <w:t>2023 年年度报告摘要》和《</w:t>
            </w:r>
            <w:r>
              <w:rPr>
                <w:spacing w:val="-30"/>
              </w:rPr>
              <w:t xml:space="preserve"> </w:t>
            </w:r>
            <w:r>
              <w:rPr>
                <w:spacing w:val="5"/>
              </w:rPr>
              <w:t>2024 年第一季度报</w:t>
            </w:r>
            <w:r>
              <w:rPr/>
              <w:t xml:space="preserve">    </w:t>
            </w:r>
            <w:r>
              <w:rPr>
                <w:spacing w:val="8"/>
              </w:rPr>
              <w:t>告》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。其中,关于收到政府奖励款的描述及归属于上市公</w:t>
            </w:r>
            <w:r>
              <w:rPr/>
              <w:t xml:space="preserve">    </w:t>
            </w:r>
            <w:r>
              <w:rPr>
                <w:spacing w:val="8"/>
              </w:rPr>
              <w:t>司股东的净资产、</w:t>
            </w:r>
            <w:r>
              <w:rPr>
                <w:spacing w:val="-14"/>
              </w:rPr>
              <w:t xml:space="preserve"> </w:t>
            </w:r>
            <w:r>
              <w:rPr>
                <w:spacing w:val="8"/>
              </w:rPr>
              <w:t>归属于上市公司股东的净利润、加权平</w:t>
            </w:r>
            <w:r>
              <w:rPr/>
              <w:t xml:space="preserve"> </w:t>
            </w:r>
            <w:r>
              <w:rPr>
                <w:spacing w:val="10"/>
              </w:rPr>
              <w:t>均净资产收益率、一季报合并资产负债表部分</w:t>
            </w:r>
            <w:r>
              <w:rPr>
                <w:spacing w:val="9"/>
              </w:rPr>
              <w:t>期初期末余</w:t>
            </w:r>
            <w:r>
              <w:rPr/>
              <w:t xml:space="preserve"> </w:t>
            </w:r>
            <w:r>
              <w:rPr>
                <w:spacing w:val="8"/>
              </w:rPr>
              <w:t>额</w:t>
            </w:r>
            <w:r>
              <w:rPr>
                <w:b/>
                <w:bCs/>
                <w:spacing w:val="8"/>
              </w:rPr>
              <w:t>等数据有误。</w:t>
            </w:r>
          </w:p>
        </w:tc>
      </w:tr>
      <w:tr>
        <w:trPr>
          <w:trHeight w:val="108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3" w:right="103" w:firstLine="19"/>
              <w:spacing w:before="43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中国证券监督管理委员会北京监管局决定对中科云网科技集团股份</w:t>
            </w:r>
            <w:r>
              <w:rPr/>
              <w:t xml:space="preserve"> </w:t>
            </w:r>
            <w:r>
              <w:rPr>
                <w:spacing w:val="10"/>
              </w:rPr>
              <w:t>有限公司、董事会秘书覃某采取出具警示函的行政监管措施,并记入证券期货市场</w:t>
            </w:r>
            <w:r>
              <w:rPr>
                <w:spacing w:val="9"/>
              </w:rPr>
              <w:t>诚信</w:t>
            </w:r>
            <w:r>
              <w:rPr/>
              <w:t xml:space="preserve"> </w:t>
            </w:r>
            <w:r>
              <w:rPr>
                <w:spacing w:val="5"/>
              </w:rPr>
              <w:t>档案。</w:t>
            </w:r>
          </w:p>
        </w:tc>
      </w:tr>
      <w:tr>
        <w:trPr>
          <w:trHeight w:val="252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300459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6"/>
              <w:spacing w:before="86" w:line="189" w:lineRule="auto"/>
              <w:rPr/>
            </w:pPr>
            <w:r>
              <w:rPr>
                <w:spacing w:val="8"/>
              </w:rPr>
              <w:t>汤姆猫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3" w:firstLine="1"/>
              <w:spacing w:before="90" w:line="242" w:lineRule="auto"/>
              <w:rPr/>
            </w:pPr>
            <w:r>
              <w:rPr>
                <w:spacing w:val="11"/>
              </w:rPr>
              <w:t>广东汤姆猫产业发展有限公司</w:t>
            </w:r>
            <w:r>
              <w:rPr>
                <w:b/>
                <w:bCs/>
                <w:spacing w:val="11"/>
              </w:rPr>
              <w:t>股权转让相关信息</w:t>
            </w:r>
            <w:r>
              <w:rPr>
                <w:spacing w:val="11"/>
              </w:rPr>
              <w:t>披露不准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确、不完整。公司仅在 2022 年 4 月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8"/>
              </w:rPr>
              <w:t>12</w:t>
            </w:r>
            <w:r>
              <w:rPr>
                <w:spacing w:val="30"/>
              </w:rPr>
              <w:t xml:space="preserve"> </w:t>
            </w:r>
            <w:r>
              <w:rPr>
                <w:spacing w:val="8"/>
              </w:rPr>
              <w:t>日披露了转让广</w:t>
            </w:r>
            <w:r>
              <w:rPr/>
              <w:t xml:space="preserve"> </w:t>
            </w:r>
            <w:r>
              <w:rPr>
                <w:spacing w:val="9"/>
              </w:rPr>
              <w:t>东汤姆猫 20%股权的事项， 未披露剩余</w:t>
            </w:r>
            <w:r>
              <w:rPr>
                <w:spacing w:val="23"/>
              </w:rPr>
              <w:t xml:space="preserve"> </w:t>
            </w:r>
            <w:r>
              <w:rPr>
                <w:spacing w:val="9"/>
              </w:rPr>
              <w:t>15%股权转让事</w:t>
            </w:r>
            <w:r>
              <w:rPr/>
              <w:t xml:space="preserve"> </w:t>
            </w:r>
            <w:r>
              <w:rPr>
                <w:spacing w:val="16"/>
              </w:rPr>
              <w:t>项</w:t>
            </w:r>
            <w:r>
              <w:rPr>
                <w:spacing w:val="-23"/>
              </w:rPr>
              <w:t xml:space="preserve"> </w:t>
            </w:r>
            <w:r>
              <w:rPr>
                <w:spacing w:val="16"/>
              </w:rPr>
              <w:t>。</w:t>
            </w:r>
            <w:r>
              <w:rPr>
                <w:spacing w:val="-31"/>
              </w:rPr>
              <w:t xml:space="preserve"> </w:t>
            </w:r>
            <w:r>
              <w:rPr>
                <w:spacing w:val="16"/>
              </w:rPr>
              <w:t>公司在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16"/>
              </w:rPr>
              <w:t>2020-2022 年期间对参股子公司广东汤姆</w:t>
            </w:r>
            <w:r>
              <w:rPr/>
              <w:t xml:space="preserve"> </w:t>
            </w:r>
            <w:r>
              <w:rPr>
                <w:spacing w:val="11"/>
              </w:rPr>
              <w:t>猫、浙江祥新文旅产业集团有限公司未能实施有效管控、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后续管理不规范， 公司</w:t>
            </w:r>
            <w:r>
              <w:rPr>
                <w:b/>
                <w:bCs/>
                <w:spacing w:val="8"/>
              </w:rPr>
              <w:t>《内部控制自我评价报告》</w:t>
            </w:r>
            <w:r>
              <w:rPr>
                <w:spacing w:val="8"/>
              </w:rPr>
              <w:t>披露不</w:t>
            </w:r>
            <w:r>
              <w:rPr>
                <w:spacing w:val="10"/>
              </w:rPr>
              <w:t xml:space="preserve"> </w:t>
            </w:r>
            <w:r>
              <w:rPr>
                <w:spacing w:val="5"/>
              </w:rPr>
              <w:t>准确。</w:t>
            </w:r>
          </w:p>
        </w:tc>
      </w:tr>
      <w:tr>
        <w:trPr>
          <w:trHeight w:val="108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66" w:firstLine="17"/>
              <w:spacing w:before="47" w:line="239" w:lineRule="auto"/>
              <w:jc w:val="both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局决定对浙江金科汤姆猫文化产</w:t>
            </w:r>
            <w:r>
              <w:rPr/>
              <w:t xml:space="preserve"> </w:t>
            </w:r>
            <w:r>
              <w:rPr>
                <w:spacing w:val="9"/>
              </w:rPr>
              <w:t>业股份有限公司、董事长朱某刚、总经理张某璋、财务总监秦某娟、</w:t>
            </w:r>
            <w:r>
              <w:rPr>
                <w:spacing w:val="-28"/>
              </w:rPr>
              <w:t xml:space="preserve"> </w:t>
            </w:r>
            <w:r>
              <w:rPr>
                <w:spacing w:val="9"/>
              </w:rPr>
              <w:t>时任董秘胡某分</w:t>
            </w:r>
            <w:r>
              <w:rPr/>
              <w:t xml:space="preserve"> </w:t>
            </w:r>
            <w:r>
              <w:rPr>
                <w:spacing w:val="7"/>
              </w:rPr>
              <w:t>别采取出具警示函的监督管理措施， 并记入证券期货市场诚信档案。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5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起步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94" w:line="234" w:lineRule="auto"/>
              <w:jc w:val="both"/>
              <w:rPr/>
            </w:pPr>
            <w:r>
              <w:rPr>
                <w:spacing w:val="9"/>
              </w:rPr>
              <w:t>公司 2018 年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、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2019 年年度报告及 2020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年半年度报告</w:t>
            </w:r>
            <w:r>
              <w:rPr/>
              <w:t xml:space="preserve"> </w:t>
            </w:r>
            <w:r>
              <w:rPr>
                <w:spacing w:val="4"/>
              </w:rPr>
              <w:t>存在</w:t>
            </w:r>
            <w:r>
              <w:rPr>
                <w:b/>
                <w:bCs/>
                <w:spacing w:val="4"/>
              </w:rPr>
              <w:t>虚假记载、重大遗漏</w:t>
            </w:r>
            <w:r>
              <w:rPr>
                <w:spacing w:val="4"/>
              </w:rPr>
              <w:t>； 公司 2020 年 4 月 8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日披露的</w:t>
            </w:r>
            <w:r>
              <w:rPr/>
              <w:t xml:space="preserve"> </w:t>
            </w:r>
            <w:r>
              <w:rPr>
                <w:spacing w:val="11"/>
              </w:rPr>
              <w:t>《公开发行可转换公司债券募集说明书》存在</w:t>
            </w:r>
            <w:r>
              <w:rPr>
                <w:b/>
                <w:bCs/>
                <w:spacing w:val="11"/>
              </w:rPr>
              <w:t>重大虚假内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6"/>
              </w:rPr>
              <w:t>容</w:t>
            </w:r>
            <w:r>
              <w:rPr>
                <w:spacing w:val="6"/>
              </w:rPr>
              <w:t>等。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51" w:line="232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局决定对独立董事李某星采取出</w:t>
            </w:r>
            <w:r>
              <w:rPr/>
              <w:t xml:space="preserve"> </w:t>
            </w:r>
            <w:r>
              <w:rPr>
                <w:spacing w:val="7"/>
              </w:rPr>
              <w:t>具警示函的监督管理措施， 并记入证券期货市场诚</w:t>
            </w:r>
            <w:r>
              <w:rPr>
                <w:spacing w:val="6"/>
              </w:rPr>
              <w:t>信档案。</w:t>
            </w:r>
          </w:p>
        </w:tc>
      </w:tr>
      <w:tr>
        <w:trPr>
          <w:trHeight w:val="37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110" w:line="176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15"/>
              <w:spacing w:before="97" w:line="185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起步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/>
              <w:spacing w:before="96" w:line="186" w:lineRule="auto"/>
              <w:rPr/>
            </w:pPr>
            <w:r>
              <w:rPr>
                <w:spacing w:val="9"/>
              </w:rPr>
              <w:t>公司 2018 年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、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2019 年年度报告及 2020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年半年度报告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54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1104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 w:right="103"/>
              <w:spacing w:before="103" w:line="231" w:lineRule="auto"/>
              <w:jc w:val="both"/>
              <w:rPr/>
            </w:pPr>
            <w:r>
              <w:rPr>
                <w:spacing w:val="4"/>
              </w:rPr>
              <w:t>存在</w:t>
            </w:r>
            <w:r>
              <w:rPr>
                <w:b/>
                <w:bCs/>
                <w:spacing w:val="4"/>
              </w:rPr>
              <w:t>虚假记载、重大遗漏</w:t>
            </w:r>
            <w:r>
              <w:rPr>
                <w:spacing w:val="4"/>
              </w:rPr>
              <w:t>； 公司 2020 年 4 月 8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4"/>
              </w:rPr>
              <w:t>日披露的</w:t>
            </w:r>
            <w:r>
              <w:rPr/>
              <w:t xml:space="preserve"> </w:t>
            </w:r>
            <w:r>
              <w:rPr>
                <w:spacing w:val="11"/>
              </w:rPr>
              <w:t>《公开发行可转换公司债券募集说明书》存在</w:t>
            </w:r>
            <w:r>
              <w:rPr>
                <w:b/>
                <w:bCs/>
                <w:spacing w:val="11"/>
              </w:rPr>
              <w:t>重大虚假内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6"/>
              </w:rPr>
              <w:t>容</w:t>
            </w:r>
            <w:r>
              <w:rPr>
                <w:spacing w:val="6"/>
              </w:rPr>
              <w:t>等。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39" w:line="236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局决定对时任独董王某萍采取出</w:t>
            </w:r>
            <w:r>
              <w:rPr/>
              <w:t xml:space="preserve"> </w:t>
            </w:r>
            <w:r>
              <w:rPr>
                <w:spacing w:val="7"/>
              </w:rPr>
              <w:t>具警示函的监督管理措施， 并记入证券期货市场诚</w:t>
            </w:r>
            <w:r>
              <w:rPr>
                <w:spacing w:val="6"/>
              </w:rPr>
              <w:t>信档案。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5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起步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3" w:line="236" w:lineRule="auto"/>
              <w:jc w:val="both"/>
              <w:rPr/>
            </w:pPr>
            <w:r>
              <w:rPr>
                <w:spacing w:val="9"/>
              </w:rPr>
              <w:t>公司 2018 年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、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2019 年年度报告及 2020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年半年度报告</w:t>
            </w:r>
            <w:r>
              <w:rPr/>
              <w:t xml:space="preserve"> </w:t>
            </w:r>
            <w:r>
              <w:rPr>
                <w:spacing w:val="4"/>
              </w:rPr>
              <w:t>存在</w:t>
            </w:r>
            <w:r>
              <w:rPr>
                <w:b/>
                <w:bCs/>
                <w:spacing w:val="4"/>
              </w:rPr>
              <w:t>虚假记载、重大遗漏</w:t>
            </w:r>
            <w:r>
              <w:rPr>
                <w:spacing w:val="4"/>
              </w:rPr>
              <w:t>； 公司 2020 年 4 月 8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日披露的</w:t>
            </w:r>
            <w:r>
              <w:rPr/>
              <w:t xml:space="preserve"> </w:t>
            </w:r>
            <w:r>
              <w:rPr>
                <w:spacing w:val="11"/>
              </w:rPr>
              <w:t>《公开发行可转换公司债券募集说明书》存在</w:t>
            </w:r>
            <w:r>
              <w:rPr>
                <w:b/>
                <w:bCs/>
                <w:spacing w:val="11"/>
              </w:rPr>
              <w:t>重大虚假内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6"/>
              </w:rPr>
              <w:t>容</w:t>
            </w:r>
            <w:r>
              <w:rPr>
                <w:spacing w:val="6"/>
              </w:rPr>
              <w:t>等。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39" w:line="236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局决定对时任独董雷某途采取出</w:t>
            </w:r>
            <w:r>
              <w:rPr/>
              <w:t xml:space="preserve"> </w:t>
            </w:r>
            <w:r>
              <w:rPr>
                <w:spacing w:val="7"/>
              </w:rPr>
              <w:t>具警示函的监督管理措施， 并记入证券期货市场诚</w:t>
            </w:r>
            <w:r>
              <w:rPr>
                <w:spacing w:val="6"/>
              </w:rPr>
              <w:t>信档案。</w:t>
            </w:r>
          </w:p>
        </w:tc>
      </w:tr>
      <w:tr>
        <w:trPr>
          <w:trHeight w:val="144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起步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4" w:line="236" w:lineRule="auto"/>
              <w:jc w:val="both"/>
              <w:rPr/>
            </w:pPr>
            <w:r>
              <w:rPr>
                <w:spacing w:val="9"/>
              </w:rPr>
              <w:t>公司 2018 年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、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2019 年年度报告及 2020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年半年度报告</w:t>
            </w:r>
            <w:r>
              <w:rPr/>
              <w:t xml:space="preserve"> </w:t>
            </w:r>
            <w:r>
              <w:rPr>
                <w:spacing w:val="4"/>
              </w:rPr>
              <w:t>存在</w:t>
            </w:r>
            <w:r>
              <w:rPr>
                <w:b/>
                <w:bCs/>
                <w:spacing w:val="4"/>
              </w:rPr>
              <w:t>虚假记载、重大遗漏</w:t>
            </w:r>
            <w:r>
              <w:rPr>
                <w:spacing w:val="4"/>
              </w:rPr>
              <w:t>； 公司 2020 年 4 月 8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日披露的</w:t>
            </w:r>
            <w:r>
              <w:rPr/>
              <w:t xml:space="preserve"> </w:t>
            </w:r>
            <w:r>
              <w:rPr>
                <w:spacing w:val="11"/>
              </w:rPr>
              <w:t>《公开发行可转换公司债券募集说明书》存在</w:t>
            </w:r>
            <w:r>
              <w:rPr>
                <w:b/>
                <w:bCs/>
                <w:spacing w:val="11"/>
              </w:rPr>
              <w:t>重大虚假内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6"/>
              </w:rPr>
              <w:t>容</w:t>
            </w:r>
            <w:r>
              <w:rPr>
                <w:spacing w:val="6"/>
              </w:rPr>
              <w:t>等。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03" w:firstLine="16"/>
              <w:spacing w:before="42" w:line="235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中国证券监督管理委员会浙江监管局决定对时任董事程某微采取出</w:t>
            </w:r>
            <w:r>
              <w:rPr/>
              <w:t xml:space="preserve"> </w:t>
            </w:r>
            <w:r>
              <w:rPr>
                <w:spacing w:val="7"/>
              </w:rPr>
              <w:t>具警示函的监督管理措施， 并记入证券期货市场诚</w:t>
            </w:r>
            <w:r>
              <w:rPr>
                <w:spacing w:val="6"/>
              </w:rPr>
              <w:t>信档案。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起步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3" w:line="236" w:lineRule="auto"/>
              <w:jc w:val="both"/>
              <w:rPr/>
            </w:pPr>
            <w:r>
              <w:rPr>
                <w:spacing w:val="9"/>
              </w:rPr>
              <w:t>公司 2018 年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、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2019 年年度报告及 2020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年半年度报告</w:t>
            </w:r>
            <w:r>
              <w:rPr/>
              <w:t xml:space="preserve"> </w:t>
            </w:r>
            <w:r>
              <w:rPr>
                <w:spacing w:val="4"/>
              </w:rPr>
              <w:t>存在</w:t>
            </w:r>
            <w:r>
              <w:rPr>
                <w:b/>
                <w:bCs/>
                <w:spacing w:val="4"/>
              </w:rPr>
              <w:t>虚假记载、重大遗漏</w:t>
            </w:r>
            <w:r>
              <w:rPr>
                <w:spacing w:val="4"/>
              </w:rPr>
              <w:t>； 公司 2020 年 4 月 8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日披露的</w:t>
            </w:r>
            <w:r>
              <w:rPr/>
              <w:t xml:space="preserve"> </w:t>
            </w:r>
            <w:r>
              <w:rPr>
                <w:spacing w:val="11"/>
              </w:rPr>
              <w:t>《公开发行可转换公司债券募集说明书》存在</w:t>
            </w:r>
            <w:r>
              <w:rPr>
                <w:b/>
                <w:bCs/>
                <w:spacing w:val="11"/>
              </w:rPr>
              <w:t>重大虚假内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6"/>
              </w:rPr>
              <w:t>容</w:t>
            </w:r>
            <w:r>
              <w:rPr>
                <w:spacing w:val="6"/>
              </w:rPr>
              <w:t>等。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66" w:firstLine="14"/>
              <w:spacing w:before="44" w:line="234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局决定对时任董事周某采取出具</w:t>
            </w:r>
            <w:r>
              <w:rPr/>
              <w:t xml:space="preserve"> </w:t>
            </w:r>
            <w:r>
              <w:rPr>
                <w:spacing w:val="6"/>
              </w:rPr>
              <w:t>警示函的监督管理措施， 并记入证券期货市场诚信档案。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起步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8" w:line="235" w:lineRule="auto"/>
              <w:jc w:val="both"/>
              <w:rPr/>
            </w:pPr>
            <w:r>
              <w:rPr>
                <w:spacing w:val="9"/>
              </w:rPr>
              <w:t>公司 2018 年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、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2019 年年度报告及 2020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年半年度报告</w:t>
            </w:r>
            <w:r>
              <w:rPr/>
              <w:t xml:space="preserve"> </w:t>
            </w:r>
            <w:r>
              <w:rPr>
                <w:spacing w:val="4"/>
              </w:rPr>
              <w:t>存在</w:t>
            </w:r>
            <w:r>
              <w:rPr>
                <w:b/>
                <w:bCs/>
                <w:spacing w:val="4"/>
              </w:rPr>
              <w:t>虚假记载、重大遗漏</w:t>
            </w:r>
            <w:r>
              <w:rPr>
                <w:spacing w:val="4"/>
              </w:rPr>
              <w:t>； 公司 2020 年 4 月 8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日披露的</w:t>
            </w:r>
            <w:r>
              <w:rPr/>
              <w:t xml:space="preserve"> </w:t>
            </w:r>
            <w:r>
              <w:rPr>
                <w:spacing w:val="11"/>
              </w:rPr>
              <w:t>《公开发行可转换公司债券募集说明书》存在</w:t>
            </w:r>
            <w:r>
              <w:rPr>
                <w:b/>
                <w:bCs/>
                <w:spacing w:val="11"/>
              </w:rPr>
              <w:t>重大虚假内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6"/>
              </w:rPr>
              <w:t>容</w:t>
            </w:r>
            <w:r>
              <w:rPr>
                <w:spacing w:val="6"/>
              </w:rPr>
              <w:t>等。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66" w:firstLine="14"/>
              <w:spacing w:before="47" w:line="233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局决定对时任独董杨某采取出具</w:t>
            </w:r>
            <w:r>
              <w:rPr/>
              <w:t xml:space="preserve"> </w:t>
            </w:r>
            <w:r>
              <w:rPr>
                <w:spacing w:val="6"/>
              </w:rPr>
              <w:t>警示函的监督管理措施， 并记入证券期货市场诚信档案。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5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起步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8" w:line="235" w:lineRule="auto"/>
              <w:jc w:val="both"/>
              <w:rPr/>
            </w:pPr>
            <w:r>
              <w:rPr>
                <w:spacing w:val="9"/>
              </w:rPr>
              <w:t>公司 2018 年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、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2019 年年度报告及 2020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年半年度报告</w:t>
            </w:r>
            <w:r>
              <w:rPr/>
              <w:t xml:space="preserve"> </w:t>
            </w:r>
            <w:r>
              <w:rPr>
                <w:spacing w:val="4"/>
              </w:rPr>
              <w:t>存在</w:t>
            </w:r>
            <w:r>
              <w:rPr>
                <w:b/>
                <w:bCs/>
                <w:spacing w:val="4"/>
              </w:rPr>
              <w:t>虚假记载、重大遗漏</w:t>
            </w:r>
            <w:r>
              <w:rPr>
                <w:spacing w:val="4"/>
              </w:rPr>
              <w:t>； 公司 2020 年 4 月 8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日披露的</w:t>
            </w:r>
            <w:r>
              <w:rPr/>
              <w:t xml:space="preserve"> </w:t>
            </w:r>
            <w:r>
              <w:rPr>
                <w:spacing w:val="11"/>
              </w:rPr>
              <w:t>《公开发行可转换公司债券募集说明书》存在</w:t>
            </w:r>
            <w:r>
              <w:rPr>
                <w:b/>
                <w:bCs/>
                <w:spacing w:val="11"/>
              </w:rPr>
              <w:t>重大虚假内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6"/>
              </w:rPr>
              <w:t>容</w:t>
            </w:r>
            <w:r>
              <w:rPr>
                <w:spacing w:val="6"/>
              </w:rPr>
              <w:t>等。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66" w:firstLine="14"/>
              <w:spacing w:before="48" w:line="233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局决定对时任监事饶某采取出具</w:t>
            </w:r>
            <w:r>
              <w:rPr/>
              <w:t xml:space="preserve"> </w:t>
            </w:r>
            <w:r>
              <w:rPr>
                <w:spacing w:val="6"/>
              </w:rPr>
              <w:t>警示函的监督管理措施， 并记入证券期货市场诚信档案。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起步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8" w:line="235" w:lineRule="auto"/>
              <w:jc w:val="both"/>
              <w:rPr/>
            </w:pPr>
            <w:r>
              <w:rPr>
                <w:spacing w:val="9"/>
              </w:rPr>
              <w:t>公司 2018 年</w:t>
            </w:r>
            <w:r>
              <w:rPr>
                <w:spacing w:val="-16"/>
              </w:rPr>
              <w:t xml:space="preserve"> </w:t>
            </w:r>
            <w:r>
              <w:rPr>
                <w:spacing w:val="9"/>
              </w:rPr>
              <w:t>、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2019 年年度报告及 2020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年半年度报告</w:t>
            </w:r>
            <w:r>
              <w:rPr/>
              <w:t xml:space="preserve"> </w:t>
            </w:r>
            <w:r>
              <w:rPr>
                <w:spacing w:val="4"/>
              </w:rPr>
              <w:t>存在</w:t>
            </w:r>
            <w:r>
              <w:rPr>
                <w:b/>
                <w:bCs/>
                <w:spacing w:val="4"/>
              </w:rPr>
              <w:t>虚假记载、重大遗漏</w:t>
            </w:r>
            <w:r>
              <w:rPr>
                <w:spacing w:val="4"/>
              </w:rPr>
              <w:t>； 公司 2020 年 4 月 8</w:t>
            </w:r>
            <w:r>
              <w:rPr>
                <w:spacing w:val="31"/>
              </w:rPr>
              <w:t xml:space="preserve"> </w:t>
            </w:r>
            <w:r>
              <w:rPr>
                <w:spacing w:val="4"/>
              </w:rPr>
              <w:t>日披露的</w:t>
            </w:r>
            <w:r>
              <w:rPr/>
              <w:t xml:space="preserve"> </w:t>
            </w:r>
            <w:r>
              <w:rPr>
                <w:spacing w:val="11"/>
              </w:rPr>
              <w:t>《公开发行可转换公司债券募集说明书》存在</w:t>
            </w:r>
            <w:r>
              <w:rPr>
                <w:b/>
                <w:bCs/>
                <w:spacing w:val="11"/>
              </w:rPr>
              <w:t>重大虚假内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6"/>
              </w:rPr>
              <w:t>容</w:t>
            </w:r>
            <w:r>
              <w:rPr>
                <w:spacing w:val="6"/>
              </w:rPr>
              <w:t>等。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50" w:line="232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局决定对时任监事黄某明采取出</w:t>
            </w:r>
            <w:r>
              <w:rPr/>
              <w:t xml:space="preserve"> </w:t>
            </w:r>
            <w:r>
              <w:rPr>
                <w:spacing w:val="7"/>
              </w:rPr>
              <w:t>具警示函的监督管理措施， 并记入证券期货市场诚</w:t>
            </w:r>
            <w:r>
              <w:rPr>
                <w:spacing w:val="6"/>
              </w:rPr>
              <w:t>信档案。</w:t>
            </w:r>
          </w:p>
        </w:tc>
      </w:tr>
      <w:tr>
        <w:trPr>
          <w:trHeight w:val="116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5" w:line="178" w:lineRule="auto"/>
              <w:rPr/>
            </w:pPr>
            <w:r>
              <w:rPr>
                <w:spacing w:val="3"/>
              </w:rPr>
              <w:t>603093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86" w:line="189" w:lineRule="auto"/>
              <w:rPr/>
            </w:pPr>
            <w:r>
              <w:rPr>
                <w:spacing w:val="8"/>
              </w:rPr>
              <w:t>南华期货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1" w:right="118" w:firstLine="1"/>
              <w:spacing w:before="167" w:line="230" w:lineRule="auto"/>
              <w:jc w:val="both"/>
              <w:rPr/>
            </w:pPr>
            <w:r>
              <w:rPr>
                <w:spacing w:val="8"/>
              </w:rPr>
              <w:t>南华期货股份有限公司重庆营业部在王某立等 4 名交易者</w:t>
            </w:r>
            <w:r>
              <w:rPr>
                <w:spacing w:val="7"/>
              </w:rPr>
              <w:t xml:space="preserve"> </w:t>
            </w:r>
            <w:r>
              <w:rPr>
                <w:spacing w:val="7"/>
              </w:rPr>
              <w:t>开立期货账户时， 未严格执行南华期货股份有限公司《经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纪业务风险控制管理制度》第二十七条、第二十八条规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200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743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0" w:right="179" w:hanging="1"/>
              <w:spacing w:before="101" w:line="221" w:lineRule="auto"/>
              <w:rPr/>
            </w:pPr>
            <w:r>
              <w:rPr>
                <w:spacing w:val="6"/>
              </w:rPr>
              <w:t>定， 未向前述 4 名交易者告知账户实际控制关</w:t>
            </w:r>
            <w:r>
              <w:rPr>
                <w:spacing w:val="5"/>
              </w:rPr>
              <w:t>系认定标</w:t>
            </w:r>
            <w:r>
              <w:rPr/>
              <w:t xml:space="preserve">   </w:t>
            </w:r>
            <w:r>
              <w:rPr>
                <w:spacing w:val="5"/>
              </w:rPr>
              <w:t>准， 未向其询问是否与他人账户之间存在实际控制关系。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03" w:firstLine="16"/>
              <w:spacing w:before="40" w:line="236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中国证券监督管理委员会重庆监管局决定对南华期货股份有限公司</w:t>
            </w:r>
            <w:r>
              <w:rPr/>
              <w:t xml:space="preserve"> </w:t>
            </w:r>
            <w:r>
              <w:rPr>
                <w:spacing w:val="8"/>
              </w:rPr>
              <w:t>重庆营业部采取出具警示函的行政监管措施</w:t>
            </w:r>
            <w:r>
              <w:rPr>
                <w:spacing w:val="7"/>
              </w:rPr>
              <w:t>， 并记入证券期货市场诚信档案。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2"/>
              <w:spacing w:before="276" w:line="178" w:lineRule="auto"/>
              <w:rPr/>
            </w:pPr>
            <w:r>
              <w:rPr>
                <w:spacing w:val="3"/>
              </w:rPr>
              <w:t>300994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3"/>
              <w:spacing w:before="261" w:line="189" w:lineRule="auto"/>
              <w:rPr/>
            </w:pPr>
            <w:r>
              <w:rPr>
                <w:spacing w:val="8"/>
              </w:rPr>
              <w:t>久祺股份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2" w:line="221" w:lineRule="auto"/>
              <w:rPr/>
            </w:pPr>
            <w:r>
              <w:rPr>
                <w:spacing w:val="11"/>
              </w:rPr>
              <w:t>久祺股份有限公司存在部分闲置募集资金购买理财产品超</w:t>
            </w:r>
            <w:r>
              <w:rPr/>
              <w:t xml:space="preserve"> </w:t>
            </w:r>
            <w:r>
              <w:rPr>
                <w:spacing w:val="8"/>
              </w:rPr>
              <w:t>期</w:t>
            </w:r>
            <w:r>
              <w:rPr>
                <w:b/>
                <w:bCs/>
                <w:spacing w:val="8"/>
              </w:rPr>
              <w:t>未及时审议</w:t>
            </w:r>
            <w:r>
              <w:rPr>
                <w:spacing w:val="8"/>
              </w:rPr>
              <w:t>的情形。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7" w:right="166" w:firstLine="15"/>
              <w:spacing w:before="39" w:line="248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局决定对久祺股份有限公司、董</w:t>
            </w:r>
            <w:r>
              <w:rPr/>
              <w:t xml:space="preserve"> </w:t>
            </w:r>
            <w:r>
              <w:rPr>
                <w:spacing w:val="9"/>
              </w:rPr>
              <w:t>事长,总经理李某、董事会秘书,财务总监雍某分别采取出具警示函的监督管理措施，</w:t>
            </w:r>
          </w:p>
          <w:p>
            <w:pPr>
              <w:pStyle w:val="TableText"/>
              <w:ind w:left="107"/>
              <w:spacing w:before="53" w:line="190" w:lineRule="auto"/>
              <w:rPr/>
            </w:pPr>
            <w:r>
              <w:rPr>
                <w:spacing w:val="8"/>
              </w:rPr>
              <w:t>并记入证券期货市场诚信档案。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300069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86" w:line="189" w:lineRule="auto"/>
              <w:rPr/>
            </w:pPr>
            <w:r>
              <w:rPr>
                <w:spacing w:val="9"/>
              </w:rPr>
              <w:t>金利华电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3" w:firstLine="1"/>
              <w:spacing w:before="83" w:line="236" w:lineRule="auto"/>
              <w:jc w:val="both"/>
              <w:rPr/>
            </w:pPr>
            <w:r>
              <w:rPr>
                <w:spacing w:val="11"/>
              </w:rPr>
              <w:t>浙江金美为金利华电控股股东山西红太阳旅游开发有限公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司控制的企业， 金利华设备与浙江金美发生的上述交易构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成</w:t>
            </w:r>
            <w:r>
              <w:rPr>
                <w:b/>
                <w:bCs/>
                <w:spacing w:val="8"/>
              </w:rPr>
              <w:t>关联交易</w:t>
            </w:r>
            <w:r>
              <w:rPr>
                <w:spacing w:val="8"/>
              </w:rPr>
              <w:t>， 公司在交易发生时未履行内部审议程序及信</w:t>
            </w:r>
            <w:r>
              <w:rPr>
                <w:spacing w:val="10"/>
              </w:rPr>
              <w:t xml:space="preserve"> </w:t>
            </w:r>
            <w:r>
              <w:rPr>
                <w:spacing w:val="7"/>
              </w:rPr>
              <w:t>息披露义务。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66" w:firstLine="17"/>
              <w:spacing w:before="41" w:line="235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中国证券监督管理委员会山西监管</w:t>
            </w:r>
            <w:r>
              <w:rPr>
                <w:spacing w:val="8"/>
              </w:rPr>
              <w:t>局决定对总经理王某、高管周某</w:t>
            </w:r>
            <w:r>
              <w:rPr/>
              <w:t xml:space="preserve"> </w:t>
            </w:r>
            <w:r>
              <w:rPr>
                <w:spacing w:val="7"/>
              </w:rPr>
              <w:t>婷采取出具警示函的监督管理措施， 并记入证券期货市场诚信档案。</w:t>
            </w:r>
          </w:p>
        </w:tc>
      </w:tr>
      <w:tr>
        <w:trPr>
          <w:trHeight w:val="252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300495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2"/>
              <w:spacing w:before="86" w:line="190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美尚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hanging="1"/>
              <w:spacing w:before="90" w:line="242" w:lineRule="auto"/>
              <w:jc w:val="both"/>
              <w:rPr/>
            </w:pPr>
            <w:r>
              <w:rPr>
                <w:spacing w:val="10"/>
              </w:rPr>
              <w:t>会计师在美尚生态景观股份有限公司 2017 年度财务报表</w:t>
            </w:r>
            <w:r>
              <w:rPr>
                <w:spacing w:val="7"/>
              </w:rPr>
              <w:t xml:space="preserve"> </w:t>
            </w:r>
            <w:r>
              <w:rPr>
                <w:spacing w:val="9"/>
              </w:rPr>
              <w:t>审计项目(中天运〔</w:t>
            </w:r>
            <w:r>
              <w:rPr>
                <w:spacing w:val="-5"/>
              </w:rPr>
              <w:t xml:space="preserve"> </w:t>
            </w:r>
            <w:r>
              <w:rPr>
                <w:spacing w:val="9"/>
              </w:rPr>
              <w:t>2018〕</w:t>
            </w:r>
            <w:r>
              <w:rPr>
                <w:spacing w:val="-25"/>
              </w:rPr>
              <w:t xml:space="preserve"> </w:t>
            </w:r>
            <w:r>
              <w:rPr>
                <w:spacing w:val="9"/>
              </w:rPr>
              <w:t>审字第 90020 号)执业中存在</w:t>
            </w:r>
            <w:r>
              <w:rPr/>
              <w:t xml:space="preserve"> </w:t>
            </w:r>
            <w:r>
              <w:rPr>
                <w:spacing w:val="14"/>
              </w:rPr>
              <w:t>以下问题:在审计过程中未保持合理怀疑,未关注到银行对</w:t>
            </w:r>
            <w:r>
              <w:rPr>
                <w:spacing w:val="15"/>
              </w:rPr>
              <w:t xml:space="preserve"> </w:t>
            </w:r>
            <w:r>
              <w:rPr>
                <w:spacing w:val="17"/>
              </w:rPr>
              <w:t>账单和银行询证函不一致的情况,未进一步向美尚生态询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问未扣除审计询证费用的原因及评估银行询证函回函的真</w:t>
            </w:r>
            <w:r>
              <w:rPr/>
              <w:t xml:space="preserve"> </w:t>
            </w:r>
            <w:r>
              <w:rPr>
                <w:spacing w:val="14"/>
              </w:rPr>
              <w:t>实性;未保持对函证有效控制,未能发现或有效应对企业询</w:t>
            </w:r>
            <w:r>
              <w:rPr>
                <w:spacing w:val="15"/>
              </w:rPr>
              <w:t xml:space="preserve"> </w:t>
            </w:r>
            <w:r>
              <w:rPr>
                <w:spacing w:val="8"/>
              </w:rPr>
              <w:t>证函高度异常情况;项目走访工作流于形式。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44" w:line="234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中国证券监督管理委员会北京监管</w:t>
            </w:r>
            <w:r>
              <w:rPr>
                <w:spacing w:val="8"/>
              </w:rPr>
              <w:t>局决定对会计师郭某采取出具警</w:t>
            </w:r>
            <w:r>
              <w:rPr/>
              <w:t xml:space="preserve"> </w:t>
            </w:r>
            <w:r>
              <w:rPr>
                <w:spacing w:val="9"/>
              </w:rPr>
              <w:t>示函的行政监管措施,并记入证券期货市场诚信档案。</w:t>
            </w:r>
          </w:p>
        </w:tc>
      </w:tr>
      <w:tr>
        <w:trPr>
          <w:trHeight w:val="252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9" w:lineRule="auto"/>
              <w:rPr/>
            </w:pPr>
            <w:r>
              <w:rPr>
                <w:spacing w:val="3"/>
              </w:rPr>
              <w:t>002713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89" w:lineRule="auto"/>
              <w:rPr/>
            </w:pPr>
            <w:r>
              <w:rPr>
                <w:spacing w:val="8"/>
              </w:rPr>
              <w:t>东易日盛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 w:hanging="1"/>
              <w:spacing w:before="90" w:line="242" w:lineRule="auto"/>
              <w:jc w:val="both"/>
              <w:rPr/>
            </w:pPr>
            <w:r>
              <w:rPr>
                <w:spacing w:val="12"/>
              </w:rPr>
              <w:t>东易日盛家居装饰集团股份有限公司于 2</w:t>
            </w:r>
            <w:r>
              <w:rPr>
                <w:spacing w:val="11"/>
              </w:rPr>
              <w:t>024 年 4 月 30</w:t>
            </w:r>
            <w:r>
              <w:rPr/>
              <w:t xml:space="preserve"> </w:t>
            </w:r>
            <w:r>
              <w:rPr>
                <w:spacing w:val="12"/>
              </w:rPr>
              <w:t>日披露的《</w:t>
            </w:r>
            <w:r>
              <w:rPr>
                <w:spacing w:val="-18"/>
              </w:rPr>
              <w:t xml:space="preserve"> </w:t>
            </w:r>
            <w:r>
              <w:rPr>
                <w:spacing w:val="12"/>
              </w:rPr>
              <w:t>2023 年年度审计报告》</w:t>
            </w:r>
            <w:r>
              <w:rPr>
                <w:spacing w:val="-23"/>
              </w:rPr>
              <w:t xml:space="preserve"> </w:t>
            </w:r>
            <w:r>
              <w:rPr>
                <w:spacing w:val="12"/>
              </w:rPr>
              <w:t>“财务报表附注(二)</w:t>
            </w:r>
            <w:r>
              <w:rPr/>
              <w:t xml:space="preserve"> </w:t>
            </w:r>
            <w:r>
              <w:rPr>
                <w:spacing w:val="16"/>
              </w:rPr>
              <w:t>持续经营</w:t>
            </w:r>
            <w:r>
              <w:rPr>
                <w:spacing w:val="-32"/>
              </w:rPr>
              <w:t xml:space="preserve"> </w:t>
            </w:r>
            <w:r>
              <w:rPr>
                <w:spacing w:val="16"/>
              </w:rPr>
              <w:t>”相关内容存在错误、遗漏;披露的《关于对会</w:t>
            </w:r>
            <w:r>
              <w:rPr/>
              <w:t xml:space="preserve"> </w:t>
            </w:r>
            <w:r>
              <w:rPr>
                <w:spacing w:val="10"/>
              </w:rPr>
              <w:t>计师事务所 2023 年度履职情况的评估报告暨审计委员会</w:t>
            </w:r>
            <w:r>
              <w:rPr>
                <w:spacing w:val="6"/>
              </w:rPr>
              <w:t xml:space="preserve"> </w:t>
            </w:r>
            <w:r>
              <w:rPr>
                <w:spacing w:val="15"/>
              </w:rPr>
              <w:t>履行监督职责情况的报告》</w:t>
            </w:r>
            <w:r>
              <w:rPr>
                <w:spacing w:val="-7"/>
              </w:rPr>
              <w:t xml:space="preserve"> </w:t>
            </w:r>
            <w:r>
              <w:rPr>
                <w:spacing w:val="15"/>
              </w:rPr>
              <w:t>中审计意见类型披露不准确;</w:t>
            </w:r>
            <w:r>
              <w:rPr/>
              <w:t xml:space="preserve"> </w:t>
            </w:r>
            <w:r>
              <w:rPr>
                <w:spacing w:val="10"/>
              </w:rPr>
              <w:t>披露的《关于举行 2023 年年度报告网上说明会的通知》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中召开时间披露不准确。</w:t>
            </w:r>
          </w:p>
        </w:tc>
      </w:tr>
      <w:tr>
        <w:trPr>
          <w:trHeight w:val="108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15" w:firstLine="17"/>
              <w:spacing w:before="47" w:line="239" w:lineRule="auto"/>
              <w:jc w:val="both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中国证券监督管理委员会北京监管</w:t>
            </w:r>
            <w:r>
              <w:rPr>
                <w:spacing w:val="8"/>
              </w:rPr>
              <w:t>局决定对东易日盛家居装饰集团</w:t>
            </w:r>
            <w:r>
              <w:rPr/>
              <w:t xml:space="preserve">  </w:t>
            </w:r>
            <w:r>
              <w:rPr>
                <w:spacing w:val="10"/>
              </w:rPr>
              <w:t>股份有限公司、董事会秘书管某采取出具警示函的行政监</w:t>
            </w:r>
            <w:r>
              <w:rPr>
                <w:spacing w:val="9"/>
              </w:rPr>
              <w:t>管措施,并记入证券期货市场</w:t>
            </w:r>
            <w:r>
              <w:rPr/>
              <w:t xml:space="preserve"> </w:t>
            </w:r>
            <w:r>
              <w:rPr>
                <w:spacing w:val="7"/>
              </w:rPr>
              <w:t>诚信档案。</w:t>
            </w:r>
          </w:p>
        </w:tc>
      </w:tr>
      <w:tr>
        <w:trPr>
          <w:trHeight w:val="3681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605555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89" w:lineRule="auto"/>
              <w:rPr/>
            </w:pPr>
            <w:r>
              <w:rPr>
                <w:spacing w:val="8"/>
              </w:rPr>
              <w:t>德昌股份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/>
              <w:spacing w:before="166" w:line="189" w:lineRule="auto"/>
              <w:rPr/>
            </w:pPr>
            <w:r>
              <w:rPr>
                <w:spacing w:val="9"/>
              </w:rPr>
              <w:t>公司在募投项目相关信息披露方面存在以下不规范的情</w:t>
            </w:r>
          </w:p>
          <w:p>
            <w:pPr>
              <w:pStyle w:val="TableText"/>
              <w:ind w:left="100" w:right="218" w:hanging="1"/>
              <w:spacing w:before="93" w:line="244" w:lineRule="auto"/>
              <w:rPr/>
            </w:pPr>
            <w:r>
              <w:rPr>
                <w:spacing w:val="4"/>
              </w:rPr>
              <w:t>形： 一是未及时披露</w:t>
            </w:r>
            <w:r>
              <w:rPr>
                <w:b/>
                <w:bCs/>
                <w:spacing w:val="4"/>
              </w:rPr>
              <w:t>部分项目延期</w:t>
            </w:r>
            <w:r>
              <w:rPr>
                <w:spacing w:val="4"/>
              </w:rPr>
              <w:t>情况， 公司迟至 20</w:t>
            </w:r>
            <w:r>
              <w:rPr>
                <w:spacing w:val="3"/>
              </w:rPr>
              <w:t>23</w:t>
            </w:r>
            <w:r>
              <w:rPr/>
              <w:t xml:space="preserve"> </w:t>
            </w:r>
            <w:r>
              <w:rPr>
                <w:spacing w:val="6"/>
              </w:rPr>
              <w:t>年 12 月 14</w:t>
            </w:r>
            <w:r>
              <w:rPr>
                <w:spacing w:val="33"/>
              </w:rPr>
              <w:t xml:space="preserve"> </w:t>
            </w:r>
            <w:r>
              <w:rPr>
                <w:spacing w:val="6"/>
              </w:rPr>
              <w:t>日才披露《关于部分募投项目调整实施进度</w:t>
            </w:r>
            <w:r>
              <w:rPr/>
              <w:t xml:space="preserve">  </w:t>
            </w:r>
            <w:r>
              <w:rPr>
                <w:spacing w:val="5"/>
              </w:rPr>
              <w:t>的公告》， 称“宁波德昌科技有限公司年产 734 万台小</w:t>
            </w:r>
            <w:r>
              <w:rPr>
                <w:spacing w:val="9"/>
              </w:rPr>
              <w:t xml:space="preserve">  </w:t>
            </w:r>
            <w:r>
              <w:rPr>
                <w:spacing w:val="7"/>
              </w:rPr>
              <w:t>家电产品建设项目”和“德昌电机年产 300 万台 </w:t>
            </w:r>
            <w:r>
              <w:rPr/>
              <w:t>EPS</w:t>
            </w:r>
            <w:r>
              <w:rPr>
                <w:spacing w:val="7"/>
              </w:rPr>
              <w:t xml:space="preserve"> 汽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车电机生产项目”的预计完工时间调整至 2024 年 12</w:t>
            </w:r>
          </w:p>
          <w:p>
            <w:pPr>
              <w:pStyle w:val="TableText"/>
              <w:ind w:left="99" w:right="34" w:firstLine="5"/>
              <w:spacing w:before="53" w:line="235" w:lineRule="auto"/>
              <w:rPr/>
            </w:pPr>
            <w:r>
              <w:rPr>
                <w:spacing w:val="4"/>
              </w:rPr>
              <w:t>月； 二是未及时披露</w:t>
            </w:r>
            <w:r>
              <w:rPr>
                <w:b/>
                <w:bCs/>
                <w:spacing w:val="4"/>
              </w:rPr>
              <w:t>部分项目变更</w:t>
            </w:r>
            <w:r>
              <w:rPr>
                <w:spacing w:val="4"/>
              </w:rPr>
              <w:t>情况， 公司</w:t>
            </w:r>
            <w:r>
              <w:rPr>
                <w:spacing w:val="3"/>
              </w:rPr>
              <w:t>迟至 2024</w:t>
            </w:r>
            <w:r>
              <w:rPr/>
              <w:t xml:space="preserve">    </w:t>
            </w:r>
            <w:r>
              <w:rPr>
                <w:spacing w:val="6"/>
              </w:rPr>
              <w:t>年 3 月 12</w:t>
            </w:r>
            <w:r>
              <w:rPr>
                <w:spacing w:val="35"/>
                <w:w w:val="101"/>
              </w:rPr>
              <w:t xml:space="preserve"> </w:t>
            </w:r>
            <w:r>
              <w:rPr>
                <w:spacing w:val="6"/>
              </w:rPr>
              <w:t>日才披露《关于变更部分募集资金投资项目的</w:t>
            </w:r>
            <w:r>
              <w:rPr/>
              <w:t xml:space="preserve">   </w:t>
            </w:r>
            <w:r>
              <w:rPr>
                <w:spacing w:val="11"/>
              </w:rPr>
              <w:t>公告》， 称将原募投项目“德昌电机研发中心建设项目”</w:t>
            </w:r>
            <w:r>
              <w:rPr/>
              <w:t xml:space="preserve"> </w:t>
            </w:r>
            <w:r>
              <w:rPr>
                <w:spacing w:val="6"/>
              </w:rPr>
              <w:t>对应的募集资金 12,293.74 万元变更用于“年产 150 万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280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4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5"/>
              <w:spacing w:before="101" w:line="190" w:lineRule="auto"/>
              <w:rPr/>
            </w:pPr>
            <w:r>
              <w:rPr>
                <w:spacing w:val="8"/>
              </w:rPr>
              <w:t>台家电产品生产线技术改造项目”。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3" w:right="103" w:firstLine="19"/>
              <w:spacing w:before="40" w:line="241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中国证券监督管理委员会宁波监管局决定对宁波德昌电机股份有限</w:t>
            </w:r>
            <w:r>
              <w:rPr/>
              <w:t xml:space="preserve"> </w:t>
            </w:r>
            <w:r>
              <w:rPr>
                <w:spacing w:val="10"/>
              </w:rPr>
              <w:t>公司、董事会秘书齐某琳采取出具警示函的行政监管措施， 并</w:t>
            </w:r>
            <w:r>
              <w:rPr>
                <w:spacing w:val="9"/>
              </w:rPr>
              <w:t>记入证券期货市场诚信</w:t>
            </w:r>
            <w:r>
              <w:rPr/>
              <w:t xml:space="preserve"> </w:t>
            </w:r>
            <w:r>
              <w:rPr>
                <w:spacing w:val="5"/>
              </w:rPr>
              <w:t>档案。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5" w:line="178" w:lineRule="auto"/>
              <w:rPr/>
            </w:pPr>
            <w:r>
              <w:rPr>
                <w:spacing w:val="3"/>
              </w:rPr>
              <w:t>300069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86" w:line="189" w:lineRule="auto"/>
              <w:rPr/>
            </w:pPr>
            <w:r>
              <w:rPr>
                <w:spacing w:val="9"/>
              </w:rPr>
              <w:t>金利华电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77" w:line="237" w:lineRule="auto"/>
              <w:jc w:val="both"/>
              <w:rPr/>
            </w:pPr>
            <w:r>
              <w:rPr>
                <w:spacing w:val="11"/>
              </w:rPr>
              <w:t>浙江金美为金利华电气股份有限公司控股股东山西红太阳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旅游开发有限公司控制的企业， 金利华设备与浙江金美发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生的交易构成</w:t>
            </w:r>
            <w:r>
              <w:rPr>
                <w:b/>
                <w:bCs/>
                <w:spacing w:val="8"/>
              </w:rPr>
              <w:t>关联交易</w:t>
            </w:r>
            <w:r>
              <w:rPr>
                <w:spacing w:val="8"/>
              </w:rPr>
              <w:t>， 金利华电气股份有限公司在交易</w:t>
            </w:r>
            <w:r>
              <w:rPr>
                <w:spacing w:val="9"/>
              </w:rPr>
              <w:t xml:space="preserve"> </w:t>
            </w:r>
            <w:r>
              <w:rPr>
                <w:spacing w:val="9"/>
              </w:rPr>
              <w:t>发生时未履行内部审议程序及信息披露义务。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66" w:firstLine="14"/>
              <w:spacing w:before="41" w:line="235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中国证券监督管理委员会山西监管</w:t>
            </w:r>
            <w:r>
              <w:rPr>
                <w:spacing w:val="8"/>
              </w:rPr>
              <w:t>局决定对金利华电气股份有限公</w:t>
            </w:r>
            <w:r>
              <w:rPr/>
              <w:t xml:space="preserve"> </w:t>
            </w:r>
            <w:r>
              <w:rPr>
                <w:spacing w:val="8"/>
              </w:rPr>
              <w:t>司采取责令改正并出具警示函的监督管理措</w:t>
            </w:r>
            <w:r>
              <w:rPr>
                <w:spacing w:val="7"/>
              </w:rPr>
              <w:t>施， 并记入证券期货市场诚信档案。</w:t>
            </w:r>
          </w:p>
        </w:tc>
      </w:tr>
      <w:tr>
        <w:trPr>
          <w:trHeight w:val="216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5" w:line="178" w:lineRule="auto"/>
              <w:rPr/>
            </w:pPr>
            <w:r>
              <w:rPr>
                <w:spacing w:val="3"/>
              </w:rPr>
              <w:t>603045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86" w:line="189" w:lineRule="auto"/>
              <w:rPr/>
            </w:pPr>
            <w:r>
              <w:rPr>
                <w:spacing w:val="8"/>
              </w:rPr>
              <w:t>福达合金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3" w:firstLine="1"/>
              <w:spacing w:before="85" w:line="241" w:lineRule="auto"/>
              <w:rPr/>
            </w:pPr>
            <w:r>
              <w:rPr>
                <w:spacing w:val="11"/>
              </w:rPr>
              <w:t>福达合金材料股份有限公司的实际控制人、董事长未及时</w:t>
            </w:r>
            <w:r>
              <w:rPr/>
              <w:t xml:space="preserve"> </w:t>
            </w:r>
            <w:r>
              <w:rPr>
                <w:spacing w:val="10"/>
              </w:rPr>
              <w:t>告知公司并披露本人及一致行动人</w:t>
            </w:r>
            <w:r>
              <w:rPr>
                <w:b/>
                <w:bCs/>
                <w:spacing w:val="10"/>
              </w:rPr>
              <w:t>为他人代</w:t>
            </w:r>
            <w:r>
              <w:rPr>
                <w:b/>
                <w:bCs/>
                <w:spacing w:val="9"/>
              </w:rPr>
              <w:t>持股份</w:t>
            </w:r>
            <w:r>
              <w:rPr>
                <w:spacing w:val="9"/>
              </w:rPr>
              <w:t>事项</w:t>
            </w:r>
            <w:r>
              <w:rPr>
                <w:spacing w:val="-26"/>
              </w:rPr>
              <w:t xml:space="preserve"> </w:t>
            </w:r>
            <w:r>
              <w:rPr>
                <w:spacing w:val="9"/>
              </w:rPr>
              <w:t>，</w:t>
            </w:r>
            <w:r>
              <w:rPr/>
              <w:t xml:space="preserve"> </w:t>
            </w:r>
            <w:r>
              <w:rPr>
                <w:spacing w:val="11"/>
              </w:rPr>
              <w:t>导致公司招股说明书中董事、监事、高级管理人员、核心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技术人员及其近亲属持股情况相关信息披露不准确， 且公</w:t>
            </w:r>
            <w:r>
              <w:rPr>
                <w:spacing w:val="10"/>
              </w:rPr>
              <w:t xml:space="preserve"> </w:t>
            </w:r>
            <w:r>
              <w:rPr>
                <w:spacing w:val="10"/>
              </w:rPr>
              <w:t>司 2018 年上市至今的各期定期报告中相关持股信息披露 </w:t>
            </w:r>
            <w:r>
              <w:rPr>
                <w:spacing w:val="6"/>
              </w:rPr>
              <w:t>不准确。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15" w:firstLine="14"/>
              <w:spacing w:before="41" w:line="235" w:lineRule="auto"/>
              <w:rPr/>
            </w:pPr>
            <w:r>
              <w:rPr>
                <w:b/>
                <w:bCs/>
                <w:spacing w:val="8"/>
              </w:rPr>
              <w:t>【行政监管措施】</w:t>
            </w:r>
            <w:r>
              <w:rPr>
                <w:b/>
                <w:bCs/>
                <w:spacing w:val="-14"/>
              </w:rPr>
              <w:t xml:space="preserve"> </w:t>
            </w:r>
            <w:r>
              <w:rPr>
                <w:spacing w:val="8"/>
              </w:rPr>
              <w:t>中国证券监督管理委员会浙江监管局决定对董事长,实际控制人王某</w:t>
            </w:r>
            <w:r>
              <w:rPr/>
              <w:t xml:space="preserve"> </w:t>
            </w:r>
            <w:r>
              <w:rPr>
                <w:spacing w:val="7"/>
              </w:rPr>
              <w:t>武采取责令改正的监督管理措施， 并记入证券期货市场诚信档案。</w:t>
            </w:r>
          </w:p>
        </w:tc>
      </w:tr>
      <w:tr>
        <w:trPr>
          <w:trHeight w:val="108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9" w:lineRule="auto"/>
              <w:rPr/>
            </w:pPr>
            <w:r>
              <w:rPr>
                <w:spacing w:val="3"/>
              </w:rPr>
              <w:t>601995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7"/>
              <w:spacing w:before="86" w:line="189" w:lineRule="auto"/>
              <w:rPr/>
            </w:pPr>
            <w:r>
              <w:rPr>
                <w:spacing w:val="5"/>
              </w:rPr>
              <w:t>中金公司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15"/>
              <w:spacing w:before="87" w:line="230" w:lineRule="auto"/>
              <w:jc w:val="both"/>
              <w:rPr/>
            </w:pPr>
            <w:r>
              <w:rPr>
                <w:spacing w:val="10"/>
              </w:rPr>
              <w:t>中国国际金融股份有限公司在开展资产管理业务时存在因</w:t>
            </w:r>
            <w:r>
              <w:rPr>
                <w:spacing w:val="11"/>
              </w:rPr>
              <w:t xml:space="preserve"> </w:t>
            </w:r>
            <w:r>
              <w:rPr>
                <w:spacing w:val="10"/>
              </w:rPr>
              <w:t>操作风险造成流动性缺口、违规提供通道服务、</w:t>
            </w:r>
            <w:r>
              <w:rPr>
                <w:spacing w:val="-33"/>
              </w:rPr>
              <w:t xml:space="preserve"> </w:t>
            </w:r>
            <w:r>
              <w:rPr>
                <w:spacing w:val="10"/>
              </w:rPr>
              <w:t>同日反向</w:t>
            </w:r>
            <w:r>
              <w:rPr/>
              <w:t xml:space="preserve"> </w:t>
            </w:r>
            <w:r>
              <w:rPr>
                <w:spacing w:val="9"/>
              </w:rPr>
              <w:t>交易未列明决策依据、产品账户间互相发生交易等问题。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66" w:firstLine="17"/>
              <w:spacing w:before="47" w:line="233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中国证券监督管理委员会北京监管</w:t>
            </w:r>
            <w:r>
              <w:rPr>
                <w:spacing w:val="8"/>
              </w:rPr>
              <w:t>局决定对中国国际金融股份有限</w:t>
            </w:r>
            <w:r>
              <w:rPr/>
              <w:t xml:space="preserve"> </w:t>
            </w:r>
            <w:r>
              <w:rPr>
                <w:spacing w:val="9"/>
              </w:rPr>
              <w:t>公司采取责令改正的监督管理措施。</w:t>
            </w:r>
          </w:p>
        </w:tc>
      </w:tr>
      <w:tr>
        <w:trPr>
          <w:trHeight w:val="796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318" w:line="179" w:lineRule="auto"/>
              <w:rPr/>
            </w:pPr>
            <w:r>
              <w:rPr>
                <w:spacing w:val="3"/>
              </w:rPr>
              <w:t>002819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2"/>
              <w:spacing w:before="305" w:line="189" w:lineRule="auto"/>
              <w:rPr/>
            </w:pPr>
            <w:r>
              <w:rPr>
                <w:spacing w:val="8"/>
              </w:rPr>
              <w:t>东方中科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15"/>
              <w:spacing w:before="159" w:line="219" w:lineRule="auto"/>
              <w:rPr/>
            </w:pPr>
            <w:r>
              <w:rPr>
                <w:spacing w:val="8"/>
              </w:rPr>
              <w:t>万里红 2022 年未能完成承诺业绩。截至目前,</w:t>
            </w:r>
            <w:r>
              <w:rPr>
                <w:spacing w:val="7"/>
              </w:rPr>
              <w:t>业绩承诺方</w:t>
            </w:r>
            <w:r>
              <w:rPr/>
              <w:t xml:space="preserve"> </w:t>
            </w:r>
            <w:r>
              <w:rPr>
                <w:spacing w:val="8"/>
              </w:rPr>
              <w:t>仍未履行</w:t>
            </w:r>
            <w:r>
              <w:rPr>
                <w:b/>
                <w:bCs/>
                <w:spacing w:val="8"/>
              </w:rPr>
              <w:t>业绩承诺补偿</w:t>
            </w:r>
            <w:r>
              <w:rPr>
                <w:spacing w:val="8"/>
              </w:rPr>
              <w:t>义务。</w:t>
            </w:r>
          </w:p>
        </w:tc>
      </w:tr>
      <w:tr>
        <w:trPr>
          <w:trHeight w:val="180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66" w:firstLine="17"/>
              <w:spacing w:before="49" w:line="244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中国证券监督管理委员会北京监管</w:t>
            </w:r>
            <w:r>
              <w:rPr>
                <w:spacing w:val="8"/>
              </w:rPr>
              <w:t>局决定对业绩承诺方万里锦程创</w:t>
            </w:r>
            <w:r>
              <w:rPr/>
              <w:t xml:space="preserve"> </w:t>
            </w:r>
            <w:r>
              <w:rPr>
                <w:spacing w:val="10"/>
              </w:rPr>
              <w:t>业投资有限公司、刘某、杭州明颉企业管理有限公司、赵某、张某林、珠</w:t>
            </w:r>
            <w:r>
              <w:rPr>
                <w:spacing w:val="9"/>
              </w:rPr>
              <w:t>海华安众泓</w:t>
            </w:r>
            <w:r>
              <w:rPr/>
              <w:t xml:space="preserve"> </w:t>
            </w:r>
            <w:r>
              <w:rPr>
                <w:spacing w:val="9"/>
              </w:rPr>
              <w:t>投资中心(有限合伙)、珠海华安众泰投资中心(有限合伙)、王某贞、刘某全、张某亮</w:t>
            </w:r>
            <w:r>
              <w:rPr>
                <w:spacing w:val="1"/>
              </w:rPr>
              <w:t xml:space="preserve">   </w:t>
            </w:r>
            <w:r>
              <w:rPr>
                <w:spacing w:val="10"/>
              </w:rPr>
              <w:t>、孙某兵、北京泰和成长控股有限公司、余</w:t>
            </w:r>
            <w:r>
              <w:rPr>
                <w:spacing w:val="9"/>
              </w:rPr>
              <w:t>某兵、珠海众诚联合投资中心(有限合伙)</w:t>
            </w:r>
            <w:r>
              <w:rPr/>
              <w:t xml:space="preserve">  </w:t>
            </w:r>
            <w:r>
              <w:rPr>
                <w:spacing w:val="9"/>
              </w:rPr>
              <w:t>采取责令改正的行政监管措施,并记入证券期货市场诚信档案。</w:t>
            </w:r>
          </w:p>
        </w:tc>
      </w:tr>
      <w:tr>
        <w:trPr>
          <w:trHeight w:val="187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600289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2"/>
              <w:spacing w:before="86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信通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15" w:firstLine="1"/>
              <w:spacing w:before="163" w:line="238" w:lineRule="auto"/>
              <w:rPr/>
            </w:pPr>
            <w:r>
              <w:rPr>
                <w:spacing w:val="10"/>
              </w:rPr>
              <w:t>控股股东亿阳集团股份有限公司</w:t>
            </w:r>
            <w:r>
              <w:rPr>
                <w:b/>
                <w:bCs/>
                <w:spacing w:val="10"/>
              </w:rPr>
              <w:t>非经营性占用</w:t>
            </w:r>
            <w:r>
              <w:rPr>
                <w:spacing w:val="9"/>
              </w:rPr>
              <w:t>上市公司资</w:t>
            </w:r>
            <w:r>
              <w:rPr/>
              <w:t xml:space="preserve"> </w:t>
            </w:r>
            <w:r>
              <w:rPr>
                <w:spacing w:val="4"/>
              </w:rPr>
              <w:t>金。根据亿阳信通 2024 年 4 月 </w:t>
            </w:r>
            <w:r>
              <w:rPr>
                <w:spacing w:val="3"/>
              </w:rPr>
              <w:t>30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3"/>
              </w:rPr>
              <w:t>日披露的《</w:t>
            </w:r>
            <w:r>
              <w:rPr>
                <w:spacing w:val="-32"/>
              </w:rPr>
              <w:t xml:space="preserve"> </w:t>
            </w:r>
            <w:r>
              <w:rPr>
                <w:spacing w:val="3"/>
              </w:rPr>
              <w:t>2023 年</w:t>
            </w:r>
            <w:r>
              <w:rPr/>
              <w:t xml:space="preserve">    </w:t>
            </w:r>
            <w:r>
              <w:rPr>
                <w:spacing w:val="3"/>
              </w:rPr>
              <w:t>年度报告》， 截至 2023 年年报披露日， 亿阳集团占用亿</w:t>
            </w:r>
            <w:r>
              <w:rPr>
                <w:spacing w:val="8"/>
              </w:rPr>
              <w:t xml:space="preserve">  </w:t>
            </w:r>
            <w:r>
              <w:rPr>
                <w:spacing w:val="5"/>
              </w:rPr>
              <w:t>阳信通资金余额 53,386.92 万元，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4"/>
              </w:rPr>
              <w:t>占亿阳信通最近一期经</w:t>
            </w:r>
            <w:r>
              <w:rPr/>
              <w:t xml:space="preserve"> </w:t>
            </w:r>
            <w:r>
              <w:rPr>
                <w:spacing w:val="6"/>
              </w:rPr>
              <w:t>审计净资产的比例为 126.01%。</w:t>
            </w:r>
          </w:p>
        </w:tc>
      </w:tr>
      <w:tr>
        <w:trPr>
          <w:trHeight w:val="180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4" w:right="103" w:firstLine="18"/>
              <w:spacing w:before="48" w:line="244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中国证券监督管理委员会黑龙江监管局决定对亿阳信通、亿阳集团</w:t>
            </w:r>
            <w:r>
              <w:rPr/>
              <w:t xml:space="preserve"> </w:t>
            </w:r>
            <w:r>
              <w:rPr>
                <w:spacing w:val="11"/>
              </w:rPr>
              <w:t>采取责令改正的行政监管措施， 请亿阳信通在 6 个月内清收被占用的</w:t>
            </w:r>
            <w:r>
              <w:rPr>
                <w:spacing w:val="23"/>
              </w:rPr>
              <w:t xml:space="preserve"> </w:t>
            </w:r>
            <w:r>
              <w:rPr>
                <w:spacing w:val="11"/>
              </w:rPr>
              <w:t>53</w:t>
            </w:r>
            <w:r>
              <w:rPr>
                <w:spacing w:val="10"/>
              </w:rPr>
              <w:t>,386.92 万</w:t>
            </w:r>
            <w:r>
              <w:rPr/>
              <w:t xml:space="preserve"> </w:t>
            </w:r>
            <w:r>
              <w:rPr>
                <w:spacing w:val="8"/>
              </w:rPr>
              <w:t>元， 清空资金占用余额。亿阳信通应采取积极措施清收被占用的资金， 维护上</w:t>
            </w:r>
            <w:r>
              <w:rPr>
                <w:spacing w:val="7"/>
              </w:rPr>
              <w:t>市公司</w:t>
            </w:r>
            <w:r>
              <w:rPr/>
              <w:t xml:space="preserve"> </w:t>
            </w:r>
            <w:r>
              <w:rPr>
                <w:spacing w:val="13"/>
              </w:rPr>
              <w:t>及中小股东利益； 亿阳集团应切实履行主体责任， 积极筹措偿还占用亿阳信通的资</w:t>
            </w:r>
            <w:r>
              <w:rPr>
                <w:spacing w:val="16"/>
              </w:rPr>
              <w:t xml:space="preserve"> </w:t>
            </w:r>
            <w:r>
              <w:rPr>
                <w:spacing w:val="3"/>
              </w:rPr>
              <w:t>金。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287" w:line="178" w:lineRule="auto"/>
              <w:rPr/>
            </w:pPr>
            <w:r>
              <w:rPr>
                <w:spacing w:val="3"/>
              </w:rPr>
              <w:t>002742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15"/>
              <w:spacing w:before="286" w:line="17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三圣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/>
              <w:spacing w:before="93" w:line="217" w:lineRule="auto"/>
              <w:rPr/>
            </w:pPr>
            <w:r>
              <w:rPr>
                <w:spacing w:val="11"/>
              </w:rPr>
              <w:t>控股股东、实际控制人及其关联方</w:t>
            </w:r>
            <w:r>
              <w:rPr>
                <w:b/>
                <w:bCs/>
                <w:spacing w:val="11"/>
              </w:rPr>
              <w:t>非经营性占用</w:t>
            </w:r>
            <w:r>
              <w:rPr>
                <w:spacing w:val="11"/>
              </w:rPr>
              <w:t>上市公司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资金。</w:t>
            </w:r>
          </w:p>
        </w:tc>
      </w:tr>
      <w:tr>
        <w:trPr>
          <w:trHeight w:val="732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66" w:firstLine="17"/>
              <w:spacing w:before="52" w:line="234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中国证券监督管理委员会重庆监管</w:t>
            </w:r>
            <w:r>
              <w:rPr>
                <w:spacing w:val="8"/>
              </w:rPr>
              <w:t>局决定对重庆三圣实业股份有限</w:t>
            </w:r>
            <w:r>
              <w:rPr/>
              <w:t xml:space="preserve"> </w:t>
            </w:r>
            <w:r>
              <w:rPr>
                <w:spacing w:val="9"/>
              </w:rPr>
              <w:t>公司及潘先文采取责令改正的行政监管措施。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148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44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743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36"/>
              <w:spacing w:before="295" w:line="178" w:lineRule="auto"/>
              <w:rPr/>
            </w:pPr>
            <w:r>
              <w:rPr>
                <w:spacing w:val="3"/>
              </w:rPr>
              <w:t>000023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62"/>
              <w:spacing w:before="284" w:line="186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深天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 w:right="103"/>
              <w:spacing w:before="63" w:line="234" w:lineRule="auto"/>
              <w:rPr/>
            </w:pPr>
            <w:r>
              <w:rPr>
                <w:spacing w:val="6"/>
              </w:rPr>
              <w:t>深圳市天地 （集团） 股份有限公司实际控制人</w:t>
            </w:r>
            <w:r>
              <w:rPr>
                <w:spacing w:val="5"/>
              </w:rPr>
              <w:t>及其关联人</w:t>
            </w:r>
            <w:r>
              <w:rPr/>
              <w:t xml:space="preserve"> </w:t>
            </w:r>
            <w:r>
              <w:rPr>
                <w:b/>
                <w:bCs/>
                <w:spacing w:val="8"/>
              </w:rPr>
              <w:t>非经营性占用</w:t>
            </w:r>
            <w:r>
              <w:rPr>
                <w:spacing w:val="8"/>
              </w:rPr>
              <w:t>上市公司资金。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66" w:firstLine="17"/>
              <w:spacing w:before="39" w:line="236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中国证券监督管理委员会深圳监管</w:t>
            </w:r>
            <w:r>
              <w:rPr>
                <w:spacing w:val="8"/>
              </w:rPr>
              <w:t>局决定对公司、实际控制人林某</w:t>
            </w:r>
            <w:r>
              <w:rPr/>
              <w:t xml:space="preserve"> </w:t>
            </w:r>
            <w:r>
              <w:rPr>
                <w:spacing w:val="8"/>
              </w:rPr>
              <w:t>润采取责令改正的监管措施。</w:t>
            </w:r>
          </w:p>
        </w:tc>
      </w:tr>
      <w:tr>
        <w:trPr>
          <w:trHeight w:val="72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278" w:line="178" w:lineRule="auto"/>
              <w:rPr/>
            </w:pPr>
            <w:r>
              <w:rPr>
                <w:spacing w:val="3"/>
              </w:rPr>
              <w:t>002700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15"/>
              <w:spacing w:before="265" w:line="188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浩源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6"/>
              <w:spacing w:before="83" w:line="220" w:lineRule="auto"/>
              <w:rPr/>
            </w:pPr>
            <w:r>
              <w:rPr>
                <w:b/>
                <w:bCs/>
                <w:spacing w:val="19"/>
              </w:rPr>
              <w:t>控股股东及关联方占用</w:t>
            </w:r>
            <w:r>
              <w:rPr>
                <w:spacing w:val="19"/>
              </w:rPr>
              <w:t>新疆浩源天然气股份有限公司资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金。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66" w:firstLine="16"/>
              <w:spacing w:before="44" w:line="234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中国证券监督管理委员会新疆监管</w:t>
            </w:r>
            <w:r>
              <w:rPr>
                <w:spacing w:val="8"/>
              </w:rPr>
              <w:t>局决定对新疆浩源、控股股东周</w:t>
            </w:r>
            <w:r>
              <w:rPr/>
              <w:t xml:space="preserve"> </w:t>
            </w:r>
            <w:r>
              <w:rPr>
                <w:spacing w:val="9"/>
              </w:rPr>
              <w:t>某东采取责令改正的行政监管措施。</w:t>
            </w:r>
          </w:p>
        </w:tc>
      </w:tr>
      <w:tr>
        <w:trPr>
          <w:trHeight w:val="1801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603045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86" w:line="189" w:lineRule="auto"/>
              <w:rPr/>
            </w:pPr>
            <w:r>
              <w:rPr>
                <w:spacing w:val="8"/>
              </w:rPr>
              <w:t>福达合金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9" w:line="238" w:lineRule="auto"/>
              <w:jc w:val="both"/>
              <w:rPr/>
            </w:pPr>
            <w:r>
              <w:rPr>
                <w:spacing w:val="11"/>
              </w:rPr>
              <w:t>福达合金材料股份有限公司存在实际控制人、董事长及其</w:t>
            </w:r>
            <w:r>
              <w:rPr/>
              <w:t xml:space="preserve"> </w:t>
            </w:r>
            <w:r>
              <w:rPr>
                <w:spacing w:val="8"/>
              </w:rPr>
              <w:t>一致行动人</w:t>
            </w:r>
            <w:r>
              <w:rPr>
                <w:b/>
                <w:bCs/>
                <w:spacing w:val="8"/>
              </w:rPr>
              <w:t>为他人代持股份</w:t>
            </w:r>
            <w:r>
              <w:rPr>
                <w:spacing w:val="8"/>
              </w:rPr>
              <w:t>未及时披露事项， 导致公司招</w:t>
            </w:r>
            <w:r>
              <w:rPr>
                <w:spacing w:val="7"/>
              </w:rPr>
              <w:t xml:space="preserve"> </w:t>
            </w:r>
            <w:r>
              <w:rPr>
                <w:spacing w:val="11"/>
              </w:rPr>
              <w:t>股说明书中董事、监事、高级管理人员、核心技术人员及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其近亲属持股情况相关信息披露不准确， 且公司 2018</w:t>
            </w:r>
            <w:r>
              <w:rPr>
                <w:spacing w:val="7"/>
              </w:rPr>
              <w:t xml:space="preserve"> 年</w:t>
            </w:r>
            <w:r>
              <w:rPr/>
              <w:t xml:space="preserve"> </w:t>
            </w:r>
            <w:r>
              <w:rPr>
                <w:spacing w:val="9"/>
              </w:rPr>
              <w:t>上市至今的各期定期报告中相关持股信息披露不准确。</w:t>
            </w:r>
          </w:p>
        </w:tc>
      </w:tr>
      <w:tr>
        <w:trPr>
          <w:trHeight w:val="109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4" w:right="166" w:firstLine="18"/>
              <w:spacing w:before="49" w:line="241" w:lineRule="auto"/>
              <w:jc w:val="both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局决定对公司采取责令改正的监</w:t>
            </w:r>
            <w:r>
              <w:rPr/>
              <w:t xml:space="preserve"> </w:t>
            </w:r>
            <w:r>
              <w:rPr>
                <w:spacing w:val="6"/>
              </w:rPr>
              <w:t>督管理措施， 对时任董秘陈某扬采取出具警示函的监督管理措施， 并记入证券期货市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场诚信档案。</w:t>
            </w:r>
          </w:p>
        </w:tc>
      </w:tr>
    </w:tbl>
    <w:p>
      <w:pPr>
        <w:spacing w:before="312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4"/>
        </w:rPr>
        <w:t>（4） 立案调查</w:t>
      </w:r>
    </w:p>
    <w:p>
      <w:pPr>
        <w:spacing w:before="191"/>
        <w:rPr/>
      </w:pPr>
      <w:r/>
    </w:p>
    <w:tbl>
      <w:tblPr>
        <w:tblStyle w:val="TableNormal"/>
        <w:tblW w:w="8053" w:type="dxa"/>
        <w:tblInd w:w="144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6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1"/>
              <w:spacing w:before="108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4"/>
              <w:spacing w:before="108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0"/>
              <w:spacing w:before="108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087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8" w:lineRule="auto"/>
              <w:rPr/>
            </w:pPr>
            <w:r>
              <w:rPr>
                <w:spacing w:val="3"/>
              </w:rPr>
              <w:t>002425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85" w:line="189" w:lineRule="auto"/>
              <w:rPr/>
            </w:pPr>
            <w:r>
              <w:rPr>
                <w:spacing w:val="7"/>
              </w:rPr>
              <w:t>凯撒文化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0" w:right="134" w:firstLine="14"/>
              <w:spacing w:before="47"/>
              <w:jc w:val="both"/>
              <w:rPr/>
            </w:pPr>
            <w:r>
              <w:rPr>
                <w:spacing w:val="6"/>
              </w:rPr>
              <w:t>因公司</w:t>
            </w:r>
            <w:r>
              <w:rPr>
                <w:b/>
                <w:bCs/>
                <w:spacing w:val="6"/>
              </w:rPr>
              <w:t>涉嫌信息披露违法违规</w:t>
            </w:r>
            <w:r>
              <w:rPr>
                <w:spacing w:val="6"/>
              </w:rPr>
              <w:t>， 根据《中华人民共和国证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7"/>
              </w:rPr>
              <w:t>券法》《中华人民共和国行政处罚法》等法律法规， 中国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证监会决定对凯撒 （中国） 文化股份有限</w:t>
            </w:r>
            <w:r>
              <w:rPr>
                <w:spacing w:val="3"/>
              </w:rPr>
              <w:t>公司立案。</w:t>
            </w:r>
          </w:p>
        </w:tc>
      </w:tr>
      <w:tr>
        <w:trPr>
          <w:trHeight w:val="1082" w:hRule="atLeast"/>
        </w:trPr>
        <w:tc>
          <w:tcPr>
            <w:tcW w:w="1214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300282</w:t>
            </w:r>
          </w:p>
        </w:tc>
        <w:tc>
          <w:tcPr>
            <w:tcW w:w="1343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2"/>
              <w:spacing w:before="86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三盛</w:t>
            </w:r>
          </w:p>
        </w:tc>
        <w:tc>
          <w:tcPr>
            <w:tcW w:w="5496" w:type="dxa"/>
            <w:vAlign w:val="top"/>
          </w:tcPr>
          <w:p>
            <w:pPr>
              <w:pStyle w:val="TableText"/>
              <w:ind w:left="99" w:right="134"/>
              <w:spacing w:before="46" w:line="239" w:lineRule="auto"/>
              <w:jc w:val="both"/>
              <w:rPr/>
            </w:pPr>
            <w:r>
              <w:rPr>
                <w:spacing w:val="6"/>
              </w:rPr>
              <w:t>公司因</w:t>
            </w:r>
            <w:r>
              <w:rPr>
                <w:b/>
                <w:bCs/>
                <w:spacing w:val="6"/>
              </w:rPr>
              <w:t>未在规定期限内披露 2023 年年报</w:t>
            </w:r>
            <w:r>
              <w:rPr>
                <w:spacing w:val="5"/>
              </w:rPr>
              <w:t>， 根据《中华人</w:t>
            </w:r>
            <w:r>
              <w:rPr/>
              <w:t xml:space="preserve"> </w:t>
            </w:r>
            <w:r>
              <w:rPr>
                <w:spacing w:val="10"/>
              </w:rPr>
              <w:t>民共和国证券法》《中华人民共和国行政处</w:t>
            </w:r>
            <w:r>
              <w:rPr>
                <w:spacing w:val="9"/>
              </w:rPr>
              <w:t>罚法》等法律</w:t>
            </w:r>
            <w:r>
              <w:rPr/>
              <w:t xml:space="preserve"> </w:t>
            </w:r>
            <w:r>
              <w:rPr>
                <w:spacing w:val="5"/>
              </w:rPr>
              <w:t>法规， 中国证监会决定对公司立案。</w:t>
            </w:r>
          </w:p>
        </w:tc>
      </w:tr>
      <w:tr>
        <w:trPr>
          <w:trHeight w:val="144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300096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0"/>
              <w:spacing w:before="86" w:line="188" w:lineRule="auto"/>
              <w:rPr/>
            </w:pPr>
            <w:r>
              <w:rPr/>
              <w:t>ST</w:t>
            </w:r>
            <w:r>
              <w:rPr>
                <w:spacing w:val="5"/>
              </w:rPr>
              <w:t xml:space="preserve"> 易联众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34" w:firstLine="14"/>
              <w:spacing w:before="87" w:line="235" w:lineRule="auto"/>
              <w:rPr/>
            </w:pPr>
            <w:r>
              <w:rPr>
                <w:spacing w:val="9"/>
              </w:rPr>
              <w:t>因公司</w:t>
            </w:r>
            <w:r>
              <w:rPr>
                <w:b/>
                <w:bCs/>
                <w:spacing w:val="9"/>
              </w:rPr>
              <w:t>涉嫌未按规定披露为关联方提供担保</w:t>
            </w:r>
            <w:r>
              <w:rPr>
                <w:spacing w:val="9"/>
              </w:rPr>
              <w:t>等信息披露违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法违规， 根据《中华人民共和国证券法》《中华人民共和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国行政处罚法》等法律法规， 中国证监会决定对公司立</w:t>
            </w:r>
            <w:r>
              <w:rPr/>
              <w:t xml:space="preserve">    </w:t>
            </w:r>
            <w:r>
              <w:rPr>
                <w:spacing w:val="3"/>
              </w:rPr>
              <w:t>案。</w:t>
            </w:r>
          </w:p>
        </w:tc>
      </w:tr>
      <w:tr>
        <w:trPr>
          <w:trHeight w:val="1442" w:hRule="atLeast"/>
        </w:trPr>
        <w:tc>
          <w:tcPr>
            <w:tcW w:w="12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8" w:lineRule="auto"/>
              <w:rPr/>
            </w:pPr>
            <w:r>
              <w:rPr>
                <w:spacing w:val="3"/>
              </w:rPr>
              <w:t>000040</w:t>
            </w:r>
          </w:p>
        </w:tc>
        <w:tc>
          <w:tcPr>
            <w:tcW w:w="134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89" w:lineRule="auto"/>
              <w:rPr/>
            </w:pPr>
            <w:r>
              <w:rPr>
                <w:spacing w:val="8"/>
              </w:rPr>
              <w:t>东旭蓝天</w:t>
            </w:r>
          </w:p>
        </w:tc>
        <w:tc>
          <w:tcPr>
            <w:tcW w:w="5496" w:type="dxa"/>
            <w:vAlign w:val="top"/>
          </w:tcPr>
          <w:p>
            <w:pPr>
              <w:pStyle w:val="TableText"/>
              <w:ind w:left="99" w:right="134" w:firstLine="14"/>
              <w:spacing w:before="47" w:line="242" w:lineRule="auto"/>
              <w:jc w:val="both"/>
              <w:rPr/>
            </w:pPr>
            <w:r>
              <w:rPr>
                <w:spacing w:val="5"/>
              </w:rPr>
              <w:t>因公司</w:t>
            </w:r>
            <w:r>
              <w:rPr>
                <w:b/>
                <w:bCs/>
                <w:spacing w:val="5"/>
              </w:rPr>
              <w:t>未在规定期限内披露 2023 年年报</w:t>
            </w:r>
            <w:r>
              <w:rPr>
                <w:spacing w:val="5"/>
              </w:rPr>
              <w:t>， 根据《中华人</w:t>
            </w:r>
            <w:r>
              <w:rPr>
                <w:spacing w:val="6"/>
              </w:rPr>
              <w:t xml:space="preserve"> </w:t>
            </w:r>
            <w:r>
              <w:rPr>
                <w:spacing w:val="10"/>
              </w:rPr>
              <w:t>民共和国证券法》《中华人民共和国行政处罚</w:t>
            </w:r>
            <w:r>
              <w:rPr>
                <w:spacing w:val="9"/>
              </w:rPr>
              <w:t>法》等法律</w:t>
            </w:r>
            <w:r>
              <w:rPr/>
              <w:t xml:space="preserve"> </w:t>
            </w:r>
            <w:r>
              <w:rPr>
                <w:spacing w:val="7"/>
              </w:rPr>
              <w:t>法规， 中国证券监督管理委员会决定对东旭蓝天新能源股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份有限公司立案。</w:t>
            </w:r>
          </w:p>
        </w:tc>
      </w:tr>
      <w:tr>
        <w:trPr>
          <w:trHeight w:val="144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5" w:line="178" w:lineRule="auto"/>
              <w:rPr/>
            </w:pPr>
            <w:r>
              <w:rPr>
                <w:spacing w:val="3"/>
              </w:rPr>
              <w:t>000976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华铁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34" w:firstLine="14"/>
              <w:spacing w:before="93" w:line="234" w:lineRule="auto"/>
              <w:jc w:val="both"/>
              <w:rPr/>
            </w:pPr>
            <w:r>
              <w:rPr>
                <w:spacing w:val="6"/>
              </w:rPr>
              <w:t>因公司</w:t>
            </w:r>
            <w:r>
              <w:rPr>
                <w:b/>
                <w:bCs/>
                <w:spacing w:val="6"/>
              </w:rPr>
              <w:t>涉嫌未按时披露年度报告等信息披露违法违规</w:t>
            </w:r>
            <w:r>
              <w:rPr>
                <w:spacing w:val="6"/>
              </w:rPr>
              <w:t>， 根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10"/>
              </w:rPr>
              <w:t>据《中华人民共和国证券法》《中华人民共</w:t>
            </w:r>
            <w:r>
              <w:rPr>
                <w:spacing w:val="9"/>
              </w:rPr>
              <w:t>和国行政处罚</w:t>
            </w:r>
            <w:r>
              <w:rPr/>
              <w:t xml:space="preserve"> </w:t>
            </w:r>
            <w:r>
              <w:rPr>
                <w:spacing w:val="7"/>
              </w:rPr>
              <w:t>法》等法律法规， 中国证券监督管理委员会决定对广东华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铁通达高铁装备股份有限公司立案。</w:t>
            </w:r>
          </w:p>
        </w:tc>
      </w:tr>
      <w:tr>
        <w:trPr>
          <w:trHeight w:val="1083" w:hRule="atLeast"/>
        </w:trPr>
        <w:tc>
          <w:tcPr>
            <w:tcW w:w="1214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8" w:lineRule="auto"/>
              <w:rPr/>
            </w:pPr>
            <w:r>
              <w:rPr>
                <w:spacing w:val="3"/>
              </w:rPr>
              <w:t>002308</w:t>
            </w:r>
          </w:p>
        </w:tc>
        <w:tc>
          <w:tcPr>
            <w:tcW w:w="1343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88" w:lineRule="auto"/>
              <w:rPr/>
            </w:pPr>
            <w:r>
              <w:rPr>
                <w:spacing w:val="8"/>
              </w:rPr>
              <w:t>威创股份</w:t>
            </w:r>
          </w:p>
        </w:tc>
        <w:tc>
          <w:tcPr>
            <w:tcW w:w="5496" w:type="dxa"/>
            <w:vAlign w:val="top"/>
          </w:tcPr>
          <w:p>
            <w:pPr>
              <w:pStyle w:val="TableText"/>
              <w:ind w:left="100" w:right="134" w:firstLine="14"/>
              <w:spacing w:before="90" w:line="229" w:lineRule="auto"/>
              <w:jc w:val="both"/>
              <w:rPr/>
            </w:pPr>
            <w:r>
              <w:rPr>
                <w:spacing w:val="6"/>
              </w:rPr>
              <w:t>因公司</w:t>
            </w:r>
            <w:r>
              <w:rPr>
                <w:b/>
                <w:bCs/>
                <w:spacing w:val="6"/>
              </w:rPr>
              <w:t>涉嫌未按时披露年度报告等信息披露违法违规</w:t>
            </w:r>
            <w:r>
              <w:rPr>
                <w:spacing w:val="6"/>
              </w:rPr>
              <w:t>， 根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10"/>
              </w:rPr>
              <w:t>据《中华人民共和国证券法》《中华人民共</w:t>
            </w:r>
            <w:r>
              <w:rPr>
                <w:spacing w:val="9"/>
              </w:rPr>
              <w:t>和国行政处罚</w:t>
            </w:r>
            <w:r>
              <w:rPr/>
              <w:t xml:space="preserve"> </w:t>
            </w:r>
            <w:r>
              <w:rPr>
                <w:spacing w:val="6"/>
              </w:rPr>
              <w:t>法》等法律法规， 中国证监会决定对公司立案。</w:t>
            </w:r>
          </w:p>
        </w:tc>
      </w:tr>
      <w:tr>
        <w:trPr>
          <w:trHeight w:val="1089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9" w:lineRule="auto"/>
              <w:rPr/>
            </w:pPr>
            <w:r>
              <w:rPr>
                <w:spacing w:val="3"/>
              </w:rPr>
              <w:t>000413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89" w:lineRule="auto"/>
              <w:rPr/>
            </w:pPr>
            <w:r>
              <w:rPr>
                <w:spacing w:val="8"/>
              </w:rPr>
              <w:t>东旭光电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34" w:firstLine="14"/>
              <w:spacing w:before="53" w:line="239" w:lineRule="auto"/>
              <w:jc w:val="both"/>
              <w:rPr/>
            </w:pPr>
            <w:r>
              <w:rPr>
                <w:spacing w:val="5"/>
              </w:rPr>
              <w:t>因公司</w:t>
            </w:r>
            <w:r>
              <w:rPr>
                <w:b/>
                <w:bCs/>
                <w:spacing w:val="5"/>
              </w:rPr>
              <w:t>未在规定期限内披露 2023 年年报</w:t>
            </w:r>
            <w:r>
              <w:rPr>
                <w:spacing w:val="5"/>
              </w:rPr>
              <w:t>， 根据《中华人</w:t>
            </w:r>
            <w:r>
              <w:rPr>
                <w:spacing w:val="6"/>
              </w:rPr>
              <w:t xml:space="preserve"> </w:t>
            </w:r>
            <w:r>
              <w:rPr>
                <w:spacing w:val="10"/>
              </w:rPr>
              <w:t>民共和国证券法》《中华人民共和国行政处</w:t>
            </w:r>
            <w:r>
              <w:rPr>
                <w:spacing w:val="9"/>
              </w:rPr>
              <w:t>罚法》等法律</w:t>
            </w:r>
            <w:r>
              <w:rPr/>
              <w:t xml:space="preserve"> </w:t>
            </w:r>
            <w:r>
              <w:rPr>
                <w:spacing w:val="6"/>
              </w:rPr>
              <w:t>法规， 证监会决定对东旭光电科技股份有限公司立案。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214" w:left="478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1460" w:hRule="atLeast"/>
        </w:trPr>
        <w:tc>
          <w:tcPr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300742</w:t>
            </w:r>
          </w:p>
        </w:tc>
        <w:tc>
          <w:tcPr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2"/>
              <w:spacing w:before="86" w:line="188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越博</w:t>
            </w:r>
          </w:p>
        </w:tc>
        <w:tc>
          <w:tcPr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0" w:right="134" w:firstLine="14"/>
              <w:spacing w:before="65" w:line="242" w:lineRule="auto"/>
              <w:jc w:val="both"/>
              <w:rPr/>
            </w:pPr>
            <w:r>
              <w:rPr>
                <w:spacing w:val="5"/>
              </w:rPr>
              <w:t>因公司</w:t>
            </w:r>
            <w:r>
              <w:rPr>
                <w:b/>
                <w:bCs/>
                <w:spacing w:val="5"/>
              </w:rPr>
              <w:t>未在规定期限内披露 2023 年年报</w:t>
            </w:r>
            <w:r>
              <w:rPr>
                <w:spacing w:val="5"/>
              </w:rPr>
              <w:t>， 根据《中华人</w:t>
            </w:r>
            <w:r>
              <w:rPr>
                <w:spacing w:val="6"/>
              </w:rPr>
              <w:t xml:space="preserve"> </w:t>
            </w:r>
            <w:r>
              <w:rPr>
                <w:spacing w:val="10"/>
              </w:rPr>
              <w:t>民共和国证券法》《中华人民共和国行政处</w:t>
            </w:r>
            <w:r>
              <w:rPr>
                <w:spacing w:val="9"/>
              </w:rPr>
              <w:t>罚法》等法律</w:t>
            </w:r>
            <w:r>
              <w:rPr/>
              <w:t xml:space="preserve"> </w:t>
            </w:r>
            <w:r>
              <w:rPr>
                <w:spacing w:val="7"/>
              </w:rPr>
              <w:t>法规， 中国证监会决定对南京越博动力系统股份有限公司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立案。</w:t>
            </w:r>
          </w:p>
        </w:tc>
      </w:tr>
      <w:tr>
        <w:trPr>
          <w:trHeight w:val="1441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5" w:line="178" w:lineRule="auto"/>
              <w:rPr/>
            </w:pPr>
            <w:r>
              <w:rPr>
                <w:spacing w:val="3"/>
              </w:rPr>
              <w:t>300630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86" w:line="189" w:lineRule="auto"/>
              <w:rPr/>
            </w:pPr>
            <w:r>
              <w:rPr>
                <w:spacing w:val="8"/>
              </w:rPr>
              <w:t>普利制药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34" w:firstLine="14"/>
              <w:spacing w:before="86" w:line="235" w:lineRule="auto"/>
              <w:jc w:val="both"/>
              <w:rPr/>
            </w:pPr>
            <w:r>
              <w:rPr>
                <w:spacing w:val="5"/>
              </w:rPr>
              <w:t>因公司</w:t>
            </w:r>
            <w:r>
              <w:rPr>
                <w:b/>
                <w:bCs/>
                <w:spacing w:val="5"/>
              </w:rPr>
              <w:t>未在法定期限内披露 2023 年年度报告， 涉嫌信息</w:t>
            </w:r>
            <w:r>
              <w:rPr>
                <w:b/>
                <w:bCs/>
                <w:spacing w:val="6"/>
              </w:rPr>
              <w:t xml:space="preserve"> </w:t>
            </w:r>
            <w:r>
              <w:rPr>
                <w:b/>
                <w:bCs/>
                <w:spacing w:val="7"/>
              </w:rPr>
              <w:t>披露违法违规</w:t>
            </w:r>
            <w:r>
              <w:rPr>
                <w:spacing w:val="7"/>
              </w:rPr>
              <w:t>， 根据《中华人民共和国证券法》《中华人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民共和国行政处罚法》等法律法规， 中国证监会决定对海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南普利制药股份有限公司立案。</w:t>
            </w:r>
          </w:p>
        </w:tc>
      </w:tr>
      <w:tr>
        <w:trPr>
          <w:trHeight w:val="1090" w:hRule="atLeast"/>
        </w:trPr>
        <w:tc>
          <w:tcPr>
            <w:tcW w:w="1214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9" w:lineRule="auto"/>
              <w:rPr/>
            </w:pPr>
            <w:r>
              <w:rPr>
                <w:spacing w:val="3"/>
              </w:rPr>
              <w:t>600715</w:t>
            </w:r>
          </w:p>
        </w:tc>
        <w:tc>
          <w:tcPr>
            <w:tcW w:w="1343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2"/>
              <w:spacing w:before="86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文投</w:t>
            </w:r>
          </w:p>
        </w:tc>
        <w:tc>
          <w:tcPr>
            <w:tcW w:w="5496" w:type="dxa"/>
            <w:vAlign w:val="top"/>
          </w:tcPr>
          <w:p>
            <w:pPr>
              <w:pStyle w:val="TableText"/>
              <w:ind w:left="100" w:right="134" w:firstLine="14"/>
              <w:spacing w:before="54" w:line="239" w:lineRule="auto"/>
              <w:rPr/>
            </w:pPr>
            <w:r>
              <w:rPr>
                <w:spacing w:val="6"/>
              </w:rPr>
              <w:t>因</w:t>
            </w:r>
            <w:r>
              <w:rPr>
                <w:b/>
                <w:bCs/>
                <w:spacing w:val="6"/>
              </w:rPr>
              <w:t>涉嫌信息披露违法违规</w:t>
            </w:r>
            <w:r>
              <w:rPr>
                <w:spacing w:val="6"/>
              </w:rPr>
              <w:t>， 根据《中华人民共和国证券</w:t>
            </w:r>
            <w:r>
              <w:rPr>
                <w:spacing w:val="3"/>
              </w:rPr>
              <w:t xml:space="preserve">    </w:t>
            </w:r>
            <w:r>
              <w:rPr>
                <w:spacing w:val="7"/>
              </w:rPr>
              <w:t>法》《中华人民共和国行政处罚法》等法律法规， 中国证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监会决定对公司立案。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400" w:left="1786" w:header="0" w:footer="0" w:gutter="0"/>
        </w:sectPr>
        <w:rPr/>
      </w:pPr>
    </w:p>
    <w:p>
      <w:pPr>
        <w:spacing w:line="924" w:lineRule="exact"/>
        <w:rPr/>
      </w:pPr>
      <w:r>
        <w:rPr>
          <w:position w:val="-18"/>
        </w:rPr>
        <w:pict>
          <v:group id="_x0000_s30" style="mso-position-vertical-relative:line;mso-position-horizontal-relative:char;width:134.8pt;height:46.25pt;" filled="false" stroked="false" coordsize="2696,925" coordorigin="0,0">
            <v:shape id="_x0000_s32" style="position:absolute;left:0;top:0;width:2696;height:925;" filled="false" stroked="false" type="#_x0000_t75">
              <v:imagedata o:title="" r:id="rId10"/>
            </v:shape>
            <v:shape id="_x0000_s34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7"/>
                      <w:spacing w:before="301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3"/>
                      </w:rPr>
                      <w:t>上交所监管动态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0" w:lineRule="auto"/>
        <w:rPr/>
      </w:pPr>
      <w:r/>
    </w:p>
    <w:p>
      <w:pPr>
        <w:ind w:left="938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1、上市公司监管动态</w:t>
      </w:r>
    </w:p>
    <w:p>
      <w:pPr>
        <w:ind w:left="424" w:firstLine="482"/>
        <w:spacing w:before="315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2024年5月6日-5月12日， 上交所公司监管部门作出3</w:t>
      </w:r>
      <w:r>
        <w:rPr>
          <w:rFonts w:ascii="Microsoft YaHei" w:hAnsi="Microsoft YaHei" w:eastAsia="Microsoft YaHei" w:cs="Microsoft YaHei"/>
          <w:sz w:val="24"/>
          <w:szCs w:val="24"/>
          <w:spacing w:val="-7"/>
        </w:rPr>
        <w:t>份监管警示函， 对2宗行为予以纪律处分。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8"/>
        </w:rPr>
        <w:t>同时，</w:t>
      </w:r>
      <w:r>
        <w:rPr>
          <w:rFonts w:ascii="Microsoft YaHei" w:hAnsi="Microsoft YaHei" w:eastAsia="Microsoft YaHei" w:cs="Microsoft YaHei"/>
          <w:sz w:val="24"/>
          <w:szCs w:val="24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8"/>
        </w:rPr>
        <w:t>加大信息披露和股价异常的联动监管， 针对公司披露敏感信息或股价发生明</w:t>
      </w:r>
      <w:r>
        <w:rPr>
          <w:rFonts w:ascii="Microsoft YaHei" w:hAnsi="Microsoft YaHei" w:eastAsia="Microsoft YaHei" w:cs="Microsoft YaHei"/>
          <w:sz w:val="24"/>
          <w:szCs w:val="24"/>
          <w:spacing w:val="-9"/>
        </w:rPr>
        <w:t>显异常的， 提请启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动内幕交易、异常交易核查15单。</w:t>
      </w:r>
    </w:p>
    <w:p>
      <w:pPr>
        <w:ind w:firstLine="1606"/>
        <w:spacing w:before="90" w:line="3448" w:lineRule="exact"/>
        <w:rPr/>
      </w:pPr>
      <w:r>
        <w:rPr>
          <w:position w:val="-68"/>
        </w:rPr>
        <w:drawing>
          <wp:inline distT="0" distB="0" distL="0" distR="0">
            <wp:extent cx="5039994" cy="2189479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39994" cy="218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/>
      </w:pPr>
      <w:r/>
    </w:p>
    <w:p>
      <w:pPr>
        <w:ind w:left="430"/>
        <w:spacing w:before="10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1"/>
        </w:rPr>
        <w:t>（1） 监管措施统计</w:t>
      </w:r>
    </w:p>
    <w:p>
      <w:pPr>
        <w:spacing w:before="14"/>
        <w:rPr/>
      </w:pPr>
      <w:r/>
    </w:p>
    <w:tbl>
      <w:tblPr>
        <w:tblStyle w:val="TableNormal"/>
        <w:tblW w:w="8819" w:type="dxa"/>
        <w:tblInd w:w="1186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1324"/>
        <w:gridCol w:w="5004"/>
      </w:tblGrid>
      <w:tr>
        <w:trPr>
          <w:trHeight w:val="379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11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8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132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45"/>
              <w:spacing w:before="93" w:line="188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  <w:tc>
          <w:tcPr>
            <w:shd w:val="clear" w:fill="C0504D"/>
            <w:tcW w:w="500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076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违规类型</w:t>
            </w:r>
          </w:p>
        </w:tc>
      </w:tr>
      <w:tr>
        <w:trPr>
          <w:trHeight w:val="359" w:hRule="atLeast"/>
        </w:trPr>
        <w:tc>
          <w:tcPr>
            <w:tcW w:w="127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72"/>
              <w:spacing w:before="89" w:line="179" w:lineRule="auto"/>
              <w:rPr/>
            </w:pPr>
            <w:r>
              <w:rPr>
                <w:spacing w:val="3"/>
              </w:rPr>
              <w:t>603019</w:t>
            </w:r>
          </w:p>
        </w:tc>
        <w:tc>
          <w:tcPr>
            <w:tcW w:w="1215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191"/>
              <w:spacing w:before="76" w:line="189" w:lineRule="auto"/>
              <w:rPr/>
            </w:pPr>
            <w:r>
              <w:rPr>
                <w:spacing w:val="5"/>
              </w:rPr>
              <w:t>中科曙光</w:t>
            </w:r>
          </w:p>
        </w:tc>
        <w:tc>
          <w:tcPr>
            <w:tcW w:w="132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34"/>
              <w:spacing w:before="79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tcW w:w="500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13"/>
              <w:spacing w:before="76" w:line="189" w:lineRule="auto"/>
              <w:rPr/>
            </w:pPr>
            <w:r>
              <w:rPr>
                <w:spacing w:val="7"/>
              </w:rPr>
              <w:t>时任董事长配偶</w:t>
            </w:r>
            <w:r>
              <w:rPr>
                <w:b/>
                <w:bCs/>
                <w:spacing w:val="7"/>
              </w:rPr>
              <w:t>短线交易</w:t>
            </w:r>
            <w:r>
              <w:rPr>
                <w:spacing w:val="7"/>
              </w:rPr>
              <w:t>。</w:t>
            </w:r>
          </w:p>
        </w:tc>
      </w:tr>
      <w:tr>
        <w:trPr>
          <w:trHeight w:val="724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2"/>
              <w:spacing w:before="98" w:line="178" w:lineRule="auto"/>
              <w:rPr/>
            </w:pPr>
            <w:r>
              <w:rPr>
                <w:spacing w:val="3"/>
              </w:rPr>
              <w:t>600725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80"/>
              <w:spacing w:before="84" w:line="189" w:lineRule="auto"/>
              <w:rPr/>
            </w:pPr>
            <w:r>
              <w:rPr>
                <w:spacing w:val="8"/>
              </w:rPr>
              <w:t>云维股份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5"/>
              <w:spacing w:before="8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4" w:right="158" w:firstLine="2"/>
              <w:spacing w:before="82" w:line="221" w:lineRule="auto"/>
              <w:rPr/>
            </w:pPr>
            <w:r>
              <w:rPr>
                <w:spacing w:val="7"/>
              </w:rPr>
              <w:t>上市公司</w:t>
            </w:r>
            <w:r>
              <w:rPr>
                <w:b/>
                <w:bCs/>
                <w:spacing w:val="7"/>
              </w:rPr>
              <w:t>年度报告及相关公告中出现多处错</w:t>
            </w:r>
            <w:r>
              <w:rPr>
                <w:b/>
                <w:bCs/>
                <w:spacing w:val="6"/>
              </w:rPr>
              <w:t>误</w:t>
            </w:r>
            <w:r>
              <w:rPr>
                <w:spacing w:val="6"/>
              </w:rPr>
              <w:t>， 信息</w:t>
            </w:r>
            <w:r>
              <w:rPr/>
              <w:t xml:space="preserve"> </w:t>
            </w:r>
            <w:r>
              <w:rPr>
                <w:spacing w:val="6"/>
              </w:rPr>
              <w:t>披露不准确， 反映出公司日常信息披露存在缺陷。</w:t>
            </w:r>
          </w:p>
        </w:tc>
      </w:tr>
      <w:tr>
        <w:trPr>
          <w:trHeight w:val="2880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2"/>
              <w:spacing w:before="97" w:line="179" w:lineRule="auto"/>
              <w:rPr/>
            </w:pPr>
            <w:r>
              <w:rPr>
                <w:spacing w:val="3"/>
              </w:rPr>
              <w:t>600165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99"/>
              <w:spacing w:before="82" w:line="190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宁科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4"/>
              <w:spacing w:before="87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4" w:right="158" w:firstLine="14"/>
              <w:spacing w:before="79" w:line="244" w:lineRule="auto"/>
              <w:jc w:val="both"/>
              <w:rPr/>
            </w:pPr>
            <w:r>
              <w:rPr>
                <w:spacing w:val="6"/>
              </w:rPr>
              <w:t>中科新材作为公司重要控股子公司， 生产经营情况对</w:t>
            </w:r>
            <w:r>
              <w:rPr>
                <w:spacing w:val="7"/>
              </w:rPr>
              <w:t xml:space="preserve"> </w:t>
            </w:r>
            <w:r>
              <w:rPr>
                <w:spacing w:val="7"/>
              </w:rPr>
              <w:t>公司股票价格和投资者决策影响重大， 其停产事</w:t>
            </w:r>
            <w:r>
              <w:rPr>
                <w:spacing w:val="6"/>
              </w:rPr>
              <w:t>项可</w:t>
            </w:r>
            <w:r>
              <w:rPr/>
              <w:t xml:space="preserve"> </w:t>
            </w:r>
            <w:r>
              <w:rPr>
                <w:spacing w:val="7"/>
              </w:rPr>
              <w:t>能导致公司股票被实施其他风险警示， 市场关注</w:t>
            </w:r>
            <w:r>
              <w:rPr>
                <w:spacing w:val="6"/>
              </w:rPr>
              <w:t>度较</w:t>
            </w:r>
            <w:r>
              <w:rPr/>
              <w:t xml:space="preserve"> </w:t>
            </w:r>
            <w:r>
              <w:rPr>
                <w:spacing w:val="7"/>
              </w:rPr>
              <w:t>高。公司理应在</w:t>
            </w:r>
            <w:r>
              <w:rPr>
                <w:b/>
                <w:bCs/>
                <w:spacing w:val="7"/>
              </w:rPr>
              <w:t>中科新材停产</w:t>
            </w:r>
            <w:r>
              <w:rPr>
                <w:spacing w:val="7"/>
              </w:rPr>
              <w:t>时， 及时披</w:t>
            </w:r>
            <w:r>
              <w:rPr>
                <w:spacing w:val="6"/>
              </w:rPr>
              <w:t>露该重大风</w:t>
            </w:r>
            <w:r>
              <w:rPr/>
              <w:t xml:space="preserve"> </w:t>
            </w:r>
            <w:r>
              <w:rPr>
                <w:spacing w:val="3"/>
              </w:rPr>
              <w:t>险事项及相关影响， 但公司未及时披露， 直至 2024</w:t>
            </w:r>
            <w:r>
              <w:rPr>
                <w:spacing w:val="5"/>
              </w:rPr>
              <w:t xml:space="preserve">  </w:t>
            </w:r>
            <w:r>
              <w:rPr>
                <w:spacing w:val="3"/>
              </w:rPr>
              <w:t>年 3 月 27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3"/>
              </w:rPr>
              <w:t>日才予以披露； 且在监管问询要求公司补</w:t>
            </w:r>
            <w:r>
              <w:rPr/>
              <w:t xml:space="preserve">  </w:t>
            </w:r>
            <w:r>
              <w:rPr>
                <w:spacing w:val="9"/>
              </w:rPr>
              <w:t>充披露中科新材是否再次出现停产情形、公司股票交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易发生异常波动时， 仍未及时、准确、完整披露。</w:t>
            </w:r>
          </w:p>
        </w:tc>
      </w:tr>
      <w:tr>
        <w:trPr>
          <w:trHeight w:val="1082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2"/>
              <w:spacing w:before="105" w:line="178" w:lineRule="auto"/>
              <w:rPr/>
            </w:pPr>
            <w:r>
              <w:rPr>
                <w:spacing w:val="3"/>
              </w:rPr>
              <w:t>603828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46"/>
              <w:spacing w:before="93" w:line="187" w:lineRule="auto"/>
              <w:rPr/>
            </w:pPr>
            <w:r>
              <w:rPr/>
              <w:t>ST</w:t>
            </w:r>
            <w:r>
              <w:rPr>
                <w:spacing w:val="4"/>
              </w:rPr>
              <w:t xml:space="preserve"> 柯利达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5"/>
              <w:spacing w:before="90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4"/>
              <w:spacing w:before="90" w:line="189" w:lineRule="auto"/>
              <w:rPr/>
            </w:pPr>
            <w:r>
              <w:rPr>
                <w:spacing w:val="9"/>
              </w:rPr>
              <w:t>公司在募投项目原达到预定可使用状态的期限届满</w:t>
            </w:r>
          </w:p>
          <w:p>
            <w:pPr>
              <w:pStyle w:val="TableText"/>
              <w:ind w:left="3" w:right="160"/>
              <w:spacing w:before="87" w:line="218" w:lineRule="auto"/>
              <w:rPr/>
            </w:pPr>
            <w:r>
              <w:rPr>
                <w:spacing w:val="7"/>
              </w:rPr>
              <w:t>后， 未及时履行</w:t>
            </w:r>
            <w:r>
              <w:rPr>
                <w:b/>
                <w:bCs/>
                <w:spacing w:val="7"/>
              </w:rPr>
              <w:t>募投项目延期</w:t>
            </w:r>
            <w:r>
              <w:rPr>
                <w:spacing w:val="7"/>
              </w:rPr>
              <w:t>的董事会审议</w:t>
            </w:r>
            <w:r>
              <w:rPr>
                <w:spacing w:val="6"/>
              </w:rPr>
              <w:t>程序和信</w:t>
            </w:r>
            <w:r>
              <w:rPr/>
              <w:t xml:space="preserve"> </w:t>
            </w:r>
            <w:r>
              <w:rPr>
                <w:spacing w:val="7"/>
              </w:rPr>
              <w:t>息披露义务。</w:t>
            </w:r>
          </w:p>
        </w:tc>
      </w:tr>
      <w:tr>
        <w:trPr>
          <w:trHeight w:val="734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2"/>
              <w:spacing w:before="108" w:line="179" w:lineRule="auto"/>
              <w:rPr/>
            </w:pPr>
            <w:r>
              <w:rPr>
                <w:spacing w:val="3"/>
              </w:rPr>
              <w:t>600241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85"/>
              <w:spacing w:before="96" w:line="188" w:lineRule="auto"/>
              <w:rPr/>
            </w:pPr>
            <w:r>
              <w:rPr>
                <w:spacing w:val="6"/>
              </w:rPr>
              <w:t>时代万恒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5"/>
              <w:spacing w:before="95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7" w:right="158" w:hanging="3"/>
              <w:spacing w:before="94" w:line="220" w:lineRule="auto"/>
              <w:rPr/>
            </w:pPr>
            <w:r>
              <w:rPr>
                <w:spacing w:val="7"/>
              </w:rPr>
              <w:t>公司</w:t>
            </w:r>
            <w:r>
              <w:rPr>
                <w:b/>
                <w:bCs/>
                <w:spacing w:val="7"/>
              </w:rPr>
              <w:t>委托理财事项</w:t>
            </w:r>
            <w:r>
              <w:rPr>
                <w:spacing w:val="7"/>
              </w:rPr>
              <w:t>已达到应当及时披露的标准， </w:t>
            </w:r>
            <w:r>
              <w:rPr>
                <w:spacing w:val="6"/>
              </w:rPr>
              <w:t>但公</w:t>
            </w:r>
            <w:r>
              <w:rPr/>
              <w:t xml:space="preserve"> </w:t>
            </w:r>
            <w:r>
              <w:rPr>
                <w:spacing w:val="6"/>
              </w:rPr>
              <w:t>司未及时披露， 且导致前期定期报告出现错报。</w:t>
            </w:r>
          </w:p>
        </w:tc>
      </w:tr>
    </w:tbl>
    <w:p>
      <w:pPr>
        <w:pStyle w:val="BodyText"/>
        <w:spacing w:line="257" w:lineRule="auto"/>
        <w:rPr/>
      </w:pPr>
      <w:r/>
    </w:p>
    <w:p>
      <w:pPr>
        <w:ind w:left="495"/>
        <w:spacing w:before="104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2"/>
        </w:rPr>
        <w:t>（2） 问询函统计</w:t>
      </w:r>
    </w:p>
    <w:p>
      <w:pPr>
        <w:ind w:left="1071"/>
        <w:spacing w:before="293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2024年5月6日-5月12日， 上交所发出6份监管问询函。</w:t>
      </w:r>
    </w:p>
    <w:p>
      <w:pPr>
        <w:spacing w:before="35"/>
        <w:rPr/>
      </w:pPr>
      <w:r/>
    </w:p>
    <w:tbl>
      <w:tblPr>
        <w:tblStyle w:val="TableNormal"/>
        <w:tblW w:w="8837" w:type="dxa"/>
        <w:tblInd w:w="1202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6346"/>
      </w:tblGrid>
      <w:tr>
        <w:trPr>
          <w:trHeight w:val="370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12"/>
              <w:spacing w:before="89" w:line="188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9"/>
              <w:spacing w:before="90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634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756"/>
              <w:spacing w:before="90" w:line="187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</w:tr>
      <w:tr>
        <w:trPr>
          <w:trHeight w:val="351" w:hRule="atLeast"/>
        </w:trPr>
        <w:tc>
          <w:tcPr>
            <w:tcW w:w="127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70"/>
              <w:spacing w:before="96" w:line="171" w:lineRule="auto"/>
              <w:rPr/>
            </w:pPr>
            <w:r>
              <w:rPr>
                <w:spacing w:val="3"/>
              </w:rPr>
              <w:t>600289</w:t>
            </w:r>
          </w:p>
        </w:tc>
        <w:tc>
          <w:tcPr>
            <w:tcW w:w="1215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198"/>
              <w:spacing w:before="82" w:line="181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信通</w:t>
            </w:r>
          </w:p>
        </w:tc>
        <w:tc>
          <w:tcPr>
            <w:tcW w:w="634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862"/>
              <w:spacing w:before="82" w:line="181" w:lineRule="auto"/>
              <w:rPr/>
            </w:pPr>
            <w:r>
              <w:rPr>
                <w:spacing w:val="4"/>
              </w:rPr>
              <w:t>问询函</w:t>
            </w:r>
          </w:p>
        </w:tc>
      </w:tr>
      <w:tr>
        <w:trPr>
          <w:trHeight w:val="365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6" w:line="174" w:lineRule="auto"/>
              <w:rPr/>
            </w:pPr>
            <w:r>
              <w:rPr>
                <w:spacing w:val="3"/>
              </w:rPr>
              <w:t>600360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250"/>
              <w:spacing w:before="91" w:line="184" w:lineRule="auto"/>
              <w:rPr/>
            </w:pPr>
            <w:r>
              <w:rPr/>
              <w:t>ST</w:t>
            </w:r>
            <w:r>
              <w:rPr>
                <w:spacing w:val="3"/>
              </w:rPr>
              <w:t xml:space="preserve"> 华微</w:t>
            </w:r>
          </w:p>
        </w:tc>
        <w:tc>
          <w:tcPr>
            <w:shd w:val="clear" w:fill="F2DCDC"/>
            <w:tcW w:w="6346" w:type="dxa"/>
            <w:vAlign w:val="top"/>
          </w:tcPr>
          <w:p>
            <w:pPr>
              <w:pStyle w:val="TableText"/>
              <w:ind w:left="2862"/>
              <w:spacing w:before="91" w:line="184" w:lineRule="auto"/>
              <w:rPr/>
            </w:pPr>
            <w:r>
              <w:rPr>
                <w:spacing w:val="4"/>
              </w:rPr>
              <w:t>问询函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374" w:right="640" w:bottom="10" w:left="463" w:header="0" w:footer="0" w:gutter="0"/>
        </w:sectPr>
        <w:rPr>
          <w:sz w:val="2"/>
          <w:szCs w:val="2"/>
        </w:rPr>
      </w:pPr>
    </w:p>
    <w:tbl>
      <w:tblPr>
        <w:tblStyle w:val="TableNormal"/>
        <w:tblW w:w="8837" w:type="dxa"/>
        <w:tblInd w:w="779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6346"/>
      </w:tblGrid>
      <w:tr>
        <w:trPr>
          <w:trHeight w:val="381" w:hRule="atLeast"/>
        </w:trPr>
        <w:tc>
          <w:tcPr>
            <w:tcW w:w="127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70"/>
              <w:spacing w:before="116" w:line="178" w:lineRule="auto"/>
              <w:rPr/>
            </w:pPr>
            <w:r>
              <w:rPr>
                <w:spacing w:val="3"/>
              </w:rPr>
              <w:t>688500</w:t>
            </w:r>
          </w:p>
        </w:tc>
        <w:tc>
          <w:tcPr>
            <w:tcW w:w="1215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98"/>
              <w:spacing w:before="106" w:line="185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慧辰</w:t>
            </w:r>
          </w:p>
        </w:tc>
        <w:tc>
          <w:tcPr>
            <w:tcW w:w="634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799"/>
              <w:spacing w:before="102" w:line="188" w:lineRule="auto"/>
              <w:rPr/>
            </w:pPr>
            <w:r>
              <w:rPr>
                <w:spacing w:val="9"/>
              </w:rPr>
              <w:t>定期报告信息披露监管问询函</w:t>
            </w:r>
          </w:p>
        </w:tc>
      </w:tr>
      <w:tr>
        <w:trPr>
          <w:trHeight w:val="361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99" w:line="176" w:lineRule="auto"/>
              <w:rPr/>
            </w:pPr>
            <w:r>
              <w:rPr>
                <w:spacing w:val="3"/>
              </w:rPr>
              <w:t>600565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250"/>
              <w:spacing w:before="86" w:line="185" w:lineRule="auto"/>
              <w:rPr/>
            </w:pPr>
            <w:r>
              <w:rPr/>
              <w:t>ST</w:t>
            </w:r>
            <w:r>
              <w:rPr>
                <w:spacing w:val="3"/>
              </w:rPr>
              <w:t xml:space="preserve"> 迪马</w:t>
            </w:r>
          </w:p>
        </w:tc>
        <w:tc>
          <w:tcPr>
            <w:shd w:val="clear" w:fill="F2DCDC"/>
            <w:tcW w:w="6346" w:type="dxa"/>
            <w:vAlign w:val="top"/>
          </w:tcPr>
          <w:p>
            <w:pPr>
              <w:pStyle w:val="TableText"/>
              <w:ind w:left="2862"/>
              <w:spacing w:before="85" w:line="186" w:lineRule="auto"/>
              <w:rPr/>
            </w:pPr>
            <w:r>
              <w:rPr>
                <w:spacing w:val="4"/>
              </w:rPr>
              <w:t>问询函</w:t>
            </w:r>
          </w:p>
        </w:tc>
      </w:tr>
      <w:tr>
        <w:trPr>
          <w:trHeight w:val="362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3" w:line="174" w:lineRule="auto"/>
              <w:rPr/>
            </w:pPr>
            <w:r>
              <w:rPr>
                <w:spacing w:val="3"/>
              </w:rPr>
              <w:t>688272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98"/>
              <w:spacing w:before="88" w:line="184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富吉</w:t>
            </w:r>
          </w:p>
        </w:tc>
        <w:tc>
          <w:tcPr>
            <w:tcW w:w="6346" w:type="dxa"/>
            <w:vAlign w:val="top"/>
          </w:tcPr>
          <w:p>
            <w:pPr>
              <w:pStyle w:val="TableText"/>
              <w:ind w:left="1799"/>
              <w:spacing w:before="88" w:line="184" w:lineRule="auto"/>
              <w:rPr/>
            </w:pPr>
            <w:r>
              <w:rPr>
                <w:spacing w:val="9"/>
              </w:rPr>
              <w:t>定期报告信息披露监管问询函</w:t>
            </w:r>
          </w:p>
        </w:tc>
      </w:tr>
      <w:tr>
        <w:trPr>
          <w:trHeight w:val="371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7" w:line="177" w:lineRule="auto"/>
              <w:rPr/>
            </w:pPr>
            <w:r>
              <w:rPr>
                <w:spacing w:val="3"/>
              </w:rPr>
              <w:t>603300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79"/>
              <w:spacing w:before="92" w:line="188" w:lineRule="auto"/>
              <w:rPr/>
            </w:pPr>
            <w:r>
              <w:rPr>
                <w:spacing w:val="8"/>
              </w:rPr>
              <w:t>华铁应急</w:t>
            </w:r>
          </w:p>
        </w:tc>
        <w:tc>
          <w:tcPr>
            <w:shd w:val="clear" w:fill="F2DCDC"/>
            <w:tcW w:w="6346" w:type="dxa"/>
            <w:vAlign w:val="top"/>
          </w:tcPr>
          <w:p>
            <w:pPr>
              <w:pStyle w:val="TableText"/>
              <w:ind w:left="2862"/>
              <w:spacing w:before="93" w:line="187" w:lineRule="auto"/>
              <w:rPr/>
            </w:pPr>
            <w:r>
              <w:rPr>
                <w:spacing w:val="4"/>
              </w:rPr>
              <w:t>问询函</w:t>
            </w:r>
          </w:p>
        </w:tc>
      </w:tr>
    </w:tbl>
    <w:p>
      <w:pPr>
        <w:pStyle w:val="BodyText"/>
        <w:spacing w:line="295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ind w:left="505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2、市场交易监管</w:t>
      </w:r>
    </w:p>
    <w:p>
      <w:pPr>
        <w:pStyle w:val="BodyText"/>
        <w:spacing w:line="285" w:lineRule="auto"/>
        <w:rPr/>
      </w:pPr>
      <w:r/>
    </w:p>
    <w:p>
      <w:pPr>
        <w:ind w:firstLine="483"/>
        <w:spacing w:before="103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2024年5月6日-5月12日， 上交所对70起拉抬打压、虚假申报等证券异常交易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行为采取了书面警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spacing w:val="-8"/>
        </w:rPr>
        <w:t>示等监管措</w:t>
      </w:r>
      <w:r>
        <w:rPr>
          <w:rFonts w:ascii="Microsoft YaHei" w:hAnsi="Microsoft YaHei" w:eastAsia="Microsoft YaHei" w:cs="Microsoft YaHei"/>
          <w:sz w:val="24"/>
          <w:szCs w:val="24"/>
          <w:spacing w:val="-7"/>
        </w:rPr>
        <w:t>施， 对个别波动幅度较大的可转债进行重点监控， 对36起上市公司重大事项等进行专项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核</w:t>
      </w:r>
      <w:r>
        <w:rPr>
          <w:rFonts w:ascii="Microsoft YaHei" w:hAnsi="Microsoft YaHei" w:eastAsia="Microsoft YaHei" w:cs="Microsoft YaHei"/>
          <w:sz w:val="24"/>
          <w:szCs w:val="24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7"/>
        </w:rPr>
        <w:t>查， 向证监会上报涉嫌违法违规案件线索1起。</w:t>
      </w:r>
    </w:p>
    <w:p>
      <w:pPr>
        <w:sectPr>
          <w:pgSz w:w="11910" w:h="16840"/>
          <w:pgMar w:top="400" w:right="596" w:bottom="400" w:left="886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firstLine="2"/>
        <w:spacing w:line="924" w:lineRule="exact"/>
        <w:rPr/>
      </w:pPr>
      <w:r>
        <w:rPr>
          <w:position w:val="-18"/>
        </w:rPr>
        <w:pict>
          <v:group id="_x0000_s36" style="mso-position-vertical-relative:line;mso-position-horizontal-relative:char;width:134.8pt;height:46.25pt;" filled="false" stroked="false" coordsize="2696,925" coordorigin="0,0">
            <v:shape id="_x0000_s38" style="position:absolute;left:0;top:0;width:2696;height:925;" filled="false" stroked="false" type="#_x0000_t75">
              <v:imagedata o:title="" r:id="rId10"/>
            </v:shape>
            <v:shape id="_x0000_s40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2"/>
                      <w:spacing w:before="304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2"/>
                      </w:rPr>
                      <w:t>深交所监管动态</w:t>
                    </w:r>
                  </w:p>
                </w:txbxContent>
              </v:textbox>
            </v:shape>
          </v:group>
        </w:pict>
      </w:r>
    </w:p>
    <w:p>
      <w:pPr>
        <w:ind w:left="944"/>
        <w:spacing w:before="147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1、上市公司监管动态</w:t>
      </w:r>
    </w:p>
    <w:p>
      <w:pPr>
        <w:spacing w:before="169" w:line="184" w:lineRule="auto"/>
        <w:outlineLvl w:val="1"/>
        <w:jc w:val="righ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2024年5月6日-5月12日， 深交所发出11份监管函，</w:t>
      </w:r>
      <w:r>
        <w:rPr>
          <w:rFonts w:ascii="Microsoft YaHei" w:hAnsi="Microsoft YaHei" w:eastAsia="Microsoft YaHei" w:cs="Microsoft YaHei"/>
          <w:sz w:val="22"/>
          <w:szCs w:val="2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对2宗行为予以纪律处分；</w:t>
      </w:r>
      <w:r>
        <w:rPr>
          <w:rFonts w:ascii="Microsoft YaHei" w:hAnsi="Microsoft YaHei" w:eastAsia="Microsoft YaHei" w:cs="Microsoft YaHei"/>
          <w:sz w:val="22"/>
          <w:szCs w:val="22"/>
          <w:spacing w:val="-10"/>
        </w:rPr>
        <w:t xml:space="preserve"> 共发出关注函15份， 年报问询函</w:t>
      </w:r>
    </w:p>
    <w:p>
      <w:pPr>
        <w:spacing w:before="92" w:line="182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53份。</w:t>
      </w:r>
    </w:p>
    <w:p>
      <w:pPr>
        <w:ind w:firstLine="1619"/>
        <w:spacing w:before="240" w:line="4331" w:lineRule="exact"/>
        <w:rPr/>
      </w:pPr>
      <w:r>
        <w:rPr>
          <w:position w:val="-86"/>
        </w:rPr>
        <w:drawing>
          <wp:inline distT="0" distB="0" distL="0" distR="0">
            <wp:extent cx="5493384" cy="275018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93384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875"/>
        <w:spacing w:before="250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9"/>
        </w:rPr>
        <w:t>（1） 纪律处分及监管措施</w:t>
      </w:r>
    </w:p>
    <w:p>
      <w:pPr>
        <w:spacing w:line="173" w:lineRule="exact"/>
        <w:rPr/>
      </w:pPr>
      <w:r/>
    </w:p>
    <w:tbl>
      <w:tblPr>
        <w:tblStyle w:val="TableNormal"/>
        <w:tblW w:w="9016" w:type="dxa"/>
        <w:tblInd w:w="988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471"/>
        <w:gridCol w:w="1484"/>
        <w:gridCol w:w="1498"/>
        <w:gridCol w:w="4563"/>
      </w:tblGrid>
      <w:tr>
        <w:trPr>
          <w:trHeight w:val="640" w:hRule="atLeast"/>
        </w:trPr>
        <w:tc>
          <w:tcPr>
            <w:shd w:val="clear" w:fill="4BACC6"/>
            <w:tcW w:w="1471" w:type="dxa"/>
            <w:vAlign w:val="top"/>
          </w:tcPr>
          <w:p>
            <w:pPr>
              <w:pStyle w:val="TableText"/>
              <w:ind w:left="297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484" w:type="dxa"/>
            <w:vAlign w:val="top"/>
            <w:tcBorders>
              <w:top w:val="nil"/>
            </w:tcBorders>
          </w:tcPr>
          <w:p>
            <w:pPr>
              <w:pStyle w:val="TableText"/>
              <w:ind w:left="302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1498" w:type="dxa"/>
            <w:vAlign w:val="top"/>
            <w:tcBorders>
              <w:top w:val="nil"/>
            </w:tcBorders>
          </w:tcPr>
          <w:p>
            <w:pPr>
              <w:pStyle w:val="TableText"/>
              <w:ind w:left="307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监管类型</w:t>
            </w:r>
          </w:p>
        </w:tc>
        <w:tc>
          <w:tcPr>
            <w:shd w:val="clear" w:fill="4BACC6"/>
            <w:tcW w:w="4563" w:type="dxa"/>
            <w:vAlign w:val="top"/>
            <w:tcBorders>
              <w:top w:val="nil"/>
            </w:tcBorders>
          </w:tcPr>
          <w:p>
            <w:pPr>
              <w:pStyle w:val="TableText"/>
              <w:ind w:left="1839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处理事由</w:t>
            </w:r>
          </w:p>
        </w:tc>
      </w:tr>
      <w:tr>
        <w:trPr>
          <w:trHeight w:val="1084" w:hRule="atLeast"/>
        </w:trPr>
        <w:tc>
          <w:tcPr>
            <w:tcW w:w="1471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7"/>
              <w:spacing w:before="86" w:line="178" w:lineRule="auto"/>
              <w:rPr/>
            </w:pPr>
            <w:r>
              <w:rPr>
                <w:spacing w:val="3"/>
              </w:rPr>
              <w:t>300994</w:t>
            </w:r>
          </w:p>
        </w:tc>
        <w:tc>
          <w:tcPr>
            <w:tcW w:w="1484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85" w:line="189" w:lineRule="auto"/>
              <w:rPr/>
            </w:pPr>
            <w:r>
              <w:rPr>
                <w:spacing w:val="8"/>
              </w:rPr>
              <w:t>久祺股份</w:t>
            </w:r>
          </w:p>
        </w:tc>
        <w:tc>
          <w:tcPr>
            <w:tcW w:w="149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7" w:right="252"/>
              <w:spacing w:before="83" w:line="231" w:lineRule="auto"/>
              <w:jc w:val="both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现金管理期限届满后</w:t>
            </w:r>
            <w:r>
              <w:rPr>
                <w:spacing w:val="9"/>
              </w:rPr>
              <w:t>未及时履行程序审议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7"/>
              </w:rPr>
              <w:t>仍存在使用闲置募集资金、</w:t>
            </w:r>
            <w:r>
              <w:rPr>
                <w:spacing w:val="-6"/>
              </w:rPr>
              <w:t xml:space="preserve"> </w:t>
            </w:r>
            <w:r>
              <w:rPr>
                <w:spacing w:val="7"/>
              </w:rPr>
              <w:t>自有资金进行现金</w:t>
            </w:r>
            <w:r>
              <w:rPr/>
              <w:t xml:space="preserve"> </w:t>
            </w:r>
            <w:r>
              <w:rPr>
                <w:spacing w:val="7"/>
              </w:rPr>
              <w:t>管理的行为。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47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1"/>
              <w:spacing w:before="86" w:line="178" w:lineRule="auto"/>
              <w:rPr/>
            </w:pPr>
            <w:r>
              <w:rPr>
                <w:spacing w:val="3"/>
              </w:rPr>
              <w:t>002700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2"/>
              <w:spacing w:before="86" w:line="187" w:lineRule="auto"/>
              <w:rPr/>
            </w:pPr>
            <w:r>
              <w:rPr/>
              <w:t>ST</w:t>
            </w:r>
            <w:r>
              <w:rPr>
                <w:spacing w:val="3"/>
              </w:rPr>
              <w:t xml:space="preserve"> 浩源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pStyle w:val="TableText"/>
              <w:ind w:left="107" w:right="317"/>
              <w:spacing w:before="88" w:line="235" w:lineRule="auto"/>
              <w:rPr/>
            </w:pPr>
            <w:r>
              <w:rPr>
                <w:spacing w:val="6"/>
              </w:rPr>
              <w:t>公司采用追溯重述法进行</w:t>
            </w:r>
            <w:r>
              <w:rPr>
                <w:b/>
                <w:bCs/>
                <w:spacing w:val="6"/>
              </w:rPr>
              <w:t>会计差错更正</w:t>
            </w:r>
            <w:r>
              <w:rPr>
                <w:spacing w:val="6"/>
              </w:rPr>
              <w:t>， 其</w:t>
            </w:r>
            <w:r>
              <w:rPr>
                <w:spacing w:val="2"/>
              </w:rPr>
              <w:t xml:space="preserve">   </w:t>
            </w:r>
            <w:r>
              <w:rPr>
                <w:spacing w:val="3"/>
              </w:rPr>
              <w:t>中， 调减 2023 年半年报、</w:t>
            </w:r>
            <w:r>
              <w:rPr>
                <w:spacing w:val="-30"/>
              </w:rPr>
              <w:t xml:space="preserve"> </w:t>
            </w:r>
            <w:r>
              <w:rPr>
                <w:spacing w:val="3"/>
              </w:rPr>
              <w:t>2023</w:t>
            </w:r>
            <w:r>
              <w:rPr>
                <w:spacing w:val="53"/>
              </w:rPr>
              <w:t xml:space="preserve"> </w:t>
            </w:r>
            <w:r>
              <w:rPr>
                <w:spacing w:val="3"/>
              </w:rPr>
              <w:t>年三季报归</w:t>
            </w:r>
            <w:r>
              <w:rPr/>
              <w:t xml:space="preserve"> </w:t>
            </w:r>
            <w:r>
              <w:rPr>
                <w:spacing w:val="4"/>
              </w:rPr>
              <w:t>属母公司股东的净利润， 调减</w:t>
            </w:r>
            <w:r>
              <w:rPr>
                <w:spacing w:val="8"/>
              </w:rPr>
              <w:t xml:space="preserve">  </w:t>
            </w:r>
            <w:r>
              <w:rPr>
                <w:spacing w:val="4"/>
              </w:rPr>
              <w:t>2023</w:t>
            </w:r>
            <w:r>
              <w:rPr>
                <w:spacing w:val="52"/>
              </w:rPr>
              <w:t xml:space="preserve"> </w:t>
            </w:r>
            <w:r>
              <w:rPr>
                <w:spacing w:val="4"/>
              </w:rPr>
              <w:t>年半年</w:t>
            </w:r>
            <w:r>
              <w:rPr/>
              <w:t xml:space="preserve">  </w:t>
            </w:r>
            <w:r>
              <w:rPr>
                <w:spacing w:val="5"/>
              </w:rPr>
              <w:t>报、</w:t>
            </w:r>
            <w:r>
              <w:rPr>
                <w:spacing w:val="-27"/>
              </w:rPr>
              <w:t xml:space="preserve"> </w:t>
            </w:r>
            <w:r>
              <w:rPr>
                <w:spacing w:val="5"/>
              </w:rPr>
              <w:t>2023</w:t>
            </w:r>
            <w:r>
              <w:rPr>
                <w:spacing w:val="53"/>
              </w:rPr>
              <w:t xml:space="preserve"> </w:t>
            </w:r>
            <w:r>
              <w:rPr>
                <w:spacing w:val="5"/>
              </w:rPr>
              <w:t>年三季报归属母公司所有者权益。</w:t>
            </w:r>
          </w:p>
        </w:tc>
      </w:tr>
      <w:tr>
        <w:trPr>
          <w:trHeight w:val="1442" w:hRule="atLeast"/>
        </w:trPr>
        <w:tc>
          <w:tcPr>
            <w:tcW w:w="147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7"/>
              <w:spacing w:before="86" w:line="178" w:lineRule="auto"/>
              <w:rPr/>
            </w:pPr>
            <w:r>
              <w:rPr>
                <w:spacing w:val="3"/>
              </w:rPr>
              <w:t>300228</w:t>
            </w:r>
          </w:p>
        </w:tc>
        <w:tc>
          <w:tcPr>
            <w:tcW w:w="148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9"/>
              <w:spacing w:before="86" w:line="189" w:lineRule="auto"/>
              <w:rPr/>
            </w:pPr>
            <w:r>
              <w:rPr>
                <w:spacing w:val="6"/>
              </w:rPr>
              <w:t>富瑞特装</w:t>
            </w:r>
          </w:p>
        </w:tc>
        <w:tc>
          <w:tcPr>
            <w:tcW w:w="149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7" w:right="128"/>
              <w:spacing w:before="47" w:line="242" w:lineRule="auto"/>
              <w:rPr/>
            </w:pPr>
            <w:r>
              <w:rPr>
                <w:spacing w:val="4"/>
              </w:rPr>
              <w:t>公司披露《更正公告》， 公司在《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2023 年年度</w:t>
            </w:r>
            <w:r>
              <w:rPr/>
              <w:t xml:space="preserve"> </w:t>
            </w:r>
            <w:r>
              <w:rPr>
                <w:spacing w:val="9"/>
              </w:rPr>
              <w:t>报告》第六节“重要事项”的第十一项“重大</w:t>
            </w:r>
            <w:r>
              <w:rPr>
                <w:spacing w:val="4"/>
              </w:rPr>
              <w:t xml:space="preserve">   </w:t>
            </w:r>
            <w:r>
              <w:rPr>
                <w:spacing w:val="9"/>
              </w:rPr>
              <w:t>诉讼、仲裁事项”披露的公司</w:t>
            </w:r>
            <w:r>
              <w:rPr>
                <w:b/>
                <w:bCs/>
                <w:spacing w:val="9"/>
              </w:rPr>
              <w:t>未达到重大诉讼</w:t>
            </w:r>
            <w:r>
              <w:rPr>
                <w:b/>
                <w:bCs/>
                <w:spacing w:val="5"/>
              </w:rPr>
              <w:t xml:space="preserve">   </w:t>
            </w:r>
            <w:r>
              <w:rPr>
                <w:b/>
                <w:bCs/>
                <w:spacing w:val="9"/>
              </w:rPr>
              <w:t>披露标准的其他诉讼合计金额有误</w:t>
            </w:r>
            <w:r>
              <w:rPr>
                <w:spacing w:val="9"/>
              </w:rPr>
              <w:t>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47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7"/>
              <w:spacing w:before="86" w:line="179" w:lineRule="auto"/>
              <w:rPr/>
            </w:pPr>
            <w:r>
              <w:rPr>
                <w:spacing w:val="3"/>
              </w:rPr>
              <w:t>300172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4"/>
              <w:spacing w:before="86" w:line="188" w:lineRule="auto"/>
              <w:rPr/>
            </w:pPr>
            <w:r>
              <w:rPr>
                <w:spacing w:val="5"/>
              </w:rPr>
              <w:t>中电环保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pStyle w:val="TableText"/>
              <w:ind w:left="106" w:right="161"/>
              <w:spacing w:before="88" w:line="235" w:lineRule="auto"/>
              <w:rPr/>
            </w:pPr>
            <w:r>
              <w:rPr>
                <w:spacing w:val="6"/>
              </w:rPr>
              <w:t>公司 2021 年至 2023 年与扬子江环境、</w:t>
            </w:r>
            <w:r>
              <w:rPr>
                <w:spacing w:val="5"/>
              </w:rPr>
              <w:t>扬子</w:t>
            </w:r>
            <w:r>
              <w:rPr/>
              <w:t xml:space="preserve">    </w:t>
            </w:r>
            <w:r>
              <w:rPr>
                <w:spacing w:val="4"/>
              </w:rPr>
              <w:t>江研究院发生关联交易， 但在 2021 年至 2023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年年报中对相关</w:t>
            </w:r>
            <w:r>
              <w:rPr>
                <w:b/>
                <w:bCs/>
                <w:spacing w:val="9"/>
              </w:rPr>
              <w:t>关联交易</w:t>
            </w:r>
            <w:r>
              <w:rPr>
                <w:spacing w:val="9"/>
              </w:rPr>
              <w:t>金额及关联方应收款</w:t>
            </w:r>
            <w:r>
              <w:rPr>
                <w:spacing w:val="8"/>
              </w:rPr>
              <w:t xml:space="preserve">  </w:t>
            </w:r>
            <w:r>
              <w:rPr>
                <w:spacing w:val="8"/>
              </w:rPr>
              <w:t>金额披露存在错误或遗漏。</w:t>
            </w:r>
          </w:p>
        </w:tc>
      </w:tr>
      <w:tr>
        <w:trPr>
          <w:trHeight w:val="1803" w:hRule="atLeast"/>
        </w:trPr>
        <w:tc>
          <w:tcPr>
            <w:tcW w:w="147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1"/>
              <w:spacing w:before="86" w:line="178" w:lineRule="auto"/>
              <w:rPr/>
            </w:pPr>
            <w:r>
              <w:rPr>
                <w:spacing w:val="3"/>
              </w:rPr>
              <w:t>002306</w:t>
            </w:r>
          </w:p>
        </w:tc>
        <w:tc>
          <w:tcPr>
            <w:tcW w:w="148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4"/>
              <w:spacing w:before="86" w:line="188" w:lineRule="auto"/>
              <w:rPr/>
            </w:pPr>
            <w:r>
              <w:rPr>
                <w:spacing w:val="5"/>
              </w:rPr>
              <w:t>中科云网</w:t>
            </w:r>
          </w:p>
        </w:tc>
        <w:tc>
          <w:tcPr>
            <w:tcW w:w="149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7" w:right="252"/>
              <w:spacing w:before="48" w:line="244" w:lineRule="auto"/>
              <w:rPr/>
            </w:pPr>
            <w:r>
              <w:rPr>
                <w:spacing w:val="7"/>
              </w:rPr>
              <w:t>公司披露的《关于 2023 年年度报告摘要及</w:t>
            </w:r>
            <w:r>
              <w:rPr>
                <w:spacing w:val="2"/>
              </w:rPr>
              <w:t xml:space="preserve">     </w:t>
            </w:r>
            <w:r>
              <w:rPr>
                <w:spacing w:val="8"/>
              </w:rPr>
              <w:t>2024 年第一季度报告的更正及致歉公告》显</w:t>
            </w:r>
            <w:r>
              <w:rPr>
                <w:spacing w:val="2"/>
              </w:rPr>
              <w:t xml:space="preserve">  </w:t>
            </w:r>
            <w:r>
              <w:rPr>
                <w:spacing w:val="2"/>
              </w:rPr>
              <w:t>示， 公司《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</w:rPr>
              <w:t>2023 年年度报告摘要》和《</w:t>
            </w:r>
            <w:r>
              <w:rPr>
                <w:spacing w:val="-29"/>
              </w:rPr>
              <w:t xml:space="preserve"> </w:t>
            </w:r>
            <w:r>
              <w:rPr>
                <w:spacing w:val="2"/>
              </w:rPr>
              <w:t>2024</w:t>
            </w:r>
            <w:r>
              <w:rPr/>
              <w:t xml:space="preserve"> </w:t>
            </w:r>
            <w:r>
              <w:rPr>
                <w:spacing w:val="8"/>
              </w:rPr>
              <w:t>年第一季度报告》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中</w:t>
            </w:r>
            <w:r>
              <w:rPr>
                <w:b/>
                <w:bCs/>
                <w:spacing w:val="8"/>
              </w:rPr>
              <w:t>部分重要会计数据和财务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指标披露有误。</w:t>
            </w:r>
          </w:p>
        </w:tc>
      </w:tr>
      <w:tr>
        <w:trPr>
          <w:trHeight w:val="727" w:hRule="atLeast"/>
        </w:trPr>
        <w:tc>
          <w:tcPr>
            <w:shd w:val="clear" w:fill="B8CCE4"/>
            <w:tcW w:w="1471" w:type="dxa"/>
            <w:vAlign w:val="top"/>
          </w:tcPr>
          <w:p>
            <w:pPr>
              <w:pStyle w:val="TableText"/>
              <w:ind w:left="377"/>
              <w:spacing w:before="283" w:line="178" w:lineRule="auto"/>
              <w:rPr/>
            </w:pPr>
            <w:r>
              <w:rPr>
                <w:spacing w:val="3"/>
              </w:rPr>
              <w:t>300069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pStyle w:val="TableText"/>
              <w:ind w:left="319"/>
              <w:spacing w:before="268" w:line="189" w:lineRule="auto"/>
              <w:rPr/>
            </w:pPr>
            <w:r>
              <w:rPr>
                <w:spacing w:val="9"/>
              </w:rPr>
              <w:t>金利华电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pStyle w:val="TableText"/>
              <w:ind w:left="436"/>
              <w:spacing w:before="268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pStyle w:val="TableText"/>
              <w:ind w:left="107" w:right="298"/>
              <w:spacing w:before="90" w:line="219" w:lineRule="auto"/>
              <w:rPr/>
            </w:pPr>
            <w:r>
              <w:rPr>
                <w:spacing w:val="7"/>
              </w:rPr>
              <w:t>公司在</w:t>
            </w:r>
            <w:r>
              <w:rPr>
                <w:b/>
                <w:bCs/>
                <w:spacing w:val="7"/>
              </w:rPr>
              <w:t>关联交易</w:t>
            </w:r>
            <w:r>
              <w:rPr>
                <w:spacing w:val="7"/>
              </w:rPr>
              <w:t>发生时未履行内部审议程序，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且未进行信息披露。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374" w:right="627" w:bottom="227" w:left="457" w:header="0" w:footer="0" w:gutter="0"/>
        </w:sectPr>
        <w:rPr>
          <w:sz w:val="2"/>
          <w:szCs w:val="2"/>
        </w:rPr>
      </w:pPr>
    </w:p>
    <w:tbl>
      <w:tblPr>
        <w:tblStyle w:val="TableNormal"/>
        <w:tblW w:w="9016" w:type="dxa"/>
        <w:tblInd w:w="113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471"/>
        <w:gridCol w:w="1484"/>
        <w:gridCol w:w="1498"/>
        <w:gridCol w:w="4563"/>
      </w:tblGrid>
      <w:tr>
        <w:trPr>
          <w:trHeight w:val="1810" w:hRule="atLeast"/>
        </w:trPr>
        <w:tc>
          <w:tcPr>
            <w:tcW w:w="147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7"/>
              <w:spacing w:before="86" w:line="179" w:lineRule="auto"/>
              <w:rPr/>
            </w:pPr>
            <w:r>
              <w:rPr>
                <w:spacing w:val="3"/>
              </w:rPr>
              <w:t>301166</w:t>
            </w:r>
          </w:p>
        </w:tc>
        <w:tc>
          <w:tcPr>
            <w:tcW w:w="148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5"/>
              <w:spacing w:before="86" w:line="190" w:lineRule="auto"/>
              <w:rPr/>
            </w:pPr>
            <w:r>
              <w:rPr>
                <w:spacing w:val="8"/>
              </w:rPr>
              <w:t>优宁维</w:t>
            </w:r>
          </w:p>
        </w:tc>
        <w:tc>
          <w:tcPr>
            <w:tcW w:w="149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7" w:right="159"/>
              <w:spacing w:before="48" w:line="245" w:lineRule="auto"/>
              <w:rPr/>
            </w:pPr>
            <w:r>
              <w:rPr>
                <w:spacing w:val="6"/>
              </w:rPr>
              <w:t>公司披露《关于股东减持结果的公告》， 嘉信</w:t>
            </w:r>
            <w:r>
              <w:rPr>
                <w:spacing w:val="4"/>
              </w:rPr>
              <w:t xml:space="preserve">  </w:t>
            </w:r>
            <w:r>
              <w:rPr>
                <w:spacing w:val="9"/>
              </w:rPr>
              <w:t>投资及其一致行动人上凯投资在合计持有公司</w:t>
            </w:r>
            <w:r>
              <w:rPr>
                <w:spacing w:val="7"/>
              </w:rPr>
              <w:t xml:space="preserve">  </w:t>
            </w:r>
            <w:r>
              <w:rPr>
                <w:spacing w:val="4"/>
              </w:rPr>
              <w:t>股份比例降至 5%以下</w:t>
            </w:r>
            <w:r>
              <w:rPr>
                <w:b/>
                <w:bCs/>
                <w:spacing w:val="4"/>
              </w:rPr>
              <w:t>未满 90</w:t>
            </w:r>
            <w:r>
              <w:rPr>
                <w:b/>
                <w:bCs/>
                <w:spacing w:val="19"/>
              </w:rPr>
              <w:t xml:space="preserve"> </w:t>
            </w:r>
            <w:r>
              <w:rPr>
                <w:b/>
                <w:bCs/>
                <w:spacing w:val="4"/>
              </w:rPr>
              <w:t>日</w:t>
            </w:r>
            <w:r>
              <w:rPr>
                <w:spacing w:val="4"/>
              </w:rPr>
              <w:t>内， </w:t>
            </w:r>
            <w:r>
              <w:rPr>
                <w:spacing w:val="3"/>
              </w:rPr>
              <w:t>并在距离</w:t>
            </w:r>
            <w:r>
              <w:rPr/>
              <w:t xml:space="preserve"> </w:t>
            </w:r>
            <w:r>
              <w:rPr>
                <w:spacing w:val="8"/>
              </w:rPr>
              <w:t>上减持计划预披露日</w:t>
            </w:r>
            <w:r>
              <w:rPr>
                <w:b/>
                <w:bCs/>
                <w:spacing w:val="8"/>
              </w:rPr>
              <w:t>不足 15 个交易日</w:t>
            </w:r>
            <w:r>
              <w:rPr>
                <w:spacing w:val="7"/>
              </w:rPr>
              <w:t>内即减</w:t>
            </w:r>
            <w:r>
              <w:rPr/>
              <w:t xml:space="preserve">   </w:t>
            </w:r>
            <w:r>
              <w:rPr>
                <w:spacing w:val="7"/>
              </w:rPr>
              <w:t>持公司股份。</w:t>
            </w:r>
          </w:p>
        </w:tc>
      </w:tr>
      <w:tr>
        <w:trPr>
          <w:trHeight w:val="1445" w:hRule="atLeast"/>
        </w:trPr>
        <w:tc>
          <w:tcPr>
            <w:shd w:val="clear" w:fill="B8CCE4"/>
            <w:tcW w:w="147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7"/>
              <w:spacing w:before="85" w:line="178" w:lineRule="auto"/>
              <w:rPr/>
            </w:pPr>
            <w:r>
              <w:rPr>
                <w:spacing w:val="3"/>
              </w:rPr>
              <w:t>300459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6"/>
              <w:spacing w:before="86" w:line="189" w:lineRule="auto"/>
              <w:rPr/>
            </w:pPr>
            <w:r>
              <w:rPr>
                <w:spacing w:val="8"/>
              </w:rPr>
              <w:t>汤姆猫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pStyle w:val="TableText"/>
              <w:ind w:left="106" w:right="252" w:firstLine="1"/>
              <w:spacing w:before="85" w:line="236" w:lineRule="auto"/>
              <w:rPr/>
            </w:pPr>
            <w:r>
              <w:rPr>
                <w:b/>
                <w:bCs/>
                <w:spacing w:val="6"/>
              </w:rPr>
              <w:t>股权转让相关信息</w:t>
            </w:r>
            <w:r>
              <w:rPr>
                <w:spacing w:val="6"/>
              </w:rPr>
              <w:t>披露不准确、不完整； 公司</w:t>
            </w:r>
            <w:r>
              <w:rPr>
                <w:spacing w:val="11"/>
              </w:rPr>
              <w:t xml:space="preserve"> </w:t>
            </w:r>
            <w:r>
              <w:rPr>
                <w:spacing w:val="6"/>
              </w:rPr>
              <w:t>对参股子公司未能实施有效管控， 后续管理不</w:t>
            </w:r>
            <w:r>
              <w:rPr>
                <w:spacing w:val="10"/>
              </w:rPr>
              <w:t xml:space="preserve"> </w:t>
            </w:r>
            <w:r>
              <w:rPr>
                <w:spacing w:val="6"/>
              </w:rPr>
              <w:t>规范， </w:t>
            </w:r>
            <w:r>
              <w:rPr>
                <w:b/>
                <w:bCs/>
                <w:spacing w:val="6"/>
              </w:rPr>
              <w:t>《内部控制自我评价报告》</w:t>
            </w:r>
            <w:r>
              <w:rPr>
                <w:spacing w:val="6"/>
              </w:rPr>
              <w:t>披露不准</w:t>
            </w:r>
            <w:r>
              <w:rPr>
                <w:spacing w:val="1"/>
              </w:rPr>
              <w:t xml:space="preserve">    </w:t>
            </w:r>
            <w:r>
              <w:rPr>
                <w:spacing w:val="3"/>
              </w:rPr>
              <w:t>确。</w:t>
            </w:r>
          </w:p>
        </w:tc>
      </w:tr>
      <w:tr>
        <w:trPr>
          <w:trHeight w:val="1805" w:hRule="atLeast"/>
        </w:trPr>
        <w:tc>
          <w:tcPr>
            <w:tcW w:w="1471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1"/>
              <w:spacing w:before="86" w:line="179" w:lineRule="auto"/>
              <w:rPr/>
            </w:pPr>
            <w:r>
              <w:rPr>
                <w:spacing w:val="3"/>
              </w:rPr>
              <w:t>002713</w:t>
            </w:r>
          </w:p>
        </w:tc>
        <w:tc>
          <w:tcPr>
            <w:tcW w:w="1484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9"/>
              <w:spacing w:before="85" w:line="189" w:lineRule="auto"/>
              <w:rPr/>
            </w:pPr>
            <w:r>
              <w:rPr>
                <w:spacing w:val="8"/>
              </w:rPr>
              <w:t>东易日盛</w:t>
            </w:r>
          </w:p>
        </w:tc>
        <w:tc>
          <w:tcPr>
            <w:tcW w:w="1498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7" w:right="128"/>
              <w:spacing w:before="50" w:line="244" w:lineRule="auto"/>
              <w:rPr/>
            </w:pPr>
            <w:r>
              <w:rPr>
                <w:spacing w:val="7"/>
              </w:rPr>
              <w:t>公司《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2023 年年度审计报告》《关于对会计师</w:t>
            </w:r>
            <w:r>
              <w:rPr/>
              <w:t xml:space="preserve"> </w:t>
            </w:r>
            <w:r>
              <w:rPr>
                <w:spacing w:val="7"/>
              </w:rPr>
              <w:t>事务所 2023 年度履职情况的评估报告暨审计</w:t>
            </w:r>
            <w:r>
              <w:rPr>
                <w:spacing w:val="3"/>
              </w:rPr>
              <w:t xml:space="preserve">    </w:t>
            </w:r>
            <w:r>
              <w:rPr>
                <w:spacing w:val="9"/>
              </w:rPr>
              <w:t>委员会履行监督职责情况的报告》《关于举行</w:t>
            </w:r>
            <w:r>
              <w:rPr>
                <w:spacing w:val="5"/>
              </w:rPr>
              <w:t xml:space="preserve">   </w:t>
            </w:r>
            <w:r>
              <w:rPr>
                <w:spacing w:val="8"/>
              </w:rPr>
              <w:t>2023 年年度报告网上说明会的通知》的</w:t>
            </w:r>
            <w:r>
              <w:rPr>
                <w:b/>
                <w:bCs/>
                <w:spacing w:val="8"/>
              </w:rPr>
              <w:t>相关内 </w:t>
            </w:r>
            <w:r>
              <w:rPr>
                <w:b/>
                <w:bCs/>
                <w:spacing w:val="8"/>
              </w:rPr>
              <w:t>容信息披露有误。</w:t>
            </w:r>
          </w:p>
        </w:tc>
      </w:tr>
      <w:tr>
        <w:trPr>
          <w:trHeight w:val="1805" w:hRule="atLeast"/>
        </w:trPr>
        <w:tc>
          <w:tcPr>
            <w:shd w:val="clear" w:fill="B8CCE4"/>
            <w:tcW w:w="147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7"/>
              <w:spacing w:before="86" w:line="179" w:lineRule="auto"/>
              <w:rPr/>
            </w:pPr>
            <w:r>
              <w:rPr>
                <w:spacing w:val="3"/>
              </w:rPr>
              <w:t>300165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86" w:line="188" w:lineRule="auto"/>
              <w:rPr/>
            </w:pPr>
            <w:r>
              <w:rPr>
                <w:spacing w:val="8"/>
              </w:rPr>
              <w:t>天瑞仪器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pStyle w:val="TableText"/>
              <w:ind w:left="107" w:right="255"/>
              <w:spacing w:before="86" w:line="239" w:lineRule="auto"/>
              <w:jc w:val="both"/>
              <w:rPr/>
            </w:pPr>
            <w:r>
              <w:rPr>
                <w:spacing w:val="9"/>
              </w:rPr>
              <w:t>违反了超募资金永久补充流动资金后的十二个</w:t>
            </w:r>
            <w:r>
              <w:rPr>
                <w:spacing w:val="14"/>
              </w:rPr>
              <w:t xml:space="preserve"> </w:t>
            </w:r>
            <w:r>
              <w:rPr>
                <w:spacing w:val="9"/>
              </w:rPr>
              <w:t>月内不得对外提供财务资助的规定。对于公司</w:t>
            </w:r>
            <w:r>
              <w:rPr>
                <w:spacing w:val="14"/>
              </w:rPr>
              <w:t xml:space="preserve"> </w:t>
            </w:r>
            <w:r>
              <w:rPr>
                <w:spacing w:val="9"/>
              </w:rPr>
              <w:t>使用</w:t>
            </w:r>
            <w:r>
              <w:rPr>
                <w:b/>
                <w:bCs/>
                <w:spacing w:val="9"/>
              </w:rPr>
              <w:t>超募资金永久补充流动资金十二个月后持</w:t>
            </w:r>
            <w:r>
              <w:rPr>
                <w:b/>
                <w:bCs/>
                <w:spacing w:val="14"/>
              </w:rPr>
              <w:t xml:space="preserve"> </w:t>
            </w:r>
            <w:r>
              <w:rPr>
                <w:b/>
                <w:bCs/>
                <w:spacing w:val="6"/>
              </w:rPr>
              <w:t>续存在的财务资助</w:t>
            </w:r>
            <w:r>
              <w:rPr>
                <w:spacing w:val="6"/>
              </w:rPr>
              <w:t>， 公司未及时履行董事会审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议程序及信息披露义务。</w:t>
            </w:r>
          </w:p>
        </w:tc>
      </w:tr>
      <w:tr>
        <w:trPr>
          <w:trHeight w:val="726" w:hRule="atLeast"/>
        </w:trPr>
        <w:tc>
          <w:tcPr>
            <w:tcW w:w="1471" w:type="dxa"/>
            <w:vAlign w:val="top"/>
          </w:tcPr>
          <w:p>
            <w:pPr>
              <w:pStyle w:val="TableText"/>
              <w:ind w:left="377"/>
              <w:spacing w:before="282" w:line="179" w:lineRule="auto"/>
              <w:rPr/>
            </w:pPr>
            <w:r>
              <w:rPr>
                <w:spacing w:val="3"/>
              </w:rPr>
              <w:t>300716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319"/>
              <w:spacing w:before="268" w:line="189" w:lineRule="auto"/>
              <w:rPr/>
            </w:pPr>
            <w:r>
              <w:rPr>
                <w:spacing w:val="8"/>
              </w:rPr>
              <w:t>泉为科技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436"/>
              <w:spacing w:before="268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7" w:right="161"/>
              <w:spacing w:before="89" w:line="219" w:lineRule="auto"/>
              <w:rPr/>
            </w:pPr>
            <w:r>
              <w:rPr>
                <w:spacing w:val="5"/>
              </w:rPr>
              <w:t>公司 2019 年年度报告、</w:t>
            </w:r>
            <w:r>
              <w:rPr>
                <w:spacing w:val="-18"/>
              </w:rPr>
              <w:t xml:space="preserve"> </w:t>
            </w:r>
            <w:r>
              <w:rPr>
                <w:spacing w:val="5"/>
              </w:rPr>
              <w:t>2020 年半年度报告存</w:t>
            </w:r>
            <w:r>
              <w:rPr/>
              <w:t xml:space="preserve"> </w:t>
            </w:r>
            <w:r>
              <w:rPr>
                <w:spacing w:val="7"/>
              </w:rPr>
              <w:t>在</w:t>
            </w:r>
            <w:r>
              <w:rPr>
                <w:b/>
                <w:bCs/>
                <w:spacing w:val="7"/>
              </w:rPr>
              <w:t>虚假记载。</w:t>
            </w:r>
          </w:p>
        </w:tc>
      </w:tr>
      <w:tr>
        <w:trPr>
          <w:trHeight w:val="2165" w:hRule="atLeast"/>
        </w:trPr>
        <w:tc>
          <w:tcPr>
            <w:shd w:val="clear" w:fill="B8CCE4"/>
            <w:tcW w:w="1471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1"/>
              <w:spacing w:before="86" w:line="179" w:lineRule="auto"/>
              <w:rPr/>
            </w:pPr>
            <w:r>
              <w:rPr>
                <w:spacing w:val="3"/>
              </w:rPr>
              <w:t>002618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6"/>
              <w:spacing w:before="86" w:line="187" w:lineRule="auto"/>
              <w:rPr/>
            </w:pPr>
            <w:r>
              <w:rPr>
                <w:spacing w:val="8"/>
              </w:rPr>
              <w:t>丹邦退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pStyle w:val="TableText"/>
              <w:ind w:left="117"/>
              <w:spacing w:before="89" w:line="189" w:lineRule="auto"/>
              <w:rPr/>
            </w:pPr>
            <w:r>
              <w:rPr>
                <w:spacing w:val="9"/>
              </w:rPr>
              <w:t>公开认定不适</w:t>
            </w:r>
          </w:p>
          <w:p>
            <w:pPr>
              <w:pStyle w:val="TableText"/>
              <w:ind w:left="117"/>
              <w:spacing w:before="88" w:line="190" w:lineRule="auto"/>
              <w:rPr/>
            </w:pPr>
            <w:r>
              <w:rPr>
                <w:spacing w:val="9"/>
              </w:rPr>
              <w:t>合担任上市公</w:t>
            </w:r>
          </w:p>
          <w:p>
            <w:pPr>
              <w:pStyle w:val="TableText"/>
              <w:ind w:left="120"/>
              <w:spacing w:before="50" w:line="229" w:lineRule="auto"/>
              <w:rPr/>
            </w:pPr>
            <w:r>
              <w:rPr>
                <w:spacing w:val="-2"/>
              </w:rPr>
              <w:t>司董监高 （不</w:t>
            </w:r>
          </w:p>
          <w:p>
            <w:pPr>
              <w:pStyle w:val="TableText"/>
              <w:ind w:left="117"/>
              <w:spacing w:before="32" w:line="229" w:lineRule="auto"/>
              <w:rPr/>
            </w:pPr>
            <w:r>
              <w:rPr>
                <w:spacing w:val="-3"/>
              </w:rPr>
              <w:t>含董秘）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、通</w:t>
            </w:r>
          </w:p>
          <w:p>
            <w:pPr>
              <w:pStyle w:val="TableText"/>
              <w:ind w:left="118"/>
              <w:spacing w:before="73" w:line="188" w:lineRule="auto"/>
              <w:rPr/>
            </w:pPr>
            <w:r>
              <w:rPr>
                <w:spacing w:val="9"/>
              </w:rPr>
              <w:t>报批评、公开</w:t>
            </w:r>
          </w:p>
          <w:p>
            <w:pPr>
              <w:pStyle w:val="TableText"/>
              <w:ind w:left="537"/>
              <w:spacing w:before="92" w:line="184" w:lineRule="auto"/>
              <w:rPr/>
            </w:pPr>
            <w:r>
              <w:rPr>
                <w:spacing w:val="7"/>
              </w:rPr>
              <w:t>谴责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8" w:right="128"/>
              <w:spacing w:before="86" w:line="244" w:lineRule="auto"/>
              <w:rPr/>
            </w:pPr>
            <w:r>
              <w:rPr>
                <w:spacing w:val="5"/>
              </w:rPr>
              <w:t>丹邦科技披露的《</w:t>
            </w:r>
            <w:r>
              <w:rPr>
                <w:spacing w:val="-23"/>
              </w:rPr>
              <w:t xml:space="preserve"> </w:t>
            </w:r>
            <w:r>
              <w:rPr>
                <w:spacing w:val="5"/>
              </w:rPr>
              <w:t>2018 年年度报告》《</w:t>
            </w:r>
            <w:r>
              <w:rPr>
                <w:spacing w:val="-29"/>
              </w:rPr>
              <w:t xml:space="preserve"> </w:t>
            </w:r>
            <w:r>
              <w:rPr>
                <w:spacing w:val="5"/>
              </w:rPr>
              <w:t>2019</w:t>
            </w:r>
            <w:r>
              <w:rPr/>
              <w:t xml:space="preserve">   </w:t>
            </w:r>
            <w:r>
              <w:rPr>
                <w:spacing w:val="7"/>
              </w:rPr>
              <w:t>年年度报告》和《</w:t>
            </w:r>
            <w:r>
              <w:rPr>
                <w:spacing w:val="-29"/>
              </w:rPr>
              <w:t xml:space="preserve"> </w:t>
            </w:r>
            <w:r>
              <w:rPr>
                <w:spacing w:val="7"/>
              </w:rPr>
              <w:t>2020 年半年度报告》存在</w:t>
            </w:r>
            <w:r>
              <w:rPr>
                <w:b/>
                <w:bCs/>
                <w:spacing w:val="7"/>
              </w:rPr>
              <w:t>虚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6"/>
              </w:rPr>
              <w:t>假记载。</w:t>
            </w:r>
          </w:p>
        </w:tc>
      </w:tr>
      <w:tr>
        <w:trPr>
          <w:trHeight w:val="729" w:hRule="atLeast"/>
        </w:trPr>
        <w:tc>
          <w:tcPr>
            <w:tcW w:w="1471" w:type="dxa"/>
            <w:vAlign w:val="top"/>
          </w:tcPr>
          <w:p>
            <w:pPr>
              <w:pStyle w:val="TableText"/>
              <w:ind w:left="377"/>
              <w:spacing w:before="282" w:line="179" w:lineRule="auto"/>
              <w:rPr/>
            </w:pPr>
            <w:r>
              <w:rPr>
                <w:spacing w:val="3"/>
              </w:rPr>
              <w:t>300716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319"/>
              <w:spacing w:before="269" w:line="189" w:lineRule="auto"/>
              <w:rPr/>
            </w:pPr>
            <w:r>
              <w:rPr>
                <w:spacing w:val="8"/>
              </w:rPr>
              <w:t>泉为科技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328"/>
              <w:spacing w:before="272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7" w:right="161"/>
              <w:spacing w:before="87" w:line="221" w:lineRule="auto"/>
              <w:rPr/>
            </w:pPr>
            <w:r>
              <w:rPr>
                <w:spacing w:val="5"/>
              </w:rPr>
              <w:t>公司 2019 年年度报告、</w:t>
            </w:r>
            <w:r>
              <w:rPr>
                <w:spacing w:val="-18"/>
              </w:rPr>
              <w:t xml:space="preserve"> </w:t>
            </w:r>
            <w:r>
              <w:rPr>
                <w:spacing w:val="5"/>
              </w:rPr>
              <w:t>2020 年半年度报告存</w:t>
            </w:r>
            <w:r>
              <w:rPr/>
              <w:t xml:space="preserve"> </w:t>
            </w:r>
            <w:r>
              <w:rPr>
                <w:spacing w:val="7"/>
              </w:rPr>
              <w:t>在</w:t>
            </w:r>
            <w:r>
              <w:rPr>
                <w:b/>
                <w:bCs/>
                <w:spacing w:val="7"/>
              </w:rPr>
              <w:t>虚假记载。</w:t>
            </w:r>
          </w:p>
        </w:tc>
      </w:tr>
    </w:tbl>
    <w:p>
      <w:pPr>
        <w:spacing w:before="317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2"/>
        </w:rPr>
        <w:t>（2） 问询函统计</w:t>
      </w:r>
    </w:p>
    <w:p>
      <w:pPr>
        <w:spacing w:line="191" w:lineRule="exact"/>
        <w:rPr/>
      </w:pPr>
      <w:r/>
    </w:p>
    <w:tbl>
      <w:tblPr>
        <w:tblStyle w:val="TableNormal"/>
        <w:tblW w:w="9003" w:type="dxa"/>
        <w:tblInd w:w="110" w:type="dxa"/>
        <w:tblLayout w:type="fixed"/>
        <w:tblBorders>
          <w:top w:val="single" w:color="78C0D4" w:sz="2" w:space="0"/>
          <w:left w:val="single" w:color="78C0D4" w:sz="2" w:space="0"/>
          <w:bottom w:val="single" w:color="78C0D4" w:sz="2" w:space="0"/>
          <w:right w:val="single" w:color="78C0D4" w:sz="2" w:space="0"/>
          <w:insideH w:val="single" w:color="78C0D4" w:sz="2" w:space="0"/>
          <w:insideV w:val="single" w:color="78C0D4" w:sz="2" w:space="0"/>
        </w:tblBorders>
      </w:tblPr>
      <w:tblGrid>
        <w:gridCol w:w="1105"/>
        <w:gridCol w:w="1274"/>
        <w:gridCol w:w="6624"/>
      </w:tblGrid>
      <w:tr>
        <w:trPr>
          <w:trHeight w:val="607" w:hRule="atLeast"/>
        </w:trPr>
        <w:tc>
          <w:tcPr>
            <w:shd w:val="clear" w:fill="4BACC6"/>
            <w:tcW w:w="1105" w:type="dxa"/>
            <w:vAlign w:val="top"/>
            <w:tcBorders>
              <w:left w:val="nil"/>
              <w:top w:val="nil"/>
              <w:right w:val="single" w:color="92CDDC" w:sz="2" w:space="0"/>
            </w:tcBorders>
          </w:tcPr>
          <w:p>
            <w:pPr>
              <w:pStyle w:val="TableText"/>
              <w:ind w:left="115"/>
              <w:spacing w:before="8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274" w:type="dxa"/>
            <w:vAlign w:val="top"/>
            <w:tcBorders>
              <w:top w:val="nil"/>
              <w:left w:val="single" w:color="92CDDC" w:sz="2" w:space="0"/>
              <w:right w:val="single" w:color="92CDDC" w:sz="2" w:space="0"/>
            </w:tcBorders>
          </w:tcPr>
          <w:p>
            <w:pPr>
              <w:pStyle w:val="TableText"/>
              <w:ind w:left="196"/>
              <w:spacing w:before="8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6624" w:type="dxa"/>
            <w:vAlign w:val="top"/>
            <w:tcBorders>
              <w:right w:val="nil"/>
              <w:top w:val="nil"/>
              <w:left w:val="single" w:color="92CDDC" w:sz="2" w:space="0"/>
            </w:tcBorders>
          </w:tcPr>
          <w:p>
            <w:pPr>
              <w:pStyle w:val="TableText"/>
              <w:ind w:left="2881"/>
              <w:spacing w:before="8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3"/>
              </w:rPr>
              <w:t>问询类型</w:t>
            </w:r>
          </w:p>
        </w:tc>
      </w:tr>
      <w:tr>
        <w:trPr>
          <w:trHeight w:val="462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49" w:line="178" w:lineRule="auto"/>
              <w:rPr/>
            </w:pPr>
            <w:r>
              <w:rPr>
                <w:spacing w:val="3"/>
              </w:rPr>
              <w:t>002288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6"/>
              <w:spacing w:before="134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超华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4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2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0" w:line="179" w:lineRule="auto"/>
              <w:rPr/>
            </w:pPr>
            <w:r>
              <w:rPr>
                <w:spacing w:val="3"/>
              </w:rPr>
              <w:t>002157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09"/>
              <w:spacing w:before="141" w:line="186" w:lineRule="auto"/>
              <w:rPr/>
            </w:pPr>
            <w:r>
              <w:rPr>
                <w:spacing w:val="7"/>
              </w:rPr>
              <w:t>*</w:t>
            </w:r>
            <w:r>
              <w:rPr/>
              <w:t>ST</w:t>
            </w:r>
            <w:r>
              <w:rPr>
                <w:spacing w:val="49"/>
              </w:rPr>
              <w:t xml:space="preserve"> </w:t>
            </w:r>
            <w:r>
              <w:rPr>
                <w:spacing w:val="7"/>
              </w:rPr>
              <w:t>正邦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2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000056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8"/>
              <w:spacing w:before="136" w:line="189" w:lineRule="auto"/>
              <w:rPr/>
            </w:pPr>
            <w:r>
              <w:rPr>
                <w:spacing w:val="8"/>
              </w:rPr>
              <w:t>皇庭国际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000976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89"/>
              <w:spacing w:before="136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华铁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997"/>
              <w:spacing w:before="136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2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2" w:line="178" w:lineRule="auto"/>
              <w:rPr/>
            </w:pPr>
            <w:r>
              <w:rPr>
                <w:spacing w:val="3"/>
              </w:rPr>
              <w:t>000070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4"/>
              <w:spacing w:before="138" w:line="189" w:lineRule="auto"/>
              <w:rPr/>
            </w:pPr>
            <w:r>
              <w:rPr>
                <w:spacing w:val="9"/>
              </w:rPr>
              <w:t>特发信息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997"/>
              <w:spacing w:before="138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2" w:line="178" w:lineRule="auto"/>
              <w:rPr/>
            </w:pPr>
            <w:r>
              <w:rPr>
                <w:spacing w:val="3"/>
              </w:rPr>
              <w:t>002700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89"/>
              <w:spacing w:before="140" w:line="187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浩源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997"/>
              <w:spacing w:before="138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2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4" w:line="178" w:lineRule="auto"/>
              <w:rPr/>
            </w:pPr>
            <w:r>
              <w:rPr>
                <w:spacing w:val="3"/>
              </w:rPr>
              <w:t>002656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89"/>
              <w:spacing w:before="140" w:line="188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摩登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997"/>
              <w:spacing w:before="139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4" w:line="178" w:lineRule="auto"/>
              <w:rPr/>
            </w:pPr>
            <w:r>
              <w:rPr>
                <w:spacing w:val="3"/>
              </w:rPr>
              <w:t>002435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89"/>
              <w:spacing w:before="139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长康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997"/>
              <w:spacing w:before="139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5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5" w:line="178" w:lineRule="auto"/>
              <w:rPr/>
            </w:pPr>
            <w:r>
              <w:rPr>
                <w:spacing w:val="3"/>
              </w:rPr>
              <w:t>002742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89"/>
              <w:spacing w:before="154" w:line="17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三圣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997"/>
              <w:spacing w:before="140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444" w:bottom="186" w:left="1333" w:header="0" w:footer="0" w:gutter="0"/>
        </w:sectPr>
        <w:rPr>
          <w:sz w:val="2"/>
          <w:szCs w:val="2"/>
        </w:rPr>
      </w:pPr>
    </w:p>
    <w:tbl>
      <w:tblPr>
        <w:tblStyle w:val="TableNormal"/>
        <w:tblW w:w="9003" w:type="dxa"/>
        <w:tblInd w:w="2" w:type="dxa"/>
        <w:tblLayout w:type="fixed"/>
        <w:tblBorders>
          <w:top w:val="single" w:color="78C0D4" w:sz="2" w:space="0"/>
          <w:left w:val="single" w:color="78C0D4" w:sz="2" w:space="0"/>
          <w:bottom w:val="single" w:color="78C0D4" w:sz="2" w:space="0"/>
          <w:right w:val="single" w:color="78C0D4" w:sz="2" w:space="0"/>
          <w:insideH w:val="single" w:color="78C0D4" w:sz="2" w:space="0"/>
          <w:insideV w:val="single" w:color="78C0D4" w:sz="2" w:space="0"/>
        </w:tblBorders>
      </w:tblPr>
      <w:tblGrid>
        <w:gridCol w:w="1105"/>
        <w:gridCol w:w="1274"/>
        <w:gridCol w:w="6624"/>
      </w:tblGrid>
      <w:tr>
        <w:trPr>
          <w:trHeight w:val="468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5" w:line="178" w:lineRule="auto"/>
              <w:rPr/>
            </w:pPr>
            <w:r>
              <w:rPr>
                <w:spacing w:val="3"/>
              </w:rPr>
              <w:t>000023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6"/>
              <w:spacing w:before="145" w:line="186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深天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997"/>
              <w:spacing w:before="140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0" w:line="178" w:lineRule="auto"/>
              <w:rPr/>
            </w:pPr>
            <w:r>
              <w:rPr>
                <w:spacing w:val="3"/>
              </w:rPr>
              <w:t>002309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6"/>
              <w:spacing w:before="135" w:line="189" w:lineRule="auto"/>
              <w:rPr/>
            </w:pPr>
            <w:r>
              <w:rPr>
                <w:spacing w:val="2"/>
              </w:rPr>
              <w:t>*</w:t>
            </w:r>
            <w:r>
              <w:rPr/>
              <w:t>ST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中利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997"/>
              <w:spacing w:before="135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000525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183"/>
              <w:spacing w:before="136" w:line="189" w:lineRule="auto"/>
              <w:rPr/>
            </w:pPr>
            <w:r>
              <w:rPr/>
              <w:t>ST</w:t>
            </w:r>
            <w:r>
              <w:rPr>
                <w:spacing w:val="5"/>
              </w:rPr>
              <w:t xml:space="preserve"> 红太阳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997"/>
              <w:spacing w:before="136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002094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20"/>
              <w:spacing w:before="136" w:line="189" w:lineRule="auto"/>
              <w:rPr/>
            </w:pPr>
            <w:r>
              <w:rPr>
                <w:spacing w:val="7"/>
              </w:rPr>
              <w:t>青岛金王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49" w:line="178" w:lineRule="auto"/>
              <w:rPr/>
            </w:pPr>
            <w:r>
              <w:rPr>
                <w:spacing w:val="3"/>
              </w:rPr>
              <w:t>002799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6"/>
              <w:spacing w:before="133" w:line="190" w:lineRule="auto"/>
              <w:rPr/>
            </w:pPr>
            <w:r>
              <w:rPr>
                <w:spacing w:val="8"/>
              </w:rPr>
              <w:t>环球印务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997"/>
              <w:spacing w:before="134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002482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6"/>
              <w:spacing w:before="137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广田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000637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89"/>
              <w:spacing w:before="136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实华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2" w:line="178" w:lineRule="auto"/>
              <w:rPr/>
            </w:pPr>
            <w:r>
              <w:rPr>
                <w:spacing w:val="3"/>
              </w:rPr>
              <w:t>002789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6"/>
              <w:spacing w:before="137" w:line="189" w:lineRule="auto"/>
              <w:rPr/>
            </w:pPr>
            <w:r>
              <w:rPr>
                <w:spacing w:val="8"/>
              </w:rPr>
              <w:t>建艺集团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2" w:line="178" w:lineRule="auto"/>
              <w:rPr/>
            </w:pPr>
            <w:r>
              <w:rPr>
                <w:spacing w:val="3"/>
              </w:rPr>
              <w:t>000564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89"/>
              <w:spacing w:before="137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大集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3" w:line="178" w:lineRule="auto"/>
              <w:rPr/>
            </w:pPr>
            <w:r>
              <w:rPr>
                <w:spacing w:val="3"/>
              </w:rPr>
              <w:t>002086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6"/>
              <w:spacing w:before="138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东洋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2" w:line="178" w:lineRule="auto"/>
              <w:rPr/>
            </w:pPr>
            <w:r>
              <w:rPr>
                <w:spacing w:val="3"/>
              </w:rPr>
              <w:t>002700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89"/>
              <w:spacing w:before="140" w:line="187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浩源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000889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89"/>
              <w:spacing w:before="136" w:line="189" w:lineRule="auto"/>
              <w:rPr/>
            </w:pPr>
            <w:r>
              <w:rPr>
                <w:spacing w:val="-1"/>
              </w:rPr>
              <w:t>ST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中嘉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2" w:line="178" w:lineRule="auto"/>
              <w:rPr/>
            </w:pPr>
            <w:r>
              <w:rPr>
                <w:spacing w:val="3"/>
              </w:rPr>
              <w:t>002748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9"/>
              <w:spacing w:before="137" w:line="189" w:lineRule="auto"/>
              <w:rPr/>
            </w:pPr>
            <w:r>
              <w:rPr>
                <w:spacing w:val="8"/>
              </w:rPr>
              <w:t>世龙实业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2" w:line="178" w:lineRule="auto"/>
              <w:rPr/>
            </w:pPr>
            <w:r>
              <w:rPr>
                <w:spacing w:val="3"/>
              </w:rPr>
              <w:t>002005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89"/>
              <w:spacing w:before="137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德豪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3" w:line="178" w:lineRule="auto"/>
              <w:rPr/>
            </w:pPr>
            <w:r>
              <w:rPr>
                <w:spacing w:val="3"/>
              </w:rPr>
              <w:t>000885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5"/>
              <w:spacing w:before="138" w:line="189" w:lineRule="auto"/>
              <w:rPr/>
            </w:pPr>
            <w:r>
              <w:rPr>
                <w:spacing w:val="9"/>
              </w:rPr>
              <w:t>城发环境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3" w:line="178" w:lineRule="auto"/>
              <w:rPr/>
            </w:pPr>
            <w:r>
              <w:rPr>
                <w:spacing w:val="3"/>
              </w:rPr>
              <w:t>000609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0"/>
              <w:spacing w:before="136" w:line="190" w:lineRule="auto"/>
              <w:rPr/>
            </w:pPr>
            <w:r>
              <w:rPr>
                <w:spacing w:val="5"/>
              </w:rPr>
              <w:t>中迪投资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002586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6"/>
              <w:spacing w:before="136" w:line="189" w:lineRule="auto"/>
              <w:rPr/>
            </w:pPr>
            <w:r>
              <w:rPr>
                <w:spacing w:val="2"/>
              </w:rPr>
              <w:t>*</w:t>
            </w:r>
            <w:r>
              <w:rPr/>
              <w:t>ST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围海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997"/>
              <w:spacing w:before="136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1" w:line="179" w:lineRule="auto"/>
              <w:rPr/>
            </w:pPr>
            <w:r>
              <w:rPr>
                <w:spacing w:val="3"/>
              </w:rPr>
              <w:t>002816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6"/>
              <w:spacing w:before="140" w:line="187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和科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000982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0"/>
              <w:spacing w:before="136" w:line="189" w:lineRule="auto"/>
              <w:rPr/>
            </w:pPr>
            <w:r>
              <w:rPr>
                <w:spacing w:val="5"/>
              </w:rPr>
              <w:t>中银绒业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1" w:line="179" w:lineRule="auto"/>
              <w:rPr/>
            </w:pPr>
            <w:r>
              <w:rPr>
                <w:spacing w:val="3"/>
              </w:rPr>
              <w:t>002310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6"/>
              <w:spacing w:before="137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东园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997"/>
              <w:spacing w:before="137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000752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6"/>
              <w:spacing w:before="136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西发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3" w:line="178" w:lineRule="auto"/>
              <w:rPr/>
            </w:pPr>
            <w:r>
              <w:rPr>
                <w:spacing w:val="3"/>
              </w:rPr>
              <w:t>000929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8"/>
              <w:spacing w:before="138" w:line="189" w:lineRule="auto"/>
              <w:rPr/>
            </w:pPr>
            <w:r>
              <w:rPr>
                <w:spacing w:val="8"/>
              </w:rPr>
              <w:t>兰州黄河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3" w:line="178" w:lineRule="auto"/>
              <w:rPr/>
            </w:pPr>
            <w:r>
              <w:rPr>
                <w:spacing w:val="3"/>
              </w:rPr>
              <w:t>002650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4"/>
              <w:spacing w:before="139" w:line="188" w:lineRule="auto"/>
              <w:rPr/>
            </w:pPr>
            <w:r>
              <w:rPr>
                <w:spacing w:val="9"/>
              </w:rPr>
              <w:t>加加食品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1" w:line="178" w:lineRule="auto"/>
              <w:rPr/>
            </w:pPr>
            <w:r>
              <w:rPr>
                <w:spacing w:val="3"/>
              </w:rPr>
              <w:t>000692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6"/>
              <w:spacing w:before="138" w:line="188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惠天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2" w:line="179" w:lineRule="auto"/>
              <w:rPr/>
            </w:pPr>
            <w:r>
              <w:rPr>
                <w:spacing w:val="3"/>
              </w:rPr>
              <w:t>002021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6"/>
              <w:spacing w:before="139" w:line="189" w:lineRule="auto"/>
              <w:rPr/>
            </w:pPr>
            <w:r>
              <w:rPr>
                <w:spacing w:val="2"/>
              </w:rPr>
              <w:t>*</w:t>
            </w:r>
            <w:r>
              <w:rPr/>
              <w:t>ST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中捷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2" w:line="178" w:lineRule="auto"/>
              <w:rPr/>
            </w:pPr>
            <w:r>
              <w:rPr>
                <w:spacing w:val="3"/>
              </w:rPr>
              <w:t>000980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5"/>
              <w:spacing w:before="137" w:line="189" w:lineRule="auto"/>
              <w:rPr/>
            </w:pPr>
            <w:r>
              <w:rPr>
                <w:spacing w:val="9"/>
              </w:rPr>
              <w:t>众泰汽车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4" w:line="178" w:lineRule="auto"/>
              <w:rPr/>
            </w:pPr>
            <w:r>
              <w:rPr>
                <w:spacing w:val="3"/>
              </w:rPr>
              <w:t>002435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89"/>
              <w:spacing w:before="139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长康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9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1" w:line="179" w:lineRule="auto"/>
              <w:rPr/>
            </w:pPr>
            <w:r>
              <w:rPr>
                <w:spacing w:val="3"/>
              </w:rPr>
              <w:t>002261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7"/>
              <w:spacing w:before="138" w:line="189" w:lineRule="auto"/>
              <w:rPr/>
            </w:pPr>
            <w:r>
              <w:rPr>
                <w:spacing w:val="8"/>
              </w:rPr>
              <w:t>拓维信息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2" w:line="178" w:lineRule="auto"/>
              <w:rPr/>
            </w:pPr>
            <w:r>
              <w:rPr>
                <w:spacing w:val="3"/>
              </w:rPr>
              <w:t>002505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5"/>
              <w:spacing w:before="138" w:line="189" w:lineRule="auto"/>
              <w:rPr/>
            </w:pPr>
            <w:r>
              <w:rPr>
                <w:spacing w:val="8"/>
              </w:rPr>
              <w:t>鹏都农牧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3" w:line="178" w:lineRule="auto"/>
              <w:rPr/>
            </w:pPr>
            <w:r>
              <w:rPr>
                <w:spacing w:val="3"/>
              </w:rPr>
              <w:t>002656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89"/>
              <w:spacing w:before="139" w:line="189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摩登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997"/>
              <w:spacing w:before="139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3" w:line="178" w:lineRule="auto"/>
              <w:rPr/>
            </w:pPr>
            <w:r>
              <w:rPr>
                <w:spacing w:val="3"/>
              </w:rPr>
              <w:t>000886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6"/>
              <w:spacing w:before="137" w:line="190" w:lineRule="auto"/>
              <w:rPr/>
            </w:pPr>
            <w:r>
              <w:rPr>
                <w:spacing w:val="8"/>
              </w:rPr>
              <w:t>海南高速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53" w:line="179" w:lineRule="auto"/>
              <w:rPr/>
            </w:pPr>
            <w:r>
              <w:rPr>
                <w:spacing w:val="3"/>
              </w:rPr>
              <w:t>001228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319"/>
              <w:spacing w:before="139" w:line="189" w:lineRule="auto"/>
              <w:rPr/>
            </w:pPr>
            <w:r>
              <w:rPr>
                <w:spacing w:val="8"/>
              </w:rPr>
              <w:t>永泰运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9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0"/>
              <w:spacing w:before="154" w:line="178" w:lineRule="auto"/>
              <w:rPr/>
            </w:pPr>
            <w:r>
              <w:rPr>
                <w:spacing w:val="3"/>
              </w:rPr>
              <w:t>002586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6"/>
              <w:spacing w:before="139" w:line="189" w:lineRule="auto"/>
              <w:rPr/>
            </w:pPr>
            <w:r>
              <w:rPr>
                <w:spacing w:val="2"/>
              </w:rPr>
              <w:t>*</w:t>
            </w:r>
            <w:r>
              <w:rPr/>
              <w:t>ST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围海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9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5" w:line="178" w:lineRule="auto"/>
              <w:rPr/>
            </w:pPr>
            <w:r>
              <w:rPr>
                <w:spacing w:val="3"/>
              </w:rPr>
              <w:t>300808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6"/>
              <w:spacing w:before="143" w:line="187" w:lineRule="auto"/>
              <w:rPr/>
            </w:pPr>
            <w:r>
              <w:rPr>
                <w:spacing w:val="8"/>
              </w:rPr>
              <w:t>久量股份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997"/>
              <w:spacing w:before="140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6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3" w:line="179" w:lineRule="auto"/>
              <w:rPr/>
            </w:pPr>
            <w:r>
              <w:rPr>
                <w:spacing w:val="3"/>
              </w:rPr>
              <w:t>300152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319"/>
              <w:spacing w:before="140" w:line="189" w:lineRule="auto"/>
              <w:rPr/>
            </w:pPr>
            <w:r>
              <w:rPr>
                <w:spacing w:val="8"/>
              </w:rPr>
              <w:t>新动力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460" w:bottom="17" w:left="1441" w:header="0" w:footer="0" w:gutter="0"/>
        </w:sectPr>
        <w:rPr>
          <w:sz w:val="2"/>
          <w:szCs w:val="2"/>
        </w:rPr>
      </w:pPr>
    </w:p>
    <w:tbl>
      <w:tblPr>
        <w:tblStyle w:val="TableNormal"/>
        <w:tblW w:w="9003" w:type="dxa"/>
        <w:tblInd w:w="1001" w:type="dxa"/>
        <w:tblLayout w:type="fixed"/>
        <w:tblBorders>
          <w:top w:val="single" w:color="78C0D4" w:sz="2" w:space="0"/>
          <w:left w:val="single" w:color="78C0D4" w:sz="2" w:space="0"/>
          <w:bottom w:val="single" w:color="78C0D4" w:sz="2" w:space="0"/>
          <w:right w:val="single" w:color="78C0D4" w:sz="2" w:space="0"/>
          <w:insideH w:val="single" w:color="78C0D4" w:sz="2" w:space="0"/>
          <w:insideV w:val="single" w:color="78C0D4" w:sz="2" w:space="0"/>
        </w:tblBorders>
      </w:tblPr>
      <w:tblGrid>
        <w:gridCol w:w="1105"/>
        <w:gridCol w:w="1274"/>
        <w:gridCol w:w="6624"/>
      </w:tblGrid>
      <w:tr>
        <w:trPr>
          <w:trHeight w:val="468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5" w:line="178" w:lineRule="auto"/>
              <w:rPr/>
            </w:pPr>
            <w:r>
              <w:rPr>
                <w:spacing w:val="3"/>
              </w:rPr>
              <w:t>300472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6"/>
              <w:spacing w:before="141" w:line="189" w:lineRule="auto"/>
              <w:rPr/>
            </w:pPr>
            <w:r>
              <w:rPr>
                <w:spacing w:val="8"/>
              </w:rPr>
              <w:t>新元科技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41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0" w:line="178" w:lineRule="auto"/>
              <w:rPr/>
            </w:pPr>
            <w:r>
              <w:rPr>
                <w:spacing w:val="3"/>
              </w:rPr>
              <w:t>300585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6"/>
              <w:spacing w:before="136" w:line="189" w:lineRule="auto"/>
              <w:rPr/>
            </w:pPr>
            <w:r>
              <w:rPr>
                <w:spacing w:val="8"/>
              </w:rPr>
              <w:t>奥联电子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0" w:line="179" w:lineRule="auto"/>
              <w:rPr/>
            </w:pPr>
            <w:r>
              <w:rPr>
                <w:spacing w:val="3"/>
              </w:rPr>
              <w:t>300411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5"/>
              <w:spacing w:before="138" w:line="188" w:lineRule="auto"/>
              <w:rPr/>
            </w:pPr>
            <w:r>
              <w:rPr>
                <w:spacing w:val="9"/>
              </w:rPr>
              <w:t>金盾股份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2" w:line="178" w:lineRule="auto"/>
              <w:rPr/>
            </w:pPr>
            <w:r>
              <w:rPr>
                <w:spacing w:val="3"/>
              </w:rPr>
              <w:t>300989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8"/>
              <w:spacing w:before="137" w:line="189" w:lineRule="auto"/>
              <w:rPr/>
            </w:pPr>
            <w:r>
              <w:rPr>
                <w:spacing w:val="8"/>
              </w:rPr>
              <w:t>蕾奥规划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997"/>
              <w:spacing w:before="137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1" w:line="178" w:lineRule="auto"/>
              <w:rPr/>
            </w:pPr>
            <w:r>
              <w:rPr>
                <w:spacing w:val="3"/>
              </w:rPr>
              <w:t>300262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5"/>
              <w:spacing w:before="135" w:line="190" w:lineRule="auto"/>
              <w:rPr/>
            </w:pPr>
            <w:r>
              <w:rPr>
                <w:spacing w:val="3"/>
              </w:rPr>
              <w:t>巴安水务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3" w:line="178" w:lineRule="auto"/>
              <w:rPr/>
            </w:pPr>
            <w:r>
              <w:rPr>
                <w:spacing w:val="3"/>
              </w:rPr>
              <w:t>300536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6"/>
              <w:spacing w:before="140" w:line="188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农尚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3" w:line="178" w:lineRule="auto"/>
              <w:rPr/>
            </w:pPr>
            <w:r>
              <w:rPr>
                <w:spacing w:val="3"/>
              </w:rPr>
              <w:t>300220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89"/>
              <w:spacing w:before="140" w:line="188" w:lineRule="auto"/>
              <w:rPr/>
            </w:pPr>
            <w:r>
              <w:rPr/>
              <w:t>ST</w:t>
            </w:r>
            <w:r>
              <w:rPr>
                <w:spacing w:val="2"/>
              </w:rPr>
              <w:t xml:space="preserve"> 金运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4" w:line="178" w:lineRule="auto"/>
              <w:rPr/>
            </w:pPr>
            <w:r>
              <w:rPr>
                <w:spacing w:val="3"/>
              </w:rPr>
              <w:t>300260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6"/>
              <w:spacing w:before="138" w:line="190" w:lineRule="auto"/>
              <w:rPr/>
            </w:pPr>
            <w:r>
              <w:rPr>
                <w:spacing w:val="8"/>
              </w:rPr>
              <w:t>新莱应材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3" w:line="179" w:lineRule="auto"/>
              <w:rPr/>
            </w:pPr>
            <w:r>
              <w:rPr>
                <w:spacing w:val="3"/>
              </w:rPr>
              <w:t>300551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6"/>
              <w:spacing w:before="140" w:line="189" w:lineRule="auto"/>
              <w:rPr/>
            </w:pPr>
            <w:r>
              <w:rPr>
                <w:spacing w:val="8"/>
              </w:rPr>
              <w:t>古鳌科技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6" w:line="178" w:lineRule="auto"/>
              <w:rPr/>
            </w:pPr>
            <w:r>
              <w:rPr>
                <w:spacing w:val="3"/>
              </w:rPr>
              <w:t>300935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319"/>
              <w:spacing w:before="143" w:line="188" w:lineRule="auto"/>
              <w:rPr/>
            </w:pPr>
            <w:r>
              <w:rPr>
                <w:spacing w:val="8"/>
              </w:rPr>
              <w:t>盈建科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41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3" w:line="179" w:lineRule="auto"/>
              <w:rPr/>
            </w:pPr>
            <w:r>
              <w:rPr>
                <w:spacing w:val="3"/>
              </w:rPr>
              <w:t>300419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6"/>
              <w:spacing w:before="140" w:line="189" w:lineRule="auto"/>
              <w:rPr/>
            </w:pPr>
            <w:r>
              <w:rPr>
                <w:spacing w:val="8"/>
              </w:rPr>
              <w:t>浩丰科技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2" w:line="179" w:lineRule="auto"/>
              <w:rPr/>
            </w:pPr>
            <w:r>
              <w:rPr>
                <w:spacing w:val="3"/>
              </w:rPr>
              <w:t>300311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319"/>
              <w:spacing w:before="139" w:line="189" w:lineRule="auto"/>
              <w:rPr/>
            </w:pPr>
            <w:r>
              <w:rPr>
                <w:spacing w:val="8"/>
              </w:rPr>
              <w:t>任子行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9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4" w:line="179" w:lineRule="auto"/>
              <w:rPr/>
            </w:pPr>
            <w:r>
              <w:rPr>
                <w:spacing w:val="3"/>
              </w:rPr>
              <w:t>300301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6"/>
              <w:spacing w:before="141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长方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41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4" w:line="178" w:lineRule="auto"/>
              <w:rPr/>
            </w:pPr>
            <w:r>
              <w:rPr>
                <w:spacing w:val="3"/>
              </w:rPr>
              <w:t>300503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6"/>
              <w:spacing w:before="140" w:line="189" w:lineRule="auto"/>
              <w:rPr/>
            </w:pPr>
            <w:r>
              <w:rPr>
                <w:spacing w:val="8"/>
              </w:rPr>
              <w:t>昊志机电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6" w:line="178" w:lineRule="auto"/>
              <w:rPr/>
            </w:pPr>
            <w:r>
              <w:rPr>
                <w:spacing w:val="3"/>
              </w:rPr>
              <w:t>300859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36"/>
              <w:spacing w:before="141" w:line="189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西域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41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3" w:line="179" w:lineRule="auto"/>
              <w:rPr/>
            </w:pPr>
            <w:r>
              <w:rPr>
                <w:spacing w:val="3"/>
              </w:rPr>
              <w:t>301075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9"/>
              <w:spacing w:before="141" w:line="188" w:lineRule="auto"/>
              <w:rPr/>
            </w:pPr>
            <w:r>
              <w:rPr>
                <w:spacing w:val="7"/>
              </w:rPr>
              <w:t>多瑞医药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2" w:line="179" w:lineRule="auto"/>
              <w:rPr/>
            </w:pPr>
            <w:r>
              <w:rPr>
                <w:spacing w:val="3"/>
              </w:rPr>
              <w:t>300110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7"/>
              <w:spacing w:before="139" w:line="189" w:lineRule="auto"/>
              <w:rPr/>
            </w:pPr>
            <w:r>
              <w:rPr>
                <w:spacing w:val="8"/>
              </w:rPr>
              <w:t>华仁药业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9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4" w:line="179" w:lineRule="auto"/>
              <w:rPr/>
            </w:pPr>
            <w:r>
              <w:rPr>
                <w:spacing w:val="3"/>
              </w:rPr>
              <w:t>300391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9"/>
              <w:spacing w:before="140" w:line="189" w:lineRule="auto"/>
              <w:rPr/>
            </w:pPr>
            <w:r>
              <w:rPr>
                <w:spacing w:val="8"/>
              </w:rPr>
              <w:t>长药控股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4" w:line="178" w:lineRule="auto"/>
              <w:rPr/>
            </w:pPr>
            <w:r>
              <w:rPr>
                <w:spacing w:val="3"/>
              </w:rPr>
              <w:t>300280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8"/>
              <w:spacing w:before="141" w:line="188" w:lineRule="auto"/>
              <w:rPr/>
            </w:pPr>
            <w:r>
              <w:rPr>
                <w:spacing w:val="8"/>
              </w:rPr>
              <w:t>紫天科技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9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5" w:line="178" w:lineRule="auto"/>
              <w:rPr/>
            </w:pPr>
            <w:r>
              <w:rPr>
                <w:spacing w:val="3"/>
              </w:rPr>
              <w:t>300020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6"/>
              <w:spacing w:before="142" w:line="188" w:lineRule="auto"/>
              <w:rPr/>
            </w:pPr>
            <w:r>
              <w:rPr>
                <w:spacing w:val="4"/>
              </w:rPr>
              <w:t>*</w:t>
            </w:r>
            <w:r>
              <w:rPr/>
              <w:t>ST</w:t>
            </w:r>
            <w:r>
              <w:rPr>
                <w:spacing w:val="4"/>
              </w:rPr>
              <w:t xml:space="preserve"> 银江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41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3" w:line="179" w:lineRule="auto"/>
              <w:rPr/>
            </w:pPr>
            <w:r>
              <w:rPr>
                <w:spacing w:val="3"/>
              </w:rPr>
              <w:t>300417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8"/>
              <w:spacing w:before="140" w:line="189" w:lineRule="auto"/>
              <w:rPr/>
            </w:pPr>
            <w:r>
              <w:rPr>
                <w:spacing w:val="8"/>
              </w:rPr>
              <w:t>南华仪器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4" w:line="179" w:lineRule="auto"/>
              <w:rPr/>
            </w:pPr>
            <w:r>
              <w:rPr>
                <w:spacing w:val="3"/>
              </w:rPr>
              <w:t>300716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6"/>
              <w:spacing w:before="141" w:line="189" w:lineRule="auto"/>
              <w:rPr/>
            </w:pPr>
            <w:r>
              <w:rPr>
                <w:spacing w:val="8"/>
              </w:rPr>
              <w:t>泉为科技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41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5" w:line="178" w:lineRule="auto"/>
              <w:rPr/>
            </w:pPr>
            <w:r>
              <w:rPr>
                <w:spacing w:val="3"/>
              </w:rPr>
              <w:t>300076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180"/>
              <w:spacing w:before="141" w:line="179" w:lineRule="auto"/>
              <w:rPr/>
            </w:pPr>
            <w:r>
              <w:rPr/>
              <w:t>GQY</w:t>
            </w:r>
            <w:r>
              <w:rPr>
                <w:spacing w:val="7"/>
              </w:rPr>
              <w:t xml:space="preserve"> 视讯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8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2" w:line="179" w:lineRule="auto"/>
              <w:rPr/>
            </w:pPr>
            <w:r>
              <w:rPr>
                <w:spacing w:val="3"/>
              </w:rPr>
              <w:t>300461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3"/>
              <w:spacing w:before="139" w:line="189" w:lineRule="auto"/>
              <w:rPr/>
            </w:pPr>
            <w:r>
              <w:rPr>
                <w:spacing w:val="4"/>
              </w:rPr>
              <w:t>田中精机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9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</w:tbl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left="820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2、市场交易监管动态</w:t>
      </w:r>
    </w:p>
    <w:p>
      <w:pPr>
        <w:ind w:firstLine="439"/>
        <w:spacing w:before="210" w:line="239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2024年5月6日-5月12日，</w:t>
      </w:r>
      <w:r>
        <w:rPr>
          <w:rFonts w:ascii="Microsoft YaHei" w:hAnsi="Microsoft YaHei" w:eastAsia="Microsoft YaHei" w:cs="Microsoft YaHei"/>
          <w:sz w:val="22"/>
          <w:szCs w:val="2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深交所共对129起证券异常交易行为采取了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自律监管措施，</w:t>
      </w:r>
      <w:r>
        <w:rPr>
          <w:rFonts w:ascii="Microsoft YaHei" w:hAnsi="Microsoft YaHei" w:eastAsia="Microsoft YaHei" w:cs="Microsoft YaHei"/>
          <w:sz w:val="22"/>
          <w:szCs w:val="2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涉及盘中拉抬打压、虚假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 </w:t>
      </w:r>
      <w:r>
        <w:rPr>
          <w:rFonts w:ascii="Microsoft YaHei" w:hAnsi="Microsoft YaHei" w:eastAsia="Microsoft YaHei" w:cs="Microsoft YaHei"/>
          <w:sz w:val="22"/>
          <w:szCs w:val="22"/>
          <w:spacing w:val="-9"/>
        </w:rPr>
        <w:t>申报等异常</w:t>
      </w:r>
      <w:r>
        <w:rPr>
          <w:rFonts w:ascii="Microsoft YaHei" w:hAnsi="Microsoft YaHei" w:eastAsia="Microsoft YaHei" w:cs="Microsoft YaHei"/>
          <w:sz w:val="22"/>
          <w:szCs w:val="22"/>
          <w:spacing w:val="-8"/>
        </w:rPr>
        <w:t>交易情形； 对“正丹股份”“朗源股份”等涨跌异常证券进行重点监控； 共对36起上市公司重大事项进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行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核查。</w:t>
      </w:r>
    </w:p>
    <w:sectPr>
      <w:pgSz w:w="11910" w:h="16840"/>
      <w:pgMar w:top="400" w:right="509" w:bottom="400" w:left="442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19811</wp:posOffset>
          </wp:positionH>
          <wp:positionV relativeFrom="page">
            <wp:posOffset>0</wp:posOffset>
          </wp:positionV>
          <wp:extent cx="7543038" cy="7498080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43038" cy="7498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image" Target="media/image7.jpeg"/><Relationship Id="rId7" Type="http://schemas.openxmlformats.org/officeDocument/2006/relationships/image" Target="media/image6.jpe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png"/><Relationship Id="rId3" Type="http://schemas.openxmlformats.org/officeDocument/2006/relationships/image" Target="media/image2.jpeg"/><Relationship Id="rId2" Type="http://schemas.openxmlformats.org/officeDocument/2006/relationships/header" Target="header2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白尚武</dc:creator>
  <dcterms:created xsi:type="dcterms:W3CDTF">2024-05-13T11:28:18Z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2024-06-03T11:01:03</vt:filetime>
  </property>
</Properties>
</file>