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3" w:lineRule="auto"/>
        <w:rPr/>
      </w:pPr>
      <w:r/>
    </w:p>
    <w:p>
      <w:pPr>
        <w:pStyle w:val="BodyText"/>
        <w:spacing w:line="253" w:lineRule="auto"/>
        <w:rPr/>
      </w:pPr>
      <w:r/>
    </w:p>
    <w:p>
      <w:pPr>
        <w:pStyle w:val="BodyText"/>
        <w:spacing w:line="253" w:lineRule="auto"/>
        <w:rPr/>
      </w:pPr>
      <w:r/>
    </w:p>
    <w:p>
      <w:pPr>
        <w:ind w:left="2584"/>
        <w:spacing w:before="351" w:line="215" w:lineRule="auto"/>
        <w:outlineLvl w:val="0"/>
        <w:rPr>
          <w:rFonts w:ascii="Microsoft YaHei" w:hAnsi="Microsoft YaHei" w:eastAsia="Microsoft YaHei" w:cs="Microsoft YaHei"/>
          <w:sz w:val="82"/>
          <w:szCs w:val="82"/>
        </w:rPr>
      </w:pPr>
      <w:r>
        <w:rPr>
          <w:rFonts w:ascii="Microsoft YaHei" w:hAnsi="Microsoft YaHei" w:eastAsia="Microsoft YaHei" w:cs="Microsoft YaHei"/>
          <w:sz w:val="82"/>
          <w:szCs w:val="82"/>
          <w:b/>
          <w:bCs/>
          <w:color w:val="FFFFFF"/>
          <w:spacing w:val="19"/>
        </w:rPr>
        <w:t>一周法规速递|监管动态</w:t>
      </w:r>
    </w:p>
    <w:p>
      <w:pPr>
        <w:ind w:left="5554"/>
        <w:spacing w:line="183" w:lineRule="auto"/>
        <w:rPr>
          <w:rFonts w:ascii="Microsoft YaHei" w:hAnsi="Microsoft YaHei" w:eastAsia="Microsoft YaHei" w:cs="Microsoft YaHei"/>
          <w:sz w:val="30"/>
          <w:szCs w:val="30"/>
        </w:rPr>
      </w:pPr>
      <w:r>
        <w:rPr>
          <w:rFonts w:ascii="Microsoft YaHei" w:hAnsi="Microsoft YaHei" w:eastAsia="Microsoft YaHei" w:cs="Microsoft YaHei"/>
          <w:sz w:val="30"/>
          <w:szCs w:val="30"/>
          <w:color w:val="FFFFFF"/>
          <w:spacing w:val="-3"/>
        </w:rPr>
        <w:t>2024年4月29日-2024年5月5日</w:t>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ind w:left="4571" w:right="3636" w:hanging="900"/>
        <w:spacing w:before="128" w:line="200" w:lineRule="auto"/>
        <w:rPr>
          <w:rFonts w:ascii="Microsoft YaHei" w:hAnsi="Microsoft YaHei" w:eastAsia="Microsoft YaHei" w:cs="Microsoft YaHei"/>
          <w:sz w:val="30"/>
          <w:szCs w:val="30"/>
        </w:rPr>
      </w:pPr>
      <w:r>
        <w:rPr>
          <w:rFonts w:ascii="Microsoft YaHei" w:hAnsi="Microsoft YaHei" w:eastAsia="Microsoft YaHei" w:cs="Microsoft YaHei"/>
          <w:sz w:val="30"/>
          <w:szCs w:val="30"/>
          <w:b/>
          <w:bCs/>
          <w:spacing w:val="26"/>
        </w:rPr>
        <w:t>深圳价值在线咨询顾问有限公司</w:t>
      </w:r>
      <w:r>
        <w:rPr>
          <w:rFonts w:ascii="Microsoft YaHei" w:hAnsi="Microsoft YaHei" w:eastAsia="Microsoft YaHei" w:cs="Microsoft YaHei"/>
          <w:sz w:val="30"/>
          <w:szCs w:val="30"/>
          <w:b/>
          <w:bCs/>
          <w:spacing w:val="5"/>
        </w:rPr>
        <w:t xml:space="preserve"> </w:t>
      </w:r>
      <w:r>
        <w:rPr>
          <w:rFonts w:ascii="Microsoft YaHei" w:hAnsi="Microsoft YaHei" w:eastAsia="Microsoft YaHei" w:cs="Microsoft YaHei"/>
          <w:sz w:val="30"/>
          <w:szCs w:val="30"/>
          <w:b/>
          <w:bCs/>
          <w:spacing w:val="11"/>
        </w:rPr>
        <w:t>2024年5月6日</w:t>
      </w:r>
    </w:p>
    <w:p>
      <w:pPr>
        <w:spacing w:line="200" w:lineRule="auto"/>
        <w:sectPr>
          <w:headerReference w:type="default" r:id="rId1"/>
          <w:pgSz w:w="11910" w:h="16840"/>
          <w:pgMar w:top="400" w:right="0" w:bottom="0" w:left="31" w:header="0" w:footer="0" w:gutter="0"/>
        </w:sectPr>
        <w:rPr>
          <w:rFonts w:ascii="Microsoft YaHei" w:hAnsi="Microsoft YaHei" w:eastAsia="Microsoft YaHei" w:cs="Microsoft YaHei"/>
          <w:sz w:val="30"/>
          <w:szCs w:val="30"/>
        </w:rPr>
      </w:pPr>
    </w:p>
    <w:p>
      <w:pPr>
        <w:ind w:left="2629"/>
        <w:spacing w:before="309" w:line="186" w:lineRule="auto"/>
        <w:rPr>
          <w:rFonts w:ascii="Microsoft YaHei" w:hAnsi="Microsoft YaHei" w:eastAsia="Microsoft YaHei" w:cs="Microsoft YaHei"/>
          <w:sz w:val="42"/>
          <w:szCs w:val="42"/>
        </w:rPr>
      </w:pPr>
      <w:r>
        <w:pict>
          <v:group id="_x0000_s2" style="position:absolute;margin-left:0pt;margin-top:20.04pt;mso-position-vertical-relative:page;mso-position-horizontal-relative:page;width:63.25pt;height:49.25pt;z-index:251658240;" o:allowincell="f" filled="false" stroked="false" coordsize="1265,985" coordorigin="0,0">
            <v:shape id="_x0000_s4" style="position:absolute;left:0;top:0;width:1265;height:985;" fillcolor="#A61C20" filled="true" stroked="false" coordsize="1265,985" coordorigin="0,0" path="m,l1264,0l1264,984l0,984l0,0xe"/>
            <v:shape id="_x0000_s6" style="position:absolute;left:167;top:0;width:876;height:936;" fillcolor="#FFFFFF" filled="true" stroked="false" coordsize="876,936" coordorigin="0,0" path="m439,936m439,936l367,928l300,909l237,878l180,840l127,787l84,729l48,662l21,590l7,513l0,429l7,350l21,271l48,199l84,132l127,74l180,21l213,0l379,0l369,0l307,19l247,52l194,96l148,148l110,208l84,278l64,352l57,429l64,508l84,583l110,652l148,712l194,768l247,808l307,842l369,864l439,868l655,868l640,878l578,909l511,928l439,936xm655,868m655,868l439,868l506,864l571,842l631,808l683,768l729,712l768,652l794,583l813,508l820,429l813,352l794,278l768,208l729,148l683,96l631,52l571,19l506,0l496,0l664,0l698,21l751,74l791,132l828,199l854,271l871,350l876,429l871,513l854,590l828,662l791,729l751,787l698,840l655,868xm439,194m439,194l415,187l396,172l384,148l379,122l384,96l396,74l415,60l439,55l463,60l480,74l492,96l499,122l492,148l480,172l463,187l439,194xm516,374m516,374l465,374l467,374l585,242l623,199l638,194l650,199l655,213l650,228l571,314l530,360l516,374xm446,494m446,494l429,494l410,484l396,468l386,444l386,420l396,398l410,379l429,369l451,367l460,372l463,374l516,374l492,398l444,398l424,403l415,424l417,448l434,463l484,463l475,477l463,487l446,494xm484,463m484,463l434,463l456,456l465,434l463,412l444,398l492,398l490,403l488,404l489,405l492,412l492,417l492,422l492,424l494,424l600,446l633,453l643,458l487,458l484,463xm626,489m626,489l523,468l489,458l643,458l645,463l650,475l643,487l626,489xm439,808m439,808l422,804l407,794l400,777l396,758l400,739l407,722l422,712l439,710l456,712l470,722l480,739l482,758l480,777l470,794l456,804l439,808e"/>
          </v:group>
        </w:pict>
      </w:r>
      <w:r>
        <w:rPr>
          <w:rFonts w:ascii="Microsoft YaHei" w:hAnsi="Microsoft YaHei" w:eastAsia="Microsoft YaHei" w:cs="Microsoft YaHei"/>
          <w:sz w:val="42"/>
          <w:szCs w:val="42"/>
          <w:spacing w:val="20"/>
        </w:rPr>
        <w:t>法规速递</w:t>
      </w:r>
    </w:p>
    <w:p>
      <w:pPr>
        <w:ind w:firstLine="1264"/>
        <w:spacing w:before="47" w:line="53" w:lineRule="exact"/>
        <w:rPr/>
      </w:pPr>
      <w:r>
        <w:rPr>
          <w:position w:val="-1"/>
        </w:rPr>
        <w:pict>
          <v:shape id="_x0000_s8" style="mso-position-vertical-relative:line;mso-position-horizontal-relative:char;width:525.6pt;height:2.65pt;" fillcolor="#A61C20" filled="true" stroked="false" coordsize="10511,53" coordorigin="0,0" path="m,l0,52l10511,52l10511,0l0,0e"/>
        </w:pict>
      </w:r>
    </w:p>
    <w:p>
      <w:pPr>
        <w:pStyle w:val="BodyText"/>
        <w:spacing w:line="275" w:lineRule="auto"/>
        <w:rPr/>
      </w:pPr>
      <w:r/>
    </w:p>
    <w:p>
      <w:pPr>
        <w:ind w:left="953"/>
        <w:spacing w:before="103"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1、上海证券交易所上市公司重大资产重组审核规则</w:t>
      </w:r>
    </w:p>
    <w:p>
      <w:pPr>
        <w:pStyle w:val="BodyText"/>
        <w:spacing w:line="267" w:lineRule="auto"/>
        <w:rPr/>
      </w:pPr>
      <w:r/>
    </w:p>
    <w:p>
      <w:pPr>
        <w:ind w:left="1369"/>
        <w:spacing w:before="95"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各市场参与人：</w:t>
      </w:r>
    </w:p>
    <w:p>
      <w:pPr>
        <w:pStyle w:val="BodyText"/>
        <w:spacing w:line="242" w:lineRule="auto"/>
        <w:rPr/>
      </w:pPr>
      <w:r/>
    </w:p>
    <w:p>
      <w:pPr>
        <w:ind w:left="933" w:right="185" w:firstLine="442"/>
        <w:spacing w:before="94" w:line="221"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为了深入贯彻落实中央金融工作会议精神和《国务院关于加强监管防范风险推动资本市场高质量发展的</w:t>
      </w:r>
      <w:r>
        <w:rPr>
          <w:rFonts w:ascii="Microsoft YaHei" w:hAnsi="Microsoft YaHei" w:eastAsia="Microsoft YaHei" w:cs="Microsoft YaHei"/>
          <w:sz w:val="22"/>
          <w:szCs w:val="22"/>
          <w:spacing w:val="-7"/>
        </w:rPr>
        <w:t>若干</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0"/>
        </w:rPr>
        <w:t>意见》， 进一步活跃并购重组市场， 支持上市公司通过并购重组提升投资价值， 同时加强对重</w:t>
      </w:r>
      <w:r>
        <w:rPr>
          <w:rFonts w:ascii="Microsoft YaHei" w:hAnsi="Microsoft YaHei" w:eastAsia="Microsoft YaHei" w:cs="Microsoft YaHei"/>
          <w:sz w:val="22"/>
          <w:szCs w:val="22"/>
          <w:spacing w:val="-11"/>
        </w:rPr>
        <w:t>组上市的监管力度，</w:t>
      </w:r>
    </w:p>
    <w:p>
      <w:pPr>
        <w:ind w:left="932" w:right="328" w:firstLine="1"/>
        <w:spacing w:before="4" w:line="220" w:lineRule="auto"/>
        <w:jc w:val="both"/>
        <w:rPr>
          <w:rFonts w:ascii="Microsoft YaHei" w:hAnsi="Microsoft YaHei" w:eastAsia="Microsoft YaHei" w:cs="Microsoft YaHei"/>
          <w:sz w:val="22"/>
          <w:szCs w:val="22"/>
        </w:rPr>
      </w:pPr>
      <w:r>
        <w:pict>
          <v:shape id="_x0000_s10" style="position:absolute;margin-left:581.55pt;margin-top:33.7673pt;mso-position-vertical-relative:text;mso-position-horizontal-relative:text;width:0pt;height:17.35pt;z-index:251659264;" filled="false" strokecolor="#000000" strokeweight="0.00pt" coordsize="0,347" coordorigin="0,0" path="m,l0,346e">
            <v:stroke endcap="square" joinstyle="bevel" miterlimit="0"/>
          </v:shape>
        </w:pict>
      </w:r>
      <w:r>
        <w:rPr>
          <w:rFonts w:ascii="Microsoft YaHei" w:hAnsi="Microsoft YaHei" w:eastAsia="Microsoft YaHei" w:cs="Microsoft YaHei"/>
          <w:sz w:val="22"/>
          <w:szCs w:val="22"/>
          <w:spacing w:val="-9"/>
        </w:rPr>
        <w:t>上海证券交易所</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9"/>
        </w:rPr>
        <w:t>（以下简称本所）</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9"/>
        </w:rPr>
        <w:t>修订了《上海证券交易所上市公司重大资产重组审核规则》</w:t>
      </w:r>
      <w:r>
        <w:rPr>
          <w:rFonts w:ascii="Microsoft YaHei" w:hAnsi="Microsoft YaHei" w:eastAsia="Microsoft YaHei" w:cs="Microsoft YaHei"/>
          <w:sz w:val="22"/>
          <w:szCs w:val="22"/>
          <w:spacing w:val="-16"/>
        </w:rPr>
        <w:t xml:space="preserve"> </w:t>
      </w:r>
      <w:r>
        <w:rPr>
          <w:rFonts w:ascii="Microsoft YaHei" w:hAnsi="Microsoft YaHei" w:eastAsia="Microsoft YaHei" w:cs="Microsoft YaHei"/>
          <w:sz w:val="22"/>
          <w:szCs w:val="22"/>
          <w:spacing w:val="-10"/>
        </w:rPr>
        <w:t>（详见附件</w:t>
      </w:r>
      <w:r>
        <w:rPr>
          <w:rFonts w:ascii="Microsoft YaHei" w:hAnsi="Microsoft YaHei" w:eastAsia="Microsoft YaHei" w:cs="Microsoft YaHei"/>
          <w:sz w:val="22"/>
          <w:szCs w:val="22"/>
          <w:spacing w:val="-33"/>
        </w:rPr>
        <w:t>），</w:t>
      </w:r>
      <w:r>
        <w:rPr>
          <w:rFonts w:ascii="Microsoft YaHei" w:hAnsi="Microsoft YaHei" w:eastAsia="Microsoft YaHei" w:cs="Microsoft YaHei"/>
          <w:sz w:val="22"/>
          <w:szCs w:val="22"/>
          <w:spacing w:val="-13"/>
        </w:rPr>
        <w:t xml:space="preserve"> </w:t>
      </w:r>
      <w:r>
        <w:rPr>
          <w:rFonts w:ascii="Microsoft YaHei" w:hAnsi="Microsoft YaHei" w:eastAsia="Microsoft YaHei" w:cs="Microsoft YaHei"/>
          <w:sz w:val="22"/>
          <w:szCs w:val="22"/>
          <w:spacing w:val="-10"/>
        </w:rPr>
        <w:t>经</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7"/>
        </w:rPr>
        <w:t>中国证监会批准，</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7"/>
        </w:rPr>
        <w:t>现予以发布， 并自发布</w:t>
      </w:r>
      <w:r>
        <w:rPr>
          <w:rFonts w:ascii="Microsoft YaHei" w:hAnsi="Microsoft YaHei" w:eastAsia="Microsoft YaHei" w:cs="Microsoft YaHei"/>
          <w:sz w:val="22"/>
          <w:szCs w:val="22"/>
          <w:spacing w:val="-8"/>
        </w:rPr>
        <w:t>之日起施行。本所于2023年2月17日发布的《上海证券交易所上市公司</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0"/>
        </w:rPr>
        <w:t>重大资产重组审核规则》</w:t>
      </w:r>
      <w:r>
        <w:rPr>
          <w:rFonts w:ascii="Microsoft YaHei" w:hAnsi="Microsoft YaHei" w:eastAsia="Microsoft YaHei" w:cs="Microsoft YaHei"/>
          <w:sz w:val="22"/>
          <w:szCs w:val="22"/>
          <w:spacing w:val="-4"/>
        </w:rPr>
        <w:t xml:space="preserve"> </w:t>
      </w:r>
      <w:r>
        <w:rPr>
          <w:rFonts w:ascii="Microsoft YaHei" w:hAnsi="Microsoft YaHei" w:eastAsia="Microsoft YaHei" w:cs="Microsoft YaHei"/>
          <w:sz w:val="22"/>
          <w:szCs w:val="22"/>
          <w:spacing w:val="-10"/>
        </w:rPr>
        <w:t>（上证发〔</w:t>
      </w:r>
      <w:r>
        <w:rPr>
          <w:rFonts w:ascii="Microsoft YaHei" w:hAnsi="Microsoft YaHei" w:eastAsia="Microsoft YaHei" w:cs="Microsoft YaHei"/>
          <w:sz w:val="22"/>
          <w:szCs w:val="22"/>
          <w:spacing w:val="-35"/>
        </w:rPr>
        <w:t xml:space="preserve"> </w:t>
      </w:r>
      <w:r>
        <w:rPr>
          <w:rFonts w:ascii="Microsoft YaHei" w:hAnsi="Microsoft YaHei" w:eastAsia="Microsoft YaHei" w:cs="Microsoft YaHei"/>
          <w:sz w:val="22"/>
          <w:szCs w:val="22"/>
          <w:spacing w:val="-10"/>
        </w:rPr>
        <w:t>2023〕30号） 同时废止。</w:t>
      </w:r>
    </w:p>
    <w:p>
      <w:pPr>
        <w:pStyle w:val="BodyText"/>
        <w:spacing w:line="262" w:lineRule="auto"/>
        <w:rPr/>
      </w:pPr>
      <w:r/>
    </w:p>
    <w:p>
      <w:pPr>
        <w:ind w:left="946" w:right="171" w:firstLine="427"/>
        <w:spacing w:before="94" w:line="220"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9"/>
        </w:rPr>
        <w:t>上市公司申请实施重组上市，</w:t>
      </w:r>
      <w:r>
        <w:rPr>
          <w:rFonts w:ascii="Microsoft YaHei" w:hAnsi="Microsoft YaHei" w:eastAsia="Microsoft YaHei" w:cs="Microsoft YaHei"/>
          <w:sz w:val="22"/>
          <w:szCs w:val="22"/>
          <w:spacing w:val="-13"/>
        </w:rPr>
        <w:t xml:space="preserve"> </w:t>
      </w:r>
      <w:r>
        <w:rPr>
          <w:rFonts w:ascii="Microsoft YaHei" w:hAnsi="Microsoft YaHei" w:eastAsia="Microsoft YaHei" w:cs="Microsoft YaHei"/>
          <w:sz w:val="22"/>
          <w:szCs w:val="22"/>
          <w:spacing w:val="-9"/>
        </w:rPr>
        <w:t>在本通知发布之前未通过本所并购重组审核委员会审议的，</w:t>
      </w:r>
      <w:r>
        <w:rPr>
          <w:rFonts w:ascii="Microsoft YaHei" w:hAnsi="Microsoft YaHei" w:eastAsia="Microsoft YaHei" w:cs="Microsoft YaHei"/>
          <w:sz w:val="22"/>
          <w:szCs w:val="22"/>
          <w:spacing w:val="-15"/>
        </w:rPr>
        <w:t xml:space="preserve"> </w:t>
      </w:r>
      <w:r>
        <w:rPr>
          <w:rFonts w:ascii="Microsoft YaHei" w:hAnsi="Microsoft YaHei" w:eastAsia="Microsoft YaHei" w:cs="Microsoft YaHei"/>
          <w:sz w:val="22"/>
          <w:szCs w:val="22"/>
          <w:spacing w:val="-9"/>
        </w:rPr>
        <w:t>适用修订后的规则；</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8"/>
        </w:rPr>
        <w:t>已经通过本所并购重组审核委员会审议的，</w:t>
      </w:r>
      <w:r>
        <w:rPr>
          <w:rFonts w:ascii="Microsoft YaHei" w:hAnsi="Microsoft YaHei" w:eastAsia="Microsoft YaHei" w:cs="Microsoft YaHei"/>
          <w:sz w:val="22"/>
          <w:szCs w:val="22"/>
          <w:spacing w:val="-15"/>
        </w:rPr>
        <w:t xml:space="preserve"> </w:t>
      </w:r>
      <w:r>
        <w:rPr>
          <w:rFonts w:ascii="Microsoft YaHei" w:hAnsi="Microsoft YaHei" w:eastAsia="Microsoft YaHei" w:cs="Microsoft YaHei"/>
          <w:sz w:val="22"/>
          <w:szCs w:val="22"/>
          <w:spacing w:val="-8"/>
        </w:rPr>
        <w:t>适用修订前的规则。</w:t>
      </w:r>
    </w:p>
    <w:p>
      <w:pPr>
        <w:ind w:left="9785" w:right="323" w:firstLine="143"/>
        <w:spacing w:before="270" w:line="37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上海证券交易所</w:t>
      </w:r>
      <w:r>
        <w:rPr>
          <w:rFonts w:ascii="Microsoft YaHei" w:hAnsi="Microsoft YaHei" w:eastAsia="Microsoft YaHei" w:cs="Microsoft YaHei"/>
          <w:sz w:val="22"/>
          <w:szCs w:val="22"/>
          <w:spacing w:val="3"/>
        </w:rPr>
        <w:t xml:space="preserve"> </w:t>
      </w:r>
      <w:r>
        <w:rPr>
          <w:rFonts w:ascii="Microsoft YaHei" w:hAnsi="Microsoft YaHei" w:eastAsia="Microsoft YaHei" w:cs="Microsoft YaHei"/>
          <w:sz w:val="22"/>
          <w:szCs w:val="22"/>
          <w:spacing w:val="-3"/>
        </w:rPr>
        <w:t>2024年04月30日</w:t>
      </w:r>
    </w:p>
    <w:p>
      <w:pPr>
        <w:pStyle w:val="BodyText"/>
        <w:spacing w:line="341" w:lineRule="auto"/>
        <w:rPr/>
      </w:pPr>
      <w:r/>
    </w:p>
    <w:p>
      <w:pPr>
        <w:ind w:firstLine="4812"/>
        <w:spacing w:line="2561" w:lineRule="exact"/>
        <w:rPr/>
      </w:pPr>
      <w:r>
        <w:rPr>
          <w:position w:val="-51"/>
        </w:rPr>
        <w:drawing>
          <wp:inline distT="0" distB="0" distL="0" distR="0">
            <wp:extent cx="1644396" cy="1626108"/>
            <wp:effectExtent l="0" t="0" r="0" b="0"/>
            <wp:docPr id="4" name="IM 4"/>
            <wp:cNvGraphicFramePr/>
            <a:graphic>
              <a:graphicData uri="http://schemas.openxmlformats.org/drawingml/2006/picture">
                <pic:pic>
                  <pic:nvPicPr>
                    <pic:cNvPr id="4" name="IM 4"/>
                    <pic:cNvPicPr/>
                  </pic:nvPicPr>
                  <pic:blipFill>
                    <a:blip r:embed="rId3"/>
                    <a:stretch>
                      <a:fillRect/>
                    </a:stretch>
                  </pic:blipFill>
                  <pic:spPr>
                    <a:xfrm rot="0">
                      <a:off x="0" y="0"/>
                      <a:ext cx="1644396" cy="1626108"/>
                    </a:xfrm>
                    <a:prstGeom prst="rect">
                      <a:avLst/>
                    </a:prstGeom>
                  </pic:spPr>
                </pic:pic>
              </a:graphicData>
            </a:graphic>
          </wp:inline>
        </w:drawing>
      </w:r>
    </w:p>
    <w:p>
      <w:pPr>
        <w:pStyle w:val="BodyText"/>
        <w:spacing w:line="282" w:lineRule="auto"/>
        <w:rPr/>
      </w:pPr>
      <w:r/>
    </w:p>
    <w:p>
      <w:pPr>
        <w:ind w:left="3676"/>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上海证券交易所上市公司重大资产重组审核规则</w:t>
      </w:r>
    </w:p>
    <w:p>
      <w:pPr>
        <w:spacing w:line="183" w:lineRule="auto"/>
        <w:sectPr>
          <w:headerReference w:type="default" r:id="rId2"/>
          <w:pgSz w:w="11910" w:h="16840"/>
          <w:pgMar w:top="400" w:right="133" w:bottom="0" w:left="0" w:header="0" w:footer="0" w:gutter="0"/>
        </w:sectPr>
        <w:rPr>
          <w:rFonts w:ascii="Microsoft YaHei" w:hAnsi="Microsoft YaHei" w:eastAsia="Microsoft YaHei" w:cs="Microsoft YaHei"/>
          <w:sz w:val="24"/>
          <w:szCs w:val="24"/>
        </w:rPr>
      </w:pPr>
    </w:p>
    <w:p>
      <w:pPr>
        <w:ind w:left="12"/>
        <w:spacing w:before="117"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2、深圳证券交易所股票发行上市审核规则</w:t>
      </w:r>
    </w:p>
    <w:p>
      <w:pPr>
        <w:pStyle w:val="BodyText"/>
        <w:spacing w:line="270" w:lineRule="auto"/>
        <w:rPr/>
      </w:pPr>
      <w:r/>
    </w:p>
    <w:p>
      <w:pPr>
        <w:ind w:left="435"/>
        <w:spacing w:before="94"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各市场参与人：</w:t>
      </w:r>
    </w:p>
    <w:p>
      <w:pPr>
        <w:pStyle w:val="BodyText"/>
        <w:spacing w:line="245" w:lineRule="auto"/>
        <w:rPr/>
      </w:pPr>
      <w:r/>
    </w:p>
    <w:p>
      <w:pPr>
        <w:ind w:right="24" w:firstLine="442"/>
        <w:spacing w:before="94" w:line="223"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为深入贯彻落实中央金融工作会议精神和《国务院关于加强监管防范风险推动资本市场高质量发展的若</w:t>
      </w:r>
      <w:r>
        <w:rPr>
          <w:rFonts w:ascii="Microsoft YaHei" w:hAnsi="Microsoft YaHei" w:eastAsia="Microsoft YaHei" w:cs="Microsoft YaHei"/>
          <w:sz w:val="22"/>
          <w:szCs w:val="22"/>
          <w:spacing w:val="-7"/>
        </w:rPr>
        <w:t>干意</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9"/>
        </w:rPr>
        <w:t>见》，</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9"/>
        </w:rPr>
        <w:t>进一步规范股票发行上市审核工作，</w:t>
      </w:r>
      <w:r>
        <w:rPr>
          <w:rFonts w:ascii="Microsoft YaHei" w:hAnsi="Microsoft YaHei" w:eastAsia="Microsoft YaHei" w:cs="Microsoft YaHei"/>
          <w:sz w:val="22"/>
          <w:szCs w:val="22"/>
          <w:spacing w:val="-15"/>
        </w:rPr>
        <w:t xml:space="preserve"> </w:t>
      </w:r>
      <w:r>
        <w:rPr>
          <w:rFonts w:ascii="Microsoft YaHei" w:hAnsi="Microsoft YaHei" w:eastAsia="Microsoft YaHei" w:cs="Microsoft YaHei"/>
          <w:sz w:val="22"/>
          <w:szCs w:val="22"/>
          <w:spacing w:val="-9"/>
        </w:rPr>
        <w:t>保护投资者合法权益，</w:t>
      </w:r>
      <w:r>
        <w:rPr>
          <w:rFonts w:ascii="Microsoft YaHei" w:hAnsi="Microsoft YaHei" w:eastAsia="Microsoft YaHei" w:cs="Microsoft YaHei"/>
          <w:sz w:val="22"/>
          <w:szCs w:val="22"/>
          <w:spacing w:val="-13"/>
        </w:rPr>
        <w:t xml:space="preserve"> </w:t>
      </w:r>
      <w:r>
        <w:rPr>
          <w:rFonts w:ascii="Microsoft YaHei" w:hAnsi="Microsoft YaHei" w:eastAsia="Microsoft YaHei" w:cs="Microsoft YaHei"/>
          <w:sz w:val="22"/>
          <w:szCs w:val="22"/>
          <w:spacing w:val="-9"/>
        </w:rPr>
        <w:t>本所对《深圳证券交易所股票发行上市</w:t>
      </w:r>
      <w:r>
        <w:rPr>
          <w:rFonts w:ascii="Microsoft YaHei" w:hAnsi="Microsoft YaHei" w:eastAsia="Microsoft YaHei" w:cs="Microsoft YaHei"/>
          <w:sz w:val="22"/>
          <w:szCs w:val="22"/>
          <w:spacing w:val="-10"/>
        </w:rPr>
        <w:t>审核规</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9"/>
        </w:rPr>
        <w:t>则》进行了修订。经中国证监会批准，</w:t>
      </w:r>
      <w:r>
        <w:rPr>
          <w:rFonts w:ascii="Microsoft YaHei" w:hAnsi="Microsoft YaHei" w:eastAsia="Microsoft YaHei" w:cs="Microsoft YaHei"/>
          <w:sz w:val="22"/>
          <w:szCs w:val="22"/>
          <w:spacing w:val="-13"/>
        </w:rPr>
        <w:t xml:space="preserve"> </w:t>
      </w:r>
      <w:r>
        <w:rPr>
          <w:rFonts w:ascii="Microsoft YaHei" w:hAnsi="Microsoft YaHei" w:eastAsia="Microsoft YaHei" w:cs="Microsoft YaHei"/>
          <w:sz w:val="22"/>
          <w:szCs w:val="22"/>
          <w:spacing w:val="-9"/>
        </w:rPr>
        <w:t>现予以发布， 并自发布之日起施行。</w:t>
      </w:r>
    </w:p>
    <w:p>
      <w:pPr>
        <w:ind w:left="3" w:right="98" w:firstLine="435"/>
        <w:spacing w:before="313" w:line="221"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8"/>
        </w:rPr>
        <w:t>本所于2023年2月17日发布的《深圳证券交易所股票发行上市审核规则》</w:t>
      </w:r>
      <w:r>
        <w:rPr>
          <w:rFonts w:ascii="Microsoft YaHei" w:hAnsi="Microsoft YaHei" w:eastAsia="Microsoft YaHei" w:cs="Microsoft YaHei"/>
          <w:sz w:val="22"/>
          <w:szCs w:val="22"/>
          <w:spacing w:val="-7"/>
        </w:rPr>
        <w:t xml:space="preserve"> </w:t>
      </w:r>
      <w:r>
        <w:rPr>
          <w:rFonts w:ascii="Microsoft YaHei" w:hAnsi="Microsoft YaHei" w:eastAsia="Microsoft YaHei" w:cs="Microsoft YaHei"/>
          <w:sz w:val="22"/>
          <w:szCs w:val="22"/>
          <w:spacing w:val="-8"/>
        </w:rPr>
        <w:t>（深证上〔</w:t>
      </w:r>
      <w:r>
        <w:rPr>
          <w:rFonts w:ascii="Microsoft YaHei" w:hAnsi="Microsoft YaHei" w:eastAsia="Microsoft YaHei" w:cs="Microsoft YaHei"/>
          <w:sz w:val="22"/>
          <w:szCs w:val="22"/>
          <w:spacing w:val="-35"/>
        </w:rPr>
        <w:t xml:space="preserve"> </w:t>
      </w:r>
      <w:r>
        <w:rPr>
          <w:rFonts w:ascii="Microsoft YaHei" w:hAnsi="Microsoft YaHei" w:eastAsia="Microsoft YaHei" w:cs="Microsoft YaHei"/>
          <w:sz w:val="22"/>
          <w:szCs w:val="22"/>
          <w:spacing w:val="-8"/>
        </w:rPr>
        <w:t>2023〕94号） 同时废</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止。</w:t>
      </w:r>
    </w:p>
    <w:p>
      <w:pPr>
        <w:pStyle w:val="BodyText"/>
        <w:spacing w:line="272" w:lineRule="auto"/>
        <w:rPr/>
      </w:pPr>
      <w:r/>
    </w:p>
    <w:p>
      <w:pPr>
        <w:pStyle w:val="BodyText"/>
        <w:spacing w:line="273" w:lineRule="auto"/>
        <w:rPr/>
      </w:pPr>
      <w:r/>
    </w:p>
    <w:p>
      <w:pPr>
        <w:pStyle w:val="BodyText"/>
        <w:spacing w:line="273" w:lineRule="auto"/>
        <w:rPr/>
      </w:pPr>
      <w:r/>
    </w:p>
    <w:p>
      <w:pPr>
        <w:pStyle w:val="BodyText"/>
        <w:spacing w:line="273" w:lineRule="auto"/>
        <w:rPr/>
      </w:pPr>
      <w:r/>
    </w:p>
    <w:p>
      <w:pPr>
        <w:ind w:left="8868" w:firstLine="127"/>
        <w:spacing w:before="94" w:line="405"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深圳证券交易所</w:t>
      </w:r>
      <w:r>
        <w:rPr>
          <w:rFonts w:ascii="Microsoft YaHei" w:hAnsi="Microsoft YaHei" w:eastAsia="Microsoft YaHei" w:cs="Microsoft YaHei"/>
          <w:sz w:val="22"/>
          <w:szCs w:val="22"/>
          <w:spacing w:val="5"/>
        </w:rPr>
        <w:t xml:space="preserve"> </w:t>
      </w:r>
      <w:r>
        <w:rPr>
          <w:rFonts w:ascii="Microsoft YaHei" w:hAnsi="Microsoft YaHei" w:eastAsia="Microsoft YaHei" w:cs="Microsoft YaHei"/>
          <w:sz w:val="22"/>
          <w:szCs w:val="22"/>
          <w:spacing w:val="-4"/>
        </w:rPr>
        <w:t>2024年04月30日</w:t>
      </w:r>
    </w:p>
    <w:p>
      <w:pPr>
        <w:ind w:firstLine="3948"/>
        <w:spacing w:before="185" w:line="2600" w:lineRule="exact"/>
        <w:rPr/>
      </w:pPr>
      <w:r>
        <w:rPr>
          <w:position w:val="-52"/>
        </w:rPr>
        <w:drawing>
          <wp:inline distT="0" distB="0" distL="0" distR="0">
            <wp:extent cx="1658111" cy="1651000"/>
            <wp:effectExtent l="0" t="0" r="0" b="0"/>
            <wp:docPr id="6" name="IM 6"/>
            <wp:cNvGraphicFramePr/>
            <a:graphic>
              <a:graphicData uri="http://schemas.openxmlformats.org/drawingml/2006/picture">
                <pic:pic>
                  <pic:nvPicPr>
                    <pic:cNvPr id="6" name="IM 6"/>
                    <pic:cNvPicPr/>
                  </pic:nvPicPr>
                  <pic:blipFill>
                    <a:blip r:embed="rId4"/>
                    <a:stretch>
                      <a:fillRect/>
                    </a:stretch>
                  </pic:blipFill>
                  <pic:spPr>
                    <a:xfrm rot="0">
                      <a:off x="0" y="0"/>
                      <a:ext cx="1658111" cy="1651000"/>
                    </a:xfrm>
                    <a:prstGeom prst="rect">
                      <a:avLst/>
                    </a:prstGeom>
                  </pic:spPr>
                </pic:pic>
              </a:graphicData>
            </a:graphic>
          </wp:inline>
        </w:drawing>
      </w:r>
    </w:p>
    <w:p>
      <w:pPr>
        <w:pStyle w:val="BodyText"/>
        <w:spacing w:line="250" w:lineRule="auto"/>
        <w:rPr/>
      </w:pPr>
      <w:r/>
    </w:p>
    <w:p>
      <w:pPr>
        <w:ind w:left="3221"/>
        <w:spacing w:before="104"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深圳证券交易所股票发行上市审核规则</w:t>
      </w:r>
    </w:p>
    <w:p>
      <w:pPr>
        <w:spacing w:line="183" w:lineRule="auto"/>
        <w:sectPr>
          <w:pgSz w:w="11910" w:h="16840"/>
          <w:pgMar w:top="400" w:right="454" w:bottom="0" w:left="931" w:header="0" w:footer="0" w:gutter="0"/>
        </w:sectPr>
        <w:rPr>
          <w:rFonts w:ascii="Microsoft YaHei" w:hAnsi="Microsoft YaHei" w:eastAsia="Microsoft YaHei" w:cs="Microsoft YaHei"/>
          <w:sz w:val="24"/>
          <w:szCs w:val="24"/>
        </w:rPr>
      </w:pPr>
    </w:p>
    <w:p>
      <w:pPr>
        <w:ind w:left="17"/>
        <w:spacing w:before="117"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3、北京证券交易所上市公司重大资产重组审核规则</w:t>
      </w:r>
    </w:p>
    <w:p>
      <w:pPr>
        <w:ind w:right="24" w:firstLine="441"/>
        <w:spacing w:before="328" w:line="222"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为深入贯彻落实中央金融工作会议精神和《国务院关于加强监管防范风险推动资本市场高质量发展的若</w:t>
      </w:r>
      <w:r>
        <w:rPr>
          <w:rFonts w:ascii="Microsoft YaHei" w:hAnsi="Microsoft YaHei" w:eastAsia="Microsoft YaHei" w:cs="Microsoft YaHei"/>
          <w:sz w:val="22"/>
          <w:szCs w:val="22"/>
          <w:spacing w:val="-7"/>
        </w:rPr>
        <w:t>干意</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9"/>
        </w:rPr>
        <w:t>见》，</w:t>
      </w:r>
      <w:r>
        <w:rPr>
          <w:rFonts w:ascii="Microsoft YaHei" w:hAnsi="Microsoft YaHei" w:eastAsia="Microsoft YaHei" w:cs="Microsoft YaHei"/>
          <w:sz w:val="22"/>
          <w:szCs w:val="22"/>
          <w:spacing w:val="-15"/>
        </w:rPr>
        <w:t xml:space="preserve"> </w:t>
      </w:r>
      <w:r>
        <w:rPr>
          <w:rFonts w:ascii="Microsoft YaHei" w:hAnsi="Microsoft YaHei" w:eastAsia="Microsoft YaHei" w:cs="Microsoft YaHei"/>
          <w:sz w:val="22"/>
          <w:szCs w:val="22"/>
          <w:spacing w:val="-9"/>
        </w:rPr>
        <w:t>落实中国证监会《关于严把发行上市准入关从源头上提高上市公司质量的意见</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9"/>
        </w:rPr>
        <w:t>（试行） 》等政</w:t>
      </w:r>
      <w:r>
        <w:rPr>
          <w:rFonts w:ascii="Microsoft YaHei" w:hAnsi="Microsoft YaHei" w:eastAsia="Microsoft YaHei" w:cs="Microsoft YaHei"/>
          <w:sz w:val="22"/>
          <w:szCs w:val="22"/>
          <w:spacing w:val="-10"/>
        </w:rPr>
        <w:t>策文件的要</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9"/>
        </w:rPr>
        <w:t>求， 支持上市公司通过并购重组提升价值，</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9"/>
        </w:rPr>
        <w:t>规范上市公司的重组行为，</w:t>
      </w:r>
      <w:r>
        <w:rPr>
          <w:rFonts w:ascii="Microsoft YaHei" w:hAnsi="Microsoft YaHei" w:eastAsia="Microsoft YaHei" w:cs="Microsoft YaHei"/>
          <w:sz w:val="22"/>
          <w:szCs w:val="22"/>
          <w:spacing w:val="-13"/>
        </w:rPr>
        <w:t xml:space="preserve"> </w:t>
      </w:r>
      <w:r>
        <w:rPr>
          <w:rFonts w:ascii="Microsoft YaHei" w:hAnsi="Microsoft YaHei" w:eastAsia="Microsoft YaHei" w:cs="Microsoft YaHei"/>
          <w:sz w:val="22"/>
          <w:szCs w:val="22"/>
          <w:spacing w:val="-9"/>
        </w:rPr>
        <w:t>本所修订了《北京</w:t>
      </w:r>
      <w:r>
        <w:rPr>
          <w:rFonts w:ascii="Microsoft YaHei" w:hAnsi="Microsoft YaHei" w:eastAsia="Microsoft YaHei" w:cs="Microsoft YaHei"/>
          <w:sz w:val="22"/>
          <w:szCs w:val="22"/>
          <w:spacing w:val="-10"/>
        </w:rPr>
        <w:t>证券交易所上市公司重</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0"/>
        </w:rPr>
        <w:t>大资产重组审核规则》， 经中国证监会批准，</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10"/>
        </w:rPr>
        <w:t>现予</w:t>
      </w:r>
      <w:r>
        <w:rPr>
          <w:rFonts w:ascii="Microsoft YaHei" w:hAnsi="Microsoft YaHei" w:eastAsia="Microsoft YaHei" w:cs="Microsoft YaHei"/>
          <w:sz w:val="22"/>
          <w:szCs w:val="22"/>
          <w:spacing w:val="-11"/>
        </w:rPr>
        <w:t>以发布， 自发布之日起施行。</w:t>
      </w:r>
    </w:p>
    <w:p>
      <w:pPr>
        <w:pStyle w:val="BodyText"/>
        <w:spacing w:line="270" w:lineRule="auto"/>
        <w:rPr/>
      </w:pPr>
      <w:r/>
    </w:p>
    <w:p>
      <w:pPr>
        <w:pStyle w:val="BodyText"/>
        <w:spacing w:line="270" w:lineRule="auto"/>
        <w:rPr/>
      </w:pPr>
      <w:r/>
    </w:p>
    <w:p>
      <w:pPr>
        <w:pStyle w:val="BodyText"/>
        <w:spacing w:line="270" w:lineRule="auto"/>
        <w:rPr/>
      </w:pPr>
      <w:r/>
    </w:p>
    <w:p>
      <w:pPr>
        <w:pStyle w:val="BodyText"/>
        <w:spacing w:line="270" w:lineRule="auto"/>
        <w:rPr/>
      </w:pPr>
      <w:r/>
    </w:p>
    <w:p>
      <w:pPr>
        <w:ind w:left="8868" w:firstLine="126"/>
        <w:spacing w:before="94" w:line="372"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北京证券交易所</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4"/>
        </w:rPr>
        <w:t>2024年04月30日</w:t>
      </w:r>
    </w:p>
    <w:p>
      <w:pPr>
        <w:ind w:firstLine="3978"/>
        <w:spacing w:line="2539" w:lineRule="exact"/>
        <w:rPr/>
      </w:pPr>
      <w:r>
        <w:rPr>
          <w:position w:val="-50"/>
        </w:rPr>
        <w:drawing>
          <wp:inline distT="0" distB="0" distL="0" distR="0">
            <wp:extent cx="1626107" cy="1612899"/>
            <wp:effectExtent l="0" t="0" r="0" b="0"/>
            <wp:docPr id="8" name="IM 8"/>
            <wp:cNvGraphicFramePr/>
            <a:graphic>
              <a:graphicData uri="http://schemas.openxmlformats.org/drawingml/2006/picture">
                <pic:pic>
                  <pic:nvPicPr>
                    <pic:cNvPr id="8" name="IM 8"/>
                    <pic:cNvPicPr/>
                  </pic:nvPicPr>
                  <pic:blipFill>
                    <a:blip r:embed="rId5"/>
                    <a:stretch>
                      <a:fillRect/>
                    </a:stretch>
                  </pic:blipFill>
                  <pic:spPr>
                    <a:xfrm rot="0">
                      <a:off x="0" y="0"/>
                      <a:ext cx="1626107" cy="1612899"/>
                    </a:xfrm>
                    <a:prstGeom prst="rect">
                      <a:avLst/>
                    </a:prstGeom>
                  </pic:spPr>
                </pic:pic>
              </a:graphicData>
            </a:graphic>
          </wp:inline>
        </w:drawing>
      </w:r>
    </w:p>
    <w:p>
      <w:pPr>
        <w:pStyle w:val="BodyText"/>
        <w:spacing w:line="250" w:lineRule="auto"/>
        <w:rPr/>
      </w:pPr>
      <w:r/>
    </w:p>
    <w:p>
      <w:pPr>
        <w:ind w:left="2741"/>
        <w:spacing w:before="104"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北京证券交易所上市公司重大资产重组审核规则</w:t>
      </w:r>
    </w:p>
    <w:p>
      <w:pPr>
        <w:spacing w:line="183" w:lineRule="auto"/>
        <w:sectPr>
          <w:pgSz w:w="11910" w:h="16840"/>
          <w:pgMar w:top="400" w:right="454" w:bottom="0" w:left="931" w:header="0" w:footer="0" w:gutter="0"/>
        </w:sectPr>
        <w:rPr>
          <w:rFonts w:ascii="Microsoft YaHei" w:hAnsi="Microsoft YaHei" w:eastAsia="Microsoft YaHei" w:cs="Microsoft YaHei"/>
          <w:sz w:val="24"/>
          <w:szCs w:val="24"/>
        </w:rPr>
      </w:pPr>
    </w:p>
    <w:p>
      <w:pPr>
        <w:ind w:left="8"/>
        <w:spacing w:before="18"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4、上海证券交易所股票上市规则</w:t>
      </w:r>
    </w:p>
    <w:p>
      <w:pPr>
        <w:pStyle w:val="BodyText"/>
        <w:spacing w:line="272" w:lineRule="auto"/>
        <w:rPr/>
      </w:pPr>
      <w:r/>
    </w:p>
    <w:p>
      <w:pPr>
        <w:ind w:left="440"/>
        <w:spacing w:before="95"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各市场参与人：</w:t>
      </w:r>
    </w:p>
    <w:p>
      <w:pPr>
        <w:pStyle w:val="BodyText"/>
        <w:spacing w:line="241" w:lineRule="auto"/>
        <w:rPr/>
      </w:pPr>
      <w:r/>
    </w:p>
    <w:p>
      <w:pPr>
        <w:ind w:firstLine="446"/>
        <w:spacing w:before="94" w:line="220"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为了深入贯彻落实中央金融工作会议精神和《国务院关于加强监管防范风险推动资本市场高质量发展的</w:t>
      </w:r>
      <w:r>
        <w:rPr>
          <w:rFonts w:ascii="Microsoft YaHei" w:hAnsi="Microsoft YaHei" w:eastAsia="Microsoft YaHei" w:cs="Microsoft YaHei"/>
          <w:sz w:val="22"/>
          <w:szCs w:val="22"/>
          <w:spacing w:val="-7"/>
        </w:rPr>
        <w:t>若干</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9"/>
        </w:rPr>
        <w:t>意见》， 进一步推动提高上市公司质量和投资价值，</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9"/>
        </w:rPr>
        <w:t>保护投资者合法权益，</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9"/>
        </w:rPr>
        <w:t>根据中国证监会《关于严把</w:t>
      </w:r>
      <w:r>
        <w:rPr>
          <w:rFonts w:ascii="Microsoft YaHei" w:hAnsi="Microsoft YaHei" w:eastAsia="Microsoft YaHei" w:cs="Microsoft YaHei"/>
          <w:sz w:val="22"/>
          <w:szCs w:val="22"/>
          <w:spacing w:val="-10"/>
        </w:rPr>
        <w:t>发行上市</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0"/>
        </w:rPr>
        <w:t>准入关从源头上提高上市公司质量的意见</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10"/>
        </w:rPr>
        <w:t>（试行） 》《关于加强上市公司监管的意见</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10"/>
        </w:rPr>
        <w:t>（试行） 》《关于严</w:t>
      </w:r>
      <w:r>
        <w:rPr>
          <w:rFonts w:ascii="Microsoft YaHei" w:hAnsi="Microsoft YaHei" w:eastAsia="Microsoft YaHei" w:cs="Microsoft YaHei"/>
          <w:sz w:val="22"/>
          <w:szCs w:val="22"/>
          <w:spacing w:val="-11"/>
        </w:rPr>
        <w:t>格执行</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9"/>
        </w:rPr>
        <w:t>退市制度的意见》的要求， 上海证券交易所</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9"/>
        </w:rPr>
        <w:t>（以下简</w:t>
      </w:r>
      <w:r>
        <w:rPr>
          <w:rFonts w:ascii="Microsoft YaHei" w:hAnsi="Microsoft YaHei" w:eastAsia="Microsoft YaHei" w:cs="Microsoft YaHei"/>
          <w:sz w:val="22"/>
          <w:szCs w:val="22"/>
          <w:spacing w:val="-10"/>
        </w:rPr>
        <w:t>称本所）</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10"/>
        </w:rPr>
        <w:t>对《上海证券交易所股票上市规则</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10"/>
        </w:rPr>
        <w:t>（2023年8月修</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2"/>
        </w:rPr>
        <w:t>订） 》</w:t>
      </w:r>
      <w:r>
        <w:rPr>
          <w:rFonts w:ascii="Microsoft YaHei" w:hAnsi="Microsoft YaHei" w:eastAsia="Microsoft YaHei" w:cs="Microsoft YaHei"/>
          <w:sz w:val="22"/>
          <w:szCs w:val="22"/>
          <w:spacing w:val="2"/>
        </w:rPr>
        <w:t xml:space="preserve"> </w:t>
      </w:r>
      <w:r>
        <w:rPr>
          <w:rFonts w:ascii="Microsoft YaHei" w:hAnsi="Microsoft YaHei" w:eastAsia="Microsoft YaHei" w:cs="Microsoft YaHei"/>
          <w:sz w:val="22"/>
          <w:szCs w:val="22"/>
          <w:spacing w:val="-12"/>
        </w:rPr>
        <w:t>（以下简称原《上市规则》） 涉及上市条件、退市制度、其他风险警示</w:t>
      </w:r>
      <w:r>
        <w:rPr>
          <w:rFonts w:ascii="Microsoft YaHei" w:hAnsi="Microsoft YaHei" w:eastAsia="Microsoft YaHei" w:cs="Microsoft YaHei"/>
          <w:sz w:val="22"/>
          <w:szCs w:val="22"/>
          <w:spacing w:val="-15"/>
        </w:rPr>
        <w:t xml:space="preserve"> </w:t>
      </w:r>
      <w:r>
        <w:rPr>
          <w:rFonts w:ascii="Microsoft YaHei" w:hAnsi="Microsoft YaHei" w:eastAsia="Microsoft YaHei" w:cs="Microsoft YaHei"/>
          <w:sz w:val="22"/>
          <w:szCs w:val="22"/>
          <w:spacing w:val="-12"/>
        </w:rPr>
        <w:t>（ST） 制度的相关内容进行了修订。</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1"/>
        </w:rPr>
        <w:t>修订后的《上海证券交易所股票上市规则</w:t>
      </w:r>
      <w:r>
        <w:rPr>
          <w:rFonts w:ascii="Microsoft YaHei" w:hAnsi="Microsoft YaHei" w:eastAsia="Microsoft YaHei" w:cs="Microsoft YaHei"/>
          <w:sz w:val="22"/>
          <w:szCs w:val="22"/>
          <w:spacing w:val="1"/>
        </w:rPr>
        <w:t xml:space="preserve"> </w:t>
      </w:r>
      <w:r>
        <w:rPr>
          <w:rFonts w:ascii="Microsoft YaHei" w:hAnsi="Microsoft YaHei" w:eastAsia="Microsoft YaHei" w:cs="Microsoft YaHei"/>
          <w:sz w:val="22"/>
          <w:szCs w:val="22"/>
          <w:spacing w:val="-11"/>
        </w:rPr>
        <w:t>（2024年4月修订） 》</w:t>
      </w:r>
      <w:r>
        <w:rPr>
          <w:rFonts w:ascii="Microsoft YaHei" w:hAnsi="Microsoft YaHei" w:eastAsia="Microsoft YaHei" w:cs="Microsoft YaHei"/>
          <w:sz w:val="22"/>
          <w:szCs w:val="22"/>
          <w:spacing w:val="-16"/>
        </w:rPr>
        <w:t xml:space="preserve"> </w:t>
      </w:r>
      <w:r>
        <w:rPr>
          <w:rFonts w:ascii="Microsoft YaHei" w:hAnsi="Microsoft YaHei" w:eastAsia="Microsoft YaHei" w:cs="Microsoft YaHei"/>
          <w:sz w:val="22"/>
          <w:szCs w:val="22"/>
          <w:spacing w:val="-11"/>
        </w:rPr>
        <w:t>（以下简称新《上市规则》， 详见附件） 已经中</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8"/>
        </w:rPr>
        <w:t>国证监会批准，</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8"/>
        </w:rPr>
        <w:t>现予以发布， 并自发布之</w:t>
      </w:r>
      <w:r>
        <w:rPr>
          <w:rFonts w:ascii="Microsoft YaHei" w:hAnsi="Microsoft YaHei" w:eastAsia="Microsoft YaHei" w:cs="Microsoft YaHei"/>
          <w:sz w:val="22"/>
          <w:szCs w:val="22"/>
          <w:spacing w:val="-9"/>
        </w:rPr>
        <w:t>日起施行。除本通知特别说明的条款外，</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9"/>
        </w:rPr>
        <w:t>本所于2023年8月4日发布的</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0"/>
        </w:rPr>
        <w:t>《上海证券交易所股票上市规则</w:t>
      </w:r>
      <w:r>
        <w:rPr>
          <w:rFonts w:ascii="Microsoft YaHei" w:hAnsi="Microsoft YaHei" w:eastAsia="Microsoft YaHei" w:cs="Microsoft YaHei"/>
          <w:sz w:val="22"/>
          <w:szCs w:val="22"/>
          <w:spacing w:val="-16"/>
        </w:rPr>
        <w:t xml:space="preserve"> </w:t>
      </w:r>
      <w:r>
        <w:rPr>
          <w:rFonts w:ascii="Microsoft YaHei" w:hAnsi="Microsoft YaHei" w:eastAsia="Microsoft YaHei" w:cs="Microsoft YaHei"/>
          <w:sz w:val="22"/>
          <w:szCs w:val="22"/>
          <w:spacing w:val="-10"/>
        </w:rPr>
        <w:t>（2023年8月修订） 》</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11"/>
        </w:rPr>
        <w:t>（上证发〔</w:t>
      </w:r>
      <w:r>
        <w:rPr>
          <w:rFonts w:ascii="Microsoft YaHei" w:hAnsi="Microsoft YaHei" w:eastAsia="Microsoft YaHei" w:cs="Microsoft YaHei"/>
          <w:sz w:val="22"/>
          <w:szCs w:val="22"/>
          <w:spacing w:val="-38"/>
        </w:rPr>
        <w:t xml:space="preserve"> </w:t>
      </w:r>
      <w:r>
        <w:rPr>
          <w:rFonts w:ascii="Microsoft YaHei" w:hAnsi="Microsoft YaHei" w:eastAsia="Microsoft YaHei" w:cs="Microsoft YaHei"/>
          <w:sz w:val="22"/>
          <w:szCs w:val="22"/>
          <w:spacing w:val="-11"/>
        </w:rPr>
        <w:t>2023〕127号） 同时废止， 相关新老规则适用</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5"/>
        </w:rPr>
        <w:t>的衔接安排如下：</w:t>
      </w:r>
    </w:p>
    <w:p>
      <w:pPr>
        <w:ind w:left="8986" w:right="173" w:firstLine="16"/>
        <w:spacing w:before="290" w:line="391"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上海证券交易所</w:t>
      </w:r>
      <w:r>
        <w:rPr>
          <w:rFonts w:ascii="Microsoft YaHei" w:hAnsi="Microsoft YaHei" w:eastAsia="Microsoft YaHei" w:cs="Microsoft YaHei"/>
          <w:sz w:val="22"/>
          <w:szCs w:val="22"/>
          <w:spacing w:val="3"/>
        </w:rPr>
        <w:t xml:space="preserve"> </w:t>
      </w:r>
      <w:r>
        <w:rPr>
          <w:rFonts w:ascii="Microsoft YaHei" w:hAnsi="Microsoft YaHei" w:eastAsia="Microsoft YaHei" w:cs="Microsoft YaHei"/>
          <w:sz w:val="22"/>
          <w:szCs w:val="22"/>
          <w:spacing w:val="-3"/>
        </w:rPr>
        <w:t>2023年4月30日</w:t>
      </w:r>
    </w:p>
    <w:p>
      <w:pPr>
        <w:ind w:firstLine="3942"/>
        <w:spacing w:before="148" w:line="2640" w:lineRule="exact"/>
        <w:rPr/>
      </w:pPr>
      <w:r>
        <w:rPr>
          <w:position w:val="-52"/>
        </w:rPr>
        <w:drawing>
          <wp:inline distT="0" distB="0" distL="0" distR="0">
            <wp:extent cx="1664207" cy="1676400"/>
            <wp:effectExtent l="0" t="0" r="0" b="0"/>
            <wp:docPr id="10" name="IM 10"/>
            <wp:cNvGraphicFramePr/>
            <a:graphic>
              <a:graphicData uri="http://schemas.openxmlformats.org/drawingml/2006/picture">
                <pic:pic>
                  <pic:nvPicPr>
                    <pic:cNvPr id="10" name="IM 10"/>
                    <pic:cNvPicPr/>
                  </pic:nvPicPr>
                  <pic:blipFill>
                    <a:blip r:embed="rId6"/>
                    <a:stretch>
                      <a:fillRect/>
                    </a:stretch>
                  </pic:blipFill>
                  <pic:spPr>
                    <a:xfrm rot="0">
                      <a:off x="0" y="0"/>
                      <a:ext cx="1664207" cy="1676400"/>
                    </a:xfrm>
                    <a:prstGeom prst="rect">
                      <a:avLst/>
                    </a:prstGeom>
                  </pic:spPr>
                </pic:pic>
              </a:graphicData>
            </a:graphic>
          </wp:inline>
        </w:drawing>
      </w:r>
    </w:p>
    <w:p>
      <w:pPr>
        <w:ind w:left="3709"/>
        <w:spacing w:before="330"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上海证券交易所股票上市规则</w:t>
      </w:r>
    </w:p>
    <w:p>
      <w:pPr>
        <w:spacing w:line="183" w:lineRule="auto"/>
        <w:sectPr>
          <w:pgSz w:w="11910" w:h="16840"/>
          <w:pgMar w:top="400" w:right="283" w:bottom="0" w:left="926" w:header="0" w:footer="0" w:gutter="0"/>
        </w:sectPr>
        <w:rPr>
          <w:rFonts w:ascii="Microsoft YaHei" w:hAnsi="Microsoft YaHei" w:eastAsia="Microsoft YaHei" w:cs="Microsoft YaHei"/>
          <w:sz w:val="24"/>
          <w:szCs w:val="24"/>
        </w:rPr>
      </w:pPr>
    </w:p>
    <w:p>
      <w:pPr>
        <w:ind w:left="20"/>
        <w:spacing w:before="18"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5、上海证券交易所科创板股票上市规则</w:t>
      </w:r>
    </w:p>
    <w:p>
      <w:pPr>
        <w:pStyle w:val="BodyText"/>
        <w:spacing w:line="272" w:lineRule="auto"/>
        <w:rPr/>
      </w:pPr>
      <w:r/>
    </w:p>
    <w:p>
      <w:pPr>
        <w:ind w:left="435"/>
        <w:spacing w:before="95"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各市场参与人：</w:t>
      </w:r>
    </w:p>
    <w:p>
      <w:pPr>
        <w:pStyle w:val="BodyText"/>
        <w:spacing w:line="245" w:lineRule="auto"/>
        <w:rPr/>
      </w:pPr>
      <w:r/>
    </w:p>
    <w:p>
      <w:pPr>
        <w:ind w:right="199" w:firstLine="442"/>
        <w:spacing w:before="94" w:line="221"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为了深入贯彻落实中央金融工作会议精神和《国务院关于加强监管防范风险推动资本市场高质量发展的</w:t>
      </w:r>
      <w:r>
        <w:rPr>
          <w:rFonts w:ascii="Microsoft YaHei" w:hAnsi="Microsoft YaHei" w:eastAsia="Microsoft YaHei" w:cs="Microsoft YaHei"/>
          <w:sz w:val="22"/>
          <w:szCs w:val="22"/>
          <w:spacing w:val="-7"/>
        </w:rPr>
        <w:t>若干</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9"/>
        </w:rPr>
        <w:t>意见》， 进一步推动提高上市公司质量和投资价值，</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9"/>
        </w:rPr>
        <w:t>保护投资者合法权益，</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9"/>
        </w:rPr>
        <w:t>根据中国证监会《</w:t>
      </w:r>
      <w:r>
        <w:rPr>
          <w:rFonts w:ascii="Microsoft YaHei" w:hAnsi="Microsoft YaHei" w:eastAsia="Microsoft YaHei" w:cs="Microsoft YaHei"/>
          <w:sz w:val="22"/>
          <w:szCs w:val="22"/>
          <w:spacing w:val="-10"/>
        </w:rPr>
        <w:t>关于加强上市公司</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1"/>
        </w:rPr>
        <w:t>监管的意见</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11"/>
        </w:rPr>
        <w:t>（试行） 》《关于严格执行退市制度的意见》的要求， 上海证券交易所</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11"/>
        </w:rPr>
        <w:t>（以下简称</w:t>
      </w:r>
      <w:r>
        <w:rPr>
          <w:rFonts w:ascii="Microsoft YaHei" w:hAnsi="Microsoft YaHei" w:eastAsia="Microsoft YaHei" w:cs="Microsoft YaHei"/>
          <w:sz w:val="22"/>
          <w:szCs w:val="22"/>
          <w:spacing w:val="-12"/>
        </w:rPr>
        <w:t>本所）</w:t>
      </w:r>
      <w:r>
        <w:rPr>
          <w:rFonts w:ascii="Microsoft YaHei" w:hAnsi="Microsoft YaHei" w:eastAsia="Microsoft YaHei" w:cs="Microsoft YaHei"/>
          <w:sz w:val="22"/>
          <w:szCs w:val="22"/>
          <w:spacing w:val="-13"/>
        </w:rPr>
        <w:t xml:space="preserve"> </w:t>
      </w:r>
      <w:r>
        <w:rPr>
          <w:rFonts w:ascii="Microsoft YaHei" w:hAnsi="Microsoft YaHei" w:eastAsia="Microsoft YaHei" w:cs="Microsoft YaHei"/>
          <w:sz w:val="22"/>
          <w:szCs w:val="22"/>
          <w:spacing w:val="-12"/>
        </w:rPr>
        <w:t>对《上海证</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0"/>
        </w:rPr>
        <w:t>券交易所科创板股票上市规则</w:t>
      </w:r>
      <w:r>
        <w:rPr>
          <w:rFonts w:ascii="Microsoft YaHei" w:hAnsi="Microsoft YaHei" w:eastAsia="Microsoft YaHei" w:cs="Microsoft YaHei"/>
          <w:sz w:val="22"/>
          <w:szCs w:val="22"/>
          <w:spacing w:val="-2"/>
        </w:rPr>
        <w:t xml:space="preserve"> </w:t>
      </w:r>
      <w:r>
        <w:rPr>
          <w:rFonts w:ascii="Microsoft YaHei" w:hAnsi="Microsoft YaHei" w:eastAsia="Microsoft YaHei" w:cs="Microsoft YaHei"/>
          <w:sz w:val="22"/>
          <w:szCs w:val="22"/>
          <w:spacing w:val="-10"/>
        </w:rPr>
        <w:t>（2023年8月修订） 》</w:t>
      </w:r>
      <w:r>
        <w:rPr>
          <w:rFonts w:ascii="Microsoft YaHei" w:hAnsi="Microsoft YaHei" w:eastAsia="Microsoft YaHei" w:cs="Microsoft YaHei"/>
          <w:sz w:val="22"/>
          <w:szCs w:val="22"/>
          <w:spacing w:val="-16"/>
        </w:rPr>
        <w:t xml:space="preserve"> </w:t>
      </w:r>
      <w:r>
        <w:rPr>
          <w:rFonts w:ascii="Microsoft YaHei" w:hAnsi="Microsoft YaHei" w:eastAsia="Microsoft YaHei" w:cs="Microsoft YaHei"/>
          <w:sz w:val="22"/>
          <w:szCs w:val="22"/>
          <w:spacing w:val="-10"/>
        </w:rPr>
        <w:t>（以下简称原《上市规则》） 涉及退市与风险警示制度的相</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9"/>
        </w:rPr>
        <w:t>关内容进行了修订。修订后的《上海证券交易所科创板股票上市规则</w:t>
      </w:r>
      <w:r>
        <w:rPr>
          <w:rFonts w:ascii="Microsoft YaHei" w:hAnsi="Microsoft YaHei" w:eastAsia="Microsoft YaHei" w:cs="Microsoft YaHei"/>
          <w:sz w:val="22"/>
          <w:szCs w:val="22"/>
          <w:spacing w:val="1"/>
        </w:rPr>
        <w:t xml:space="preserve"> </w:t>
      </w:r>
      <w:r>
        <w:rPr>
          <w:rFonts w:ascii="Microsoft YaHei" w:hAnsi="Microsoft YaHei" w:eastAsia="Microsoft YaHei" w:cs="Microsoft YaHei"/>
          <w:sz w:val="22"/>
          <w:szCs w:val="22"/>
          <w:spacing w:val="-9"/>
        </w:rPr>
        <w:t>（2024年4月修订） 》</w:t>
      </w:r>
      <w:r>
        <w:rPr>
          <w:rFonts w:ascii="Microsoft YaHei" w:hAnsi="Microsoft YaHei" w:eastAsia="Microsoft YaHei" w:cs="Microsoft YaHei"/>
          <w:sz w:val="22"/>
          <w:szCs w:val="22"/>
          <w:spacing w:val="-16"/>
        </w:rPr>
        <w:t xml:space="preserve"> </w:t>
      </w:r>
      <w:r>
        <w:rPr>
          <w:rFonts w:ascii="Microsoft YaHei" w:hAnsi="Microsoft YaHei" w:eastAsia="Microsoft YaHei" w:cs="Microsoft YaHei"/>
          <w:sz w:val="22"/>
          <w:szCs w:val="22"/>
          <w:spacing w:val="-9"/>
        </w:rPr>
        <w:t>（以下简称新《上市</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1"/>
        </w:rPr>
        <w:t>规则》， 详见附件） 已经中国证监会批准，</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11"/>
        </w:rPr>
        <w:t>现予以发布， 并自发布之日</w:t>
      </w:r>
      <w:r>
        <w:rPr>
          <w:rFonts w:ascii="Microsoft YaHei" w:hAnsi="Microsoft YaHei" w:eastAsia="Microsoft YaHei" w:cs="Microsoft YaHei"/>
          <w:sz w:val="22"/>
          <w:szCs w:val="22"/>
          <w:spacing w:val="-12"/>
        </w:rPr>
        <w:t>起施行。除本通知特别说明的条款外， 本</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8"/>
        </w:rPr>
        <w:t>所于2023年8月4日发布的《上海证券交易所科创板股票上市规则</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8"/>
        </w:rPr>
        <w:t>（2023年8月修订）</w:t>
      </w:r>
      <w:r>
        <w:rPr>
          <w:rFonts w:ascii="Microsoft YaHei" w:hAnsi="Microsoft YaHei" w:eastAsia="Microsoft YaHei" w:cs="Microsoft YaHei"/>
          <w:sz w:val="22"/>
          <w:szCs w:val="22"/>
          <w:spacing w:val="-9"/>
        </w:rPr>
        <w:t xml:space="preserve"> 》</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9"/>
        </w:rPr>
        <w:t>（上证发〔</w:t>
      </w:r>
      <w:r>
        <w:rPr>
          <w:rFonts w:ascii="Microsoft YaHei" w:hAnsi="Microsoft YaHei" w:eastAsia="Microsoft YaHei" w:cs="Microsoft YaHei"/>
          <w:sz w:val="22"/>
          <w:szCs w:val="22"/>
          <w:spacing w:val="-35"/>
        </w:rPr>
        <w:t xml:space="preserve"> </w:t>
      </w:r>
      <w:r>
        <w:rPr>
          <w:rFonts w:ascii="Microsoft YaHei" w:hAnsi="Microsoft YaHei" w:eastAsia="Microsoft YaHei" w:cs="Microsoft YaHei"/>
          <w:sz w:val="22"/>
          <w:szCs w:val="22"/>
          <w:spacing w:val="-9"/>
        </w:rPr>
        <w:t>2023〕128</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9"/>
        </w:rPr>
        <w:t>号） 同时废止，</w:t>
      </w:r>
      <w:r>
        <w:rPr>
          <w:rFonts w:ascii="Microsoft YaHei" w:hAnsi="Microsoft YaHei" w:eastAsia="Microsoft YaHei" w:cs="Microsoft YaHei"/>
          <w:sz w:val="22"/>
          <w:szCs w:val="22"/>
          <w:spacing w:val="-1"/>
        </w:rPr>
        <w:t xml:space="preserve"> </w:t>
      </w:r>
      <w:r>
        <w:rPr>
          <w:rFonts w:ascii="Microsoft YaHei" w:hAnsi="Microsoft YaHei" w:eastAsia="Microsoft YaHei" w:cs="Microsoft YaHei"/>
          <w:sz w:val="22"/>
          <w:szCs w:val="22"/>
          <w:spacing w:val="-9"/>
        </w:rPr>
        <w:t>相关新老规则适用的衔接安排及其他风险警示股票的交易安排如下：</w:t>
      </w:r>
    </w:p>
    <w:p>
      <w:pPr>
        <w:ind w:left="8981" w:right="178" w:firstLine="16"/>
        <w:spacing w:before="272" w:line="390"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上海证券交易所</w:t>
      </w:r>
      <w:r>
        <w:rPr>
          <w:rFonts w:ascii="Microsoft YaHei" w:hAnsi="Microsoft YaHei" w:eastAsia="Microsoft YaHei" w:cs="Microsoft YaHei"/>
          <w:sz w:val="22"/>
          <w:szCs w:val="22"/>
          <w:spacing w:val="3"/>
        </w:rPr>
        <w:t xml:space="preserve"> </w:t>
      </w:r>
      <w:r>
        <w:rPr>
          <w:rFonts w:ascii="Microsoft YaHei" w:hAnsi="Microsoft YaHei" w:eastAsia="Microsoft YaHei" w:cs="Microsoft YaHei"/>
          <w:sz w:val="22"/>
          <w:szCs w:val="22"/>
          <w:spacing w:val="-3"/>
        </w:rPr>
        <w:t>2024年4月30日</w:t>
      </w:r>
    </w:p>
    <w:p>
      <w:pPr>
        <w:pStyle w:val="BodyText"/>
        <w:spacing w:line="295" w:lineRule="auto"/>
        <w:rPr/>
      </w:pPr>
      <w:r/>
    </w:p>
    <w:p>
      <w:pPr>
        <w:pStyle w:val="BodyText"/>
        <w:spacing w:line="295" w:lineRule="auto"/>
        <w:rPr/>
      </w:pPr>
      <w:r/>
    </w:p>
    <w:p>
      <w:pPr>
        <w:pStyle w:val="BodyText"/>
        <w:spacing w:line="295" w:lineRule="auto"/>
        <w:rPr/>
      </w:pPr>
      <w:r/>
    </w:p>
    <w:p>
      <w:pPr>
        <w:pStyle w:val="BodyText"/>
        <w:spacing w:line="295" w:lineRule="auto"/>
        <w:rPr/>
      </w:pPr>
      <w:r/>
    </w:p>
    <w:p>
      <w:pPr>
        <w:ind w:firstLine="3799"/>
        <w:spacing w:line="2859" w:lineRule="exact"/>
        <w:rPr/>
      </w:pPr>
      <w:r>
        <w:rPr>
          <w:position w:val="-57"/>
        </w:rPr>
        <w:drawing>
          <wp:inline distT="0" distB="0" distL="0" distR="0">
            <wp:extent cx="1848612" cy="1815465"/>
            <wp:effectExtent l="0" t="0" r="0" b="0"/>
            <wp:docPr id="12" name="IM 12"/>
            <wp:cNvGraphicFramePr/>
            <a:graphic>
              <a:graphicData uri="http://schemas.openxmlformats.org/drawingml/2006/picture">
                <pic:pic>
                  <pic:nvPicPr>
                    <pic:cNvPr id="12" name="IM 12"/>
                    <pic:cNvPicPr/>
                  </pic:nvPicPr>
                  <pic:blipFill>
                    <a:blip r:embed="rId7"/>
                    <a:stretch>
                      <a:fillRect/>
                    </a:stretch>
                  </pic:blipFill>
                  <pic:spPr>
                    <a:xfrm rot="0">
                      <a:off x="0" y="0"/>
                      <a:ext cx="1848612" cy="1815465"/>
                    </a:xfrm>
                    <a:prstGeom prst="rect">
                      <a:avLst/>
                    </a:prstGeom>
                  </pic:spPr>
                </pic:pic>
              </a:graphicData>
            </a:graphic>
          </wp:inline>
        </w:drawing>
      </w:r>
    </w:p>
    <w:p>
      <w:pPr>
        <w:pStyle w:val="BodyText"/>
        <w:spacing w:line="253" w:lineRule="auto"/>
        <w:rPr/>
      </w:pPr>
      <w:r/>
    </w:p>
    <w:p>
      <w:pPr>
        <w:ind w:left="3345"/>
        <w:spacing w:before="104" w:line="183" w:lineRule="auto"/>
        <w:rPr>
          <w:rFonts w:ascii="Microsoft YaHei" w:hAnsi="Microsoft YaHei" w:eastAsia="Microsoft YaHei" w:cs="Microsoft YaHei"/>
          <w:sz w:val="24"/>
          <w:szCs w:val="24"/>
        </w:rPr>
      </w:pPr>
      <w:r>
        <w:pict>
          <v:shape id="_x0000_s12" style="position:absolute;margin-left:535pt;margin-top:150.076pt;mso-position-vertical-relative:text;mso-position-horizontal-relative:text;width:0pt;height:162.75pt;z-index:251666432;" filled="false" strokecolor="#000000" strokeweight="0.00pt" coordsize="0,3255" coordorigin="0,0" path="m,l0,650m0,650l0,1300m0,1300l0,1951m0,1951l0,2603m0,2603l0,3254e">
            <v:stroke endcap="square" joinstyle="bevel" miterlimit="0"/>
          </v:shape>
        </w:pict>
      </w:r>
      <w:r>
        <w:rPr>
          <w:rFonts w:ascii="Microsoft YaHei" w:hAnsi="Microsoft YaHei" w:eastAsia="Microsoft YaHei" w:cs="Microsoft YaHei"/>
          <w:sz w:val="24"/>
          <w:szCs w:val="24"/>
          <w:b/>
          <w:bCs/>
          <w:color w:val="333333"/>
          <w:spacing w:val="-1"/>
        </w:rPr>
        <w:t>上海证券交易所科创板股票上市规则</w:t>
      </w:r>
    </w:p>
    <w:p>
      <w:pPr>
        <w:spacing w:line="183" w:lineRule="auto"/>
        <w:sectPr>
          <w:pgSz w:w="11910" w:h="16840"/>
          <w:pgMar w:top="400" w:right="279" w:bottom="0" w:left="931" w:header="0" w:footer="0" w:gutter="0"/>
        </w:sectPr>
        <w:rPr>
          <w:rFonts w:ascii="Microsoft YaHei" w:hAnsi="Microsoft YaHei" w:eastAsia="Microsoft YaHei" w:cs="Microsoft YaHei"/>
          <w:sz w:val="24"/>
          <w:szCs w:val="24"/>
        </w:rPr>
      </w:pPr>
    </w:p>
    <w:p>
      <w:pPr>
        <w:pStyle w:val="BodyText"/>
        <w:spacing w:line="324" w:lineRule="auto"/>
        <w:rPr/>
      </w:pPr>
      <w:r/>
    </w:p>
    <w:p>
      <w:pPr>
        <w:ind w:left="10"/>
        <w:spacing w:before="103"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6、深圳证券交易所股票上市规则</w:t>
      </w:r>
    </w:p>
    <w:p>
      <w:pPr>
        <w:pStyle w:val="BodyText"/>
        <w:spacing w:line="272" w:lineRule="auto"/>
        <w:rPr/>
      </w:pPr>
      <w:r/>
    </w:p>
    <w:p>
      <w:pPr>
        <w:ind w:left="433"/>
        <w:spacing w:before="95"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各市场参与人：</w:t>
      </w:r>
    </w:p>
    <w:p>
      <w:pPr>
        <w:pStyle w:val="BodyText"/>
        <w:spacing w:line="246" w:lineRule="auto"/>
        <w:rPr/>
      </w:pPr>
      <w:r/>
    </w:p>
    <w:p>
      <w:pPr>
        <w:ind w:right="21" w:firstLine="439"/>
        <w:spacing w:before="94" w:line="221"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为深入贯彻落实中央金融工作会议精神和《国务院关于加强监管防范风险推动资本市场高质量发展的若</w:t>
      </w:r>
      <w:r>
        <w:rPr>
          <w:rFonts w:ascii="Microsoft YaHei" w:hAnsi="Microsoft YaHei" w:eastAsia="Microsoft YaHei" w:cs="Microsoft YaHei"/>
          <w:sz w:val="22"/>
          <w:szCs w:val="22"/>
          <w:spacing w:val="-7"/>
        </w:rPr>
        <w:t>干意</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0"/>
        </w:rPr>
        <w:t>见》，</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10"/>
        </w:rPr>
        <w:t>进一步提高上市公司质量和投资价值，</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10"/>
        </w:rPr>
        <w:t>保护投资者合法权益， 本所对《深圳证券交易</w:t>
      </w:r>
      <w:r>
        <w:rPr>
          <w:rFonts w:ascii="Microsoft YaHei" w:hAnsi="Microsoft YaHei" w:eastAsia="Microsoft YaHei" w:cs="Microsoft YaHei"/>
          <w:sz w:val="22"/>
          <w:szCs w:val="22"/>
          <w:spacing w:val="-11"/>
        </w:rPr>
        <w:t>所股票上市规则</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11"/>
        </w:rPr>
        <w:t>（2</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1"/>
        </w:rPr>
        <w:t>023年8月修订） 》</w:t>
      </w:r>
      <w:r>
        <w:rPr>
          <w:rFonts w:ascii="Microsoft YaHei" w:hAnsi="Microsoft YaHei" w:eastAsia="Microsoft YaHei" w:cs="Microsoft YaHei"/>
          <w:sz w:val="22"/>
          <w:szCs w:val="22"/>
          <w:spacing w:val="-16"/>
        </w:rPr>
        <w:t xml:space="preserve"> </w:t>
      </w:r>
      <w:r>
        <w:rPr>
          <w:rFonts w:ascii="Microsoft YaHei" w:hAnsi="Microsoft YaHei" w:eastAsia="Microsoft YaHei" w:cs="Microsoft YaHei"/>
          <w:sz w:val="22"/>
          <w:szCs w:val="22"/>
          <w:spacing w:val="-11"/>
        </w:rPr>
        <w:t>（以下简称原规则）</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11"/>
        </w:rPr>
        <w:t>进行了修订，</w:t>
      </w:r>
      <w:r>
        <w:rPr>
          <w:rFonts w:ascii="Microsoft YaHei" w:hAnsi="Microsoft YaHei" w:eastAsia="Microsoft YaHei" w:cs="Microsoft YaHei"/>
          <w:sz w:val="22"/>
          <w:szCs w:val="22"/>
          <w:spacing w:val="-15"/>
        </w:rPr>
        <w:t xml:space="preserve"> </w:t>
      </w:r>
      <w:r>
        <w:rPr>
          <w:rFonts w:ascii="Microsoft YaHei" w:hAnsi="Microsoft YaHei" w:eastAsia="Microsoft YaHei" w:cs="Microsoft YaHei"/>
          <w:sz w:val="22"/>
          <w:szCs w:val="22"/>
          <w:spacing w:val="-11"/>
        </w:rPr>
        <w:t>形成《深圳证券交易所股票上市规则</w:t>
      </w:r>
      <w:r>
        <w:rPr>
          <w:rFonts w:ascii="Microsoft YaHei" w:hAnsi="Microsoft YaHei" w:eastAsia="Microsoft YaHei" w:cs="Microsoft YaHei"/>
          <w:sz w:val="22"/>
          <w:szCs w:val="22"/>
          <w:spacing w:val="-16"/>
        </w:rPr>
        <w:t xml:space="preserve"> </w:t>
      </w:r>
      <w:r>
        <w:rPr>
          <w:rFonts w:ascii="Microsoft YaHei" w:hAnsi="Microsoft YaHei" w:eastAsia="Microsoft YaHei" w:cs="Microsoft YaHei"/>
          <w:sz w:val="22"/>
          <w:szCs w:val="22"/>
          <w:spacing w:val="-11"/>
        </w:rPr>
        <w:t>（2024年修订） 》 </w:t>
      </w:r>
      <w:r>
        <w:rPr>
          <w:rFonts w:ascii="Microsoft YaHei" w:hAnsi="Microsoft YaHei" w:eastAsia="Microsoft YaHei" w:cs="Microsoft YaHei"/>
          <w:sz w:val="22"/>
          <w:szCs w:val="22"/>
          <w:spacing w:val="-12"/>
        </w:rPr>
        <w:t xml:space="preserve"> (</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1"/>
        </w:rPr>
        <w:t>以下简称新规则） 。经中国证监会批准，</w:t>
      </w:r>
      <w:r>
        <w:rPr>
          <w:rFonts w:ascii="Microsoft YaHei" w:hAnsi="Microsoft YaHei" w:eastAsia="Microsoft YaHei" w:cs="Microsoft YaHei"/>
          <w:sz w:val="22"/>
          <w:szCs w:val="22"/>
          <w:spacing w:val="-2"/>
        </w:rPr>
        <w:t xml:space="preserve"> </w:t>
      </w:r>
      <w:r>
        <w:rPr>
          <w:rFonts w:ascii="Microsoft YaHei" w:hAnsi="Microsoft YaHei" w:eastAsia="Microsoft YaHei" w:cs="Microsoft YaHei"/>
          <w:sz w:val="22"/>
          <w:szCs w:val="22"/>
          <w:spacing w:val="-11"/>
        </w:rPr>
        <w:t>现予以发布， 自发布之日起施行。</w:t>
      </w:r>
    </w:p>
    <w:p>
      <w:pPr>
        <w:pStyle w:val="BodyText"/>
        <w:spacing w:line="281" w:lineRule="auto"/>
        <w:rPr/>
      </w:pPr>
      <w:r/>
    </w:p>
    <w:p>
      <w:pPr>
        <w:pStyle w:val="BodyText"/>
        <w:spacing w:line="281" w:lineRule="auto"/>
        <w:rPr/>
      </w:pPr>
      <w:r/>
    </w:p>
    <w:p>
      <w:pPr>
        <w:pStyle w:val="BodyText"/>
        <w:spacing w:line="282" w:lineRule="auto"/>
        <w:rPr/>
      </w:pPr>
      <w:r/>
    </w:p>
    <w:p>
      <w:pPr>
        <w:ind w:left="8979" w:firstLine="14"/>
        <w:spacing w:before="94" w:line="378"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深圳证券交易所</w:t>
      </w:r>
      <w:r>
        <w:rPr>
          <w:rFonts w:ascii="Microsoft YaHei" w:hAnsi="Microsoft YaHei" w:eastAsia="Microsoft YaHei" w:cs="Microsoft YaHei"/>
          <w:sz w:val="22"/>
          <w:szCs w:val="22"/>
          <w:spacing w:val="5"/>
        </w:rPr>
        <w:t xml:space="preserve"> </w:t>
      </w:r>
      <w:r>
        <w:rPr>
          <w:rFonts w:ascii="Microsoft YaHei" w:hAnsi="Microsoft YaHei" w:eastAsia="Microsoft YaHei" w:cs="Microsoft YaHei"/>
          <w:sz w:val="22"/>
          <w:szCs w:val="22"/>
          <w:spacing w:val="-3"/>
        </w:rPr>
        <w:t>2024年4月30日</w:t>
      </w:r>
    </w:p>
    <w:p>
      <w:pPr>
        <w:ind w:firstLine="3775"/>
        <w:spacing w:line="2529" w:lineRule="exact"/>
        <w:rPr/>
      </w:pPr>
      <w:r>
        <w:rPr>
          <w:position w:val="-50"/>
        </w:rPr>
        <w:drawing>
          <wp:inline distT="0" distB="0" distL="0" distR="0">
            <wp:extent cx="1658112" cy="1606295"/>
            <wp:effectExtent l="0" t="0" r="0" b="0"/>
            <wp:docPr id="14" name="IM 14"/>
            <wp:cNvGraphicFramePr/>
            <a:graphic>
              <a:graphicData uri="http://schemas.openxmlformats.org/drawingml/2006/picture">
                <pic:pic>
                  <pic:nvPicPr>
                    <pic:cNvPr id="14" name="IM 14"/>
                    <pic:cNvPicPr/>
                  </pic:nvPicPr>
                  <pic:blipFill>
                    <a:blip r:embed="rId8"/>
                    <a:stretch>
                      <a:fillRect/>
                    </a:stretch>
                  </pic:blipFill>
                  <pic:spPr>
                    <a:xfrm rot="0">
                      <a:off x="0" y="0"/>
                      <a:ext cx="1658112" cy="1606295"/>
                    </a:xfrm>
                    <a:prstGeom prst="rect">
                      <a:avLst/>
                    </a:prstGeom>
                  </pic:spPr>
                </pic:pic>
              </a:graphicData>
            </a:graphic>
          </wp:inline>
        </w:drawing>
      </w:r>
    </w:p>
    <w:p>
      <w:pPr>
        <w:pStyle w:val="BodyText"/>
        <w:spacing w:line="261" w:lineRule="auto"/>
        <w:rPr/>
      </w:pPr>
      <w:r/>
    </w:p>
    <w:p>
      <w:pPr>
        <w:pStyle w:val="BodyText"/>
        <w:spacing w:line="262" w:lineRule="auto"/>
        <w:rPr/>
      </w:pPr>
      <w:r/>
    </w:p>
    <w:p>
      <w:pPr>
        <w:ind w:left="3699"/>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深圳证券交易所股票上市规则</w:t>
      </w:r>
    </w:p>
    <w:p>
      <w:pPr>
        <w:spacing w:line="183" w:lineRule="auto"/>
        <w:sectPr>
          <w:pgSz w:w="11910" w:h="16840"/>
          <w:pgMar w:top="400" w:right="457" w:bottom="0" w:left="933" w:header="0" w:footer="0" w:gutter="0"/>
        </w:sectPr>
        <w:rPr>
          <w:rFonts w:ascii="Microsoft YaHei" w:hAnsi="Microsoft YaHei" w:eastAsia="Microsoft YaHei" w:cs="Microsoft YaHei"/>
          <w:sz w:val="24"/>
          <w:szCs w:val="24"/>
        </w:rPr>
      </w:pPr>
    </w:p>
    <w:p>
      <w:pPr>
        <w:pStyle w:val="BodyText"/>
        <w:spacing w:line="324" w:lineRule="auto"/>
        <w:rPr/>
      </w:pPr>
      <w:r>
        <w:pict>
          <v:shape id="_x0000_s14" style="position:absolute;margin-left:534.911pt;margin-top:0.004211pt;mso-position-vertical-relative:text;mso-position-horizontal-relative:text;width:0pt;height:15.7pt;z-index:251670528;" filled="false" strokecolor="#000000" strokeweight="0.00pt" coordsize="0,313" coordorigin="0,0" path="m,l0,313e">
            <v:stroke endcap="square" joinstyle="bevel" miterlimit="0"/>
          </v:shape>
        </w:pict>
      </w:r>
      <w:r/>
    </w:p>
    <w:p>
      <w:pPr>
        <w:ind w:left="9"/>
        <w:spacing w:before="103"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7、深圳证券交易所创业板股票上市规则</w:t>
      </w:r>
    </w:p>
    <w:p>
      <w:pPr>
        <w:ind w:right="199" w:firstLine="433"/>
        <w:spacing w:before="328" w:line="221"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7"/>
        </w:rPr>
        <w:t>各市场参与人： 为深入贯彻落实中央金融工作会议精神和《国务院关于加强监管防范风险推动</w:t>
      </w:r>
      <w:r>
        <w:rPr>
          <w:rFonts w:ascii="Microsoft YaHei" w:hAnsi="Microsoft YaHei" w:eastAsia="Microsoft YaHei" w:cs="Microsoft YaHei"/>
          <w:sz w:val="22"/>
          <w:szCs w:val="22"/>
          <w:spacing w:val="-8"/>
        </w:rPr>
        <w:t>资本市场高质</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9"/>
        </w:rPr>
        <w:t>量发展的若干意见》， 进一步提高上市公司质量和投资价值，</w:t>
      </w:r>
      <w:r>
        <w:rPr>
          <w:rFonts w:ascii="Microsoft YaHei" w:hAnsi="Microsoft YaHei" w:eastAsia="Microsoft YaHei" w:cs="Microsoft YaHei"/>
          <w:sz w:val="22"/>
          <w:szCs w:val="22"/>
          <w:spacing w:val="-15"/>
        </w:rPr>
        <w:t xml:space="preserve"> </w:t>
      </w:r>
      <w:r>
        <w:rPr>
          <w:rFonts w:ascii="Microsoft YaHei" w:hAnsi="Microsoft YaHei" w:eastAsia="Microsoft YaHei" w:cs="Microsoft YaHei"/>
          <w:sz w:val="22"/>
          <w:szCs w:val="22"/>
          <w:spacing w:val="-9"/>
        </w:rPr>
        <w:t>保护投资者合法权益，</w:t>
      </w:r>
      <w:r>
        <w:rPr>
          <w:rFonts w:ascii="Microsoft YaHei" w:hAnsi="Microsoft YaHei" w:eastAsia="Microsoft YaHei" w:cs="Microsoft YaHei"/>
          <w:sz w:val="22"/>
          <w:szCs w:val="22"/>
          <w:spacing w:val="-13"/>
        </w:rPr>
        <w:t xml:space="preserve"> </w:t>
      </w:r>
      <w:r>
        <w:rPr>
          <w:rFonts w:ascii="Microsoft YaHei" w:hAnsi="Microsoft YaHei" w:eastAsia="Microsoft YaHei" w:cs="Microsoft YaHei"/>
          <w:sz w:val="22"/>
          <w:szCs w:val="22"/>
          <w:spacing w:val="-9"/>
        </w:rPr>
        <w:t>本所</w:t>
      </w:r>
      <w:r>
        <w:rPr>
          <w:rFonts w:ascii="Microsoft YaHei" w:hAnsi="Microsoft YaHei" w:eastAsia="Microsoft YaHei" w:cs="Microsoft YaHei"/>
          <w:sz w:val="22"/>
          <w:szCs w:val="22"/>
          <w:spacing w:val="-10"/>
        </w:rPr>
        <w:t>对《深圳证券交易所创</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0"/>
        </w:rPr>
        <w:t>业板股票上市规则</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10"/>
        </w:rPr>
        <w:t>（2023年8月修订） 》</w:t>
      </w:r>
      <w:r>
        <w:rPr>
          <w:rFonts w:ascii="Microsoft YaHei" w:hAnsi="Microsoft YaHei" w:eastAsia="Microsoft YaHei" w:cs="Microsoft YaHei"/>
          <w:sz w:val="22"/>
          <w:szCs w:val="22"/>
          <w:spacing w:val="-16"/>
        </w:rPr>
        <w:t xml:space="preserve"> </w:t>
      </w:r>
      <w:r>
        <w:rPr>
          <w:rFonts w:ascii="Microsoft YaHei" w:hAnsi="Microsoft YaHei" w:eastAsia="Microsoft YaHei" w:cs="Microsoft YaHei"/>
          <w:sz w:val="22"/>
          <w:szCs w:val="22"/>
          <w:spacing w:val="-11"/>
        </w:rPr>
        <w:t>（以下简称原规则）</w:t>
      </w:r>
      <w:r>
        <w:rPr>
          <w:rFonts w:ascii="Microsoft YaHei" w:hAnsi="Microsoft YaHei" w:eastAsia="Microsoft YaHei" w:cs="Microsoft YaHei"/>
          <w:sz w:val="22"/>
          <w:szCs w:val="22"/>
          <w:spacing w:val="-15"/>
        </w:rPr>
        <w:t xml:space="preserve"> </w:t>
      </w:r>
      <w:r>
        <w:rPr>
          <w:rFonts w:ascii="Microsoft YaHei" w:hAnsi="Microsoft YaHei" w:eastAsia="Microsoft YaHei" w:cs="Microsoft YaHei"/>
          <w:sz w:val="22"/>
          <w:szCs w:val="22"/>
          <w:spacing w:val="-11"/>
        </w:rPr>
        <w:t>进行了修订，</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11"/>
        </w:rPr>
        <w:t>形成《深圳证券交易所创业板股票上</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2"/>
        </w:rPr>
        <w:t>市规则</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12"/>
        </w:rPr>
        <w:t>（2024年修订） 》</w:t>
      </w:r>
      <w:r>
        <w:rPr>
          <w:rFonts w:ascii="Microsoft YaHei" w:hAnsi="Microsoft YaHei" w:eastAsia="Microsoft YaHei" w:cs="Microsoft YaHei"/>
          <w:sz w:val="22"/>
          <w:szCs w:val="22"/>
          <w:spacing w:val="-16"/>
        </w:rPr>
        <w:t xml:space="preserve"> </w:t>
      </w:r>
      <w:r>
        <w:rPr>
          <w:rFonts w:ascii="Microsoft YaHei" w:hAnsi="Microsoft YaHei" w:eastAsia="Microsoft YaHei" w:cs="Microsoft YaHei"/>
          <w:sz w:val="22"/>
          <w:szCs w:val="22"/>
          <w:spacing w:val="-12"/>
        </w:rPr>
        <w:t>（以下简称新规则） 。经中国证监会批准， 现予以发布， 自</w:t>
      </w:r>
      <w:r>
        <w:rPr>
          <w:rFonts w:ascii="Microsoft YaHei" w:hAnsi="Microsoft YaHei" w:eastAsia="Microsoft YaHei" w:cs="Microsoft YaHei"/>
          <w:sz w:val="22"/>
          <w:szCs w:val="22"/>
          <w:spacing w:val="-13"/>
        </w:rPr>
        <w:t>发布之日起施行。</w:t>
      </w:r>
    </w:p>
    <w:p>
      <w:pPr>
        <w:pStyle w:val="BodyText"/>
        <w:spacing w:line="272" w:lineRule="auto"/>
        <w:rPr/>
      </w:pPr>
      <w:r/>
    </w:p>
    <w:p>
      <w:pPr>
        <w:pStyle w:val="BodyText"/>
        <w:spacing w:line="272" w:lineRule="auto"/>
        <w:rPr/>
      </w:pPr>
      <w:r/>
    </w:p>
    <w:p>
      <w:pPr>
        <w:pStyle w:val="BodyText"/>
        <w:spacing w:line="272" w:lineRule="auto"/>
        <w:rPr/>
      </w:pPr>
      <w:r/>
    </w:p>
    <w:p>
      <w:pPr>
        <w:pStyle w:val="BodyText"/>
        <w:spacing w:line="273" w:lineRule="auto"/>
        <w:rPr/>
      </w:pPr>
      <w:r/>
    </w:p>
    <w:p>
      <w:pPr>
        <w:ind w:left="8867" w:right="175" w:firstLine="127"/>
        <w:spacing w:before="94" w:line="405"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深圳证券交易所</w:t>
      </w:r>
      <w:r>
        <w:rPr>
          <w:rFonts w:ascii="Microsoft YaHei" w:hAnsi="Microsoft YaHei" w:eastAsia="Microsoft YaHei" w:cs="Microsoft YaHei"/>
          <w:sz w:val="22"/>
          <w:szCs w:val="22"/>
          <w:spacing w:val="5"/>
        </w:rPr>
        <w:t xml:space="preserve"> </w:t>
      </w:r>
      <w:r>
        <w:rPr>
          <w:rFonts w:ascii="Microsoft YaHei" w:hAnsi="Microsoft YaHei" w:eastAsia="Microsoft YaHei" w:cs="Microsoft YaHei"/>
          <w:sz w:val="22"/>
          <w:szCs w:val="22"/>
          <w:spacing w:val="-4"/>
        </w:rPr>
        <w:t>2024年04月30日</w:t>
      </w:r>
    </w:p>
    <w:p>
      <w:pPr>
        <w:ind w:firstLine="3946"/>
        <w:spacing w:before="184" w:line="2579" w:lineRule="exact"/>
        <w:rPr/>
      </w:pPr>
      <w:r>
        <w:rPr>
          <w:position w:val="-51"/>
        </w:rPr>
        <w:drawing>
          <wp:inline distT="0" distB="0" distL="0" distR="0">
            <wp:extent cx="1664208" cy="1637410"/>
            <wp:effectExtent l="0" t="0" r="0" b="0"/>
            <wp:docPr id="16" name="IM 16"/>
            <wp:cNvGraphicFramePr/>
            <a:graphic>
              <a:graphicData uri="http://schemas.openxmlformats.org/drawingml/2006/picture">
                <pic:pic>
                  <pic:nvPicPr>
                    <pic:cNvPr id="16" name="IM 16"/>
                    <pic:cNvPicPr/>
                  </pic:nvPicPr>
                  <pic:blipFill>
                    <a:blip r:embed="rId9"/>
                    <a:stretch>
                      <a:fillRect/>
                    </a:stretch>
                  </pic:blipFill>
                  <pic:spPr>
                    <a:xfrm rot="0">
                      <a:off x="0" y="0"/>
                      <a:ext cx="1664208" cy="1637410"/>
                    </a:xfrm>
                    <a:prstGeom prst="rect">
                      <a:avLst/>
                    </a:prstGeom>
                  </pic:spPr>
                </pic:pic>
              </a:graphicData>
            </a:graphic>
          </wp:inline>
        </w:drawing>
      </w:r>
    </w:p>
    <w:p>
      <w:pPr>
        <w:pStyle w:val="BodyText"/>
        <w:spacing w:line="253" w:lineRule="auto"/>
        <w:rPr/>
      </w:pPr>
      <w:r/>
    </w:p>
    <w:p>
      <w:pPr>
        <w:ind w:left="3339"/>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深圳证券交易所创业板股票上市规则</w:t>
      </w:r>
    </w:p>
    <w:p>
      <w:pPr>
        <w:spacing w:line="183" w:lineRule="auto"/>
        <w:sectPr>
          <w:pgSz w:w="11910" w:h="16840"/>
          <w:pgMar w:top="400" w:right="279" w:bottom="0" w:left="932" w:header="0" w:footer="0" w:gutter="0"/>
        </w:sectPr>
        <w:rPr>
          <w:rFonts w:ascii="Microsoft YaHei" w:hAnsi="Microsoft YaHei" w:eastAsia="Microsoft YaHei" w:cs="Microsoft YaHei"/>
          <w:sz w:val="24"/>
          <w:szCs w:val="24"/>
        </w:rPr>
      </w:pPr>
    </w:p>
    <w:p>
      <w:pPr>
        <w:ind w:left="8"/>
        <w:spacing w:before="117"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8、北京证券交易所股票上市规则</w:t>
      </w:r>
    </w:p>
    <w:p>
      <w:pPr>
        <w:ind w:right="21" w:firstLine="440"/>
        <w:spacing w:before="327" w:line="219"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为深入贯彻落实中央金融工作会议精神和《国务院关于加强监管防范风险推动资本市场高质量发展的若</w:t>
      </w:r>
      <w:r>
        <w:rPr>
          <w:rFonts w:ascii="Microsoft YaHei" w:hAnsi="Microsoft YaHei" w:eastAsia="Microsoft YaHei" w:cs="Microsoft YaHei"/>
          <w:sz w:val="22"/>
          <w:szCs w:val="22"/>
          <w:spacing w:val="-7"/>
        </w:rPr>
        <w:t>干意</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0"/>
        </w:rPr>
        <w:t>见》，</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10"/>
        </w:rPr>
        <w:t>推进建设中国特色资本市场， 保护投资者合法权益，</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10"/>
        </w:rPr>
        <w:t>根据中国证监会《关于加强上市公</w:t>
      </w:r>
      <w:r>
        <w:rPr>
          <w:rFonts w:ascii="Microsoft YaHei" w:hAnsi="Microsoft YaHei" w:eastAsia="Microsoft YaHei" w:cs="Microsoft YaHei"/>
          <w:sz w:val="22"/>
          <w:szCs w:val="22"/>
          <w:spacing w:val="-11"/>
        </w:rPr>
        <w:t>司监管的意见</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11"/>
        </w:rPr>
        <w:t>（试</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0"/>
        </w:rPr>
        <w:t>行） 》《关于严格执行退市制度的意见》的要求， 本所修订了《北京证券交易</w:t>
      </w:r>
      <w:r>
        <w:rPr>
          <w:rFonts w:ascii="Microsoft YaHei" w:hAnsi="Microsoft YaHei" w:eastAsia="Microsoft YaHei" w:cs="Microsoft YaHei"/>
          <w:sz w:val="22"/>
          <w:szCs w:val="22"/>
          <w:spacing w:val="-11"/>
        </w:rPr>
        <w:t>所股票上市规则</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11"/>
        </w:rPr>
        <w:t>（试行） 》。经中</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9"/>
        </w:rPr>
        <w:t>国证监会批准，</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9"/>
        </w:rPr>
        <w:t>现予以发布， 除本公告特别说明的条款外，</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9"/>
        </w:rPr>
        <w:t>修订后的规则自发布之日起施</w:t>
      </w:r>
      <w:r>
        <w:rPr>
          <w:rFonts w:ascii="Microsoft YaHei" w:hAnsi="Microsoft YaHei" w:eastAsia="Microsoft YaHei" w:cs="Microsoft YaHei"/>
          <w:sz w:val="22"/>
          <w:szCs w:val="22"/>
          <w:spacing w:val="-10"/>
        </w:rPr>
        <w:t>行。相关新老规则适用</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5"/>
        </w:rPr>
        <w:t>的衔接安排如下：</w:t>
      </w:r>
    </w:p>
    <w:p>
      <w:pPr>
        <w:pStyle w:val="BodyText"/>
        <w:spacing w:line="286" w:lineRule="auto"/>
        <w:rPr/>
      </w:pPr>
      <w:r/>
    </w:p>
    <w:p>
      <w:pPr>
        <w:pStyle w:val="BodyText"/>
        <w:spacing w:line="286" w:lineRule="auto"/>
        <w:rPr/>
      </w:pPr>
      <w:r/>
    </w:p>
    <w:p>
      <w:pPr>
        <w:pStyle w:val="BodyText"/>
        <w:spacing w:line="286" w:lineRule="auto"/>
        <w:rPr/>
      </w:pPr>
      <w:r/>
    </w:p>
    <w:p>
      <w:pPr>
        <w:ind w:left="8980" w:firstLine="14"/>
        <w:spacing w:before="94" w:line="391"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北京证券交易所</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2024年4月30日</w:t>
      </w:r>
    </w:p>
    <w:p>
      <w:pPr>
        <w:pStyle w:val="BodyText"/>
        <w:spacing w:line="324" w:lineRule="auto"/>
        <w:rPr/>
      </w:pPr>
      <w:r/>
    </w:p>
    <w:p>
      <w:pPr>
        <w:pStyle w:val="BodyText"/>
        <w:spacing w:line="325" w:lineRule="auto"/>
        <w:rPr/>
      </w:pPr>
      <w:r/>
    </w:p>
    <w:p>
      <w:pPr>
        <w:ind w:firstLine="3776"/>
        <w:spacing w:line="2980" w:lineRule="exact"/>
        <w:rPr/>
      </w:pPr>
      <w:r>
        <w:rPr>
          <w:position w:val="-59"/>
        </w:rPr>
        <w:drawing>
          <wp:inline distT="0" distB="0" distL="0" distR="0">
            <wp:extent cx="1866900" cy="1892807"/>
            <wp:effectExtent l="0" t="0" r="0" b="0"/>
            <wp:docPr id="18" name="IM 18"/>
            <wp:cNvGraphicFramePr/>
            <a:graphic>
              <a:graphicData uri="http://schemas.openxmlformats.org/drawingml/2006/picture">
                <pic:pic>
                  <pic:nvPicPr>
                    <pic:cNvPr id="18" name="IM 18"/>
                    <pic:cNvPicPr/>
                  </pic:nvPicPr>
                  <pic:blipFill>
                    <a:blip r:embed="rId10"/>
                    <a:stretch>
                      <a:fillRect/>
                    </a:stretch>
                  </pic:blipFill>
                  <pic:spPr>
                    <a:xfrm rot="0">
                      <a:off x="0" y="0"/>
                      <a:ext cx="1866900" cy="1892807"/>
                    </a:xfrm>
                    <a:prstGeom prst="rect">
                      <a:avLst/>
                    </a:prstGeom>
                  </pic:spPr>
                </pic:pic>
              </a:graphicData>
            </a:graphic>
          </wp:inline>
        </w:drawing>
      </w:r>
    </w:p>
    <w:p>
      <w:pPr>
        <w:pStyle w:val="BodyText"/>
        <w:spacing w:line="297" w:lineRule="auto"/>
        <w:rPr/>
      </w:pPr>
      <w:r/>
    </w:p>
    <w:p>
      <w:pPr>
        <w:ind w:left="3700"/>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北京证券交易所股票上市规则</w:t>
      </w:r>
    </w:p>
    <w:p>
      <w:pPr>
        <w:spacing w:line="183" w:lineRule="auto"/>
        <w:sectPr>
          <w:pgSz w:w="11910" w:h="16840"/>
          <w:pgMar w:top="400" w:right="457" w:bottom="0" w:left="932" w:header="0" w:footer="0" w:gutter="0"/>
        </w:sectPr>
        <w:rPr>
          <w:rFonts w:ascii="Microsoft YaHei" w:hAnsi="Microsoft YaHei" w:eastAsia="Microsoft YaHei" w:cs="Microsoft YaHei"/>
          <w:sz w:val="24"/>
          <w:szCs w:val="24"/>
        </w:rPr>
      </w:pPr>
    </w:p>
    <w:p>
      <w:pPr>
        <w:pStyle w:val="BodyText"/>
        <w:spacing w:line="268" w:lineRule="auto"/>
        <w:rPr/>
      </w:pPr>
      <w:r/>
    </w:p>
    <w:p>
      <w:pPr>
        <w:pStyle w:val="BodyText"/>
        <w:spacing w:line="268" w:lineRule="auto"/>
        <w:rPr/>
      </w:pPr>
      <w:r>
        <w:pict>
          <v:group id="_x0000_s16" style="position:absolute;margin-left:0pt;margin-top:4.60345pt;mso-position-vertical-relative:text;mso-position-horizontal-relative:text;width:67.85pt;height:56.8pt;z-index:251674624;" filled="false" stroked="false" coordsize="1356,1135" coordorigin="0,0">
            <v:shape id="_x0000_s18" style="position:absolute;left:0;top:0;width:1356;height:1135;" fillcolor="#A61C20" filled="true" stroked="false" coordsize="1356,1135" coordorigin="0,0" path="m,l1356,0l1356,1135l0,1135l0,0xe"/>
            <v:shape id="_x0000_s20" style="position:absolute;left:223;top:170;width:819;height:911;" fillcolor="#FFFFFF" filled="true" stroked="false" coordsize="819,911" coordorigin="0,0" path="m595,777l223,777l213,770l213,731l223,724l595,724l604,731l604,770l595,777xm580,708l237,708l225,698l225,688l213,635l179,583l136,532l88,480l43,424l11,362l0,297l0,290l4,237l21,187l50,144l83,105l127,71l175,48l230,26l287,11l347,2l410,0l470,2l530,11l588,26l640,48l688,71l732,105l736,108l364,108l360,117l360,124l355,148l352,151l232,151l201,175l189,184l177,194l172,199l172,208l177,215l206,242l208,244l208,249l201,259l196,268l191,280l184,290l184,291l182,291l179,292l170,292l124,297l115,302l115,371l124,374l136,376l180,381l182,381l184,382l184,384l191,395l196,405l201,415l208,424l208,429l201,436l191,444l177,460l172,465l172,472l177,480l225,515l232,520l352,520l355,540l360,549l360,559l364,564l648,564l636,578l604,628l592,688l592,698l580,708xm524,182l523,182l496,172l482,168l468,164l466,164l468,163l465,160l465,148l460,136l460,124l458,117l451,108l736,108l768,144l772,151l585,151l576,153l566,158l529,181l528,182l525,182m292,182l290,181l287,182l280,175l271,170l261,163l251,158l242,153l232,151l352,151l352,160l351,162l349,164l347,165l335,168l321,172l307,177l293,181l292,182m686,520l585,520l648,472l645,465l640,460l624,444l616,436l607,428l607,427l609,424l616,415l621,405l626,395l631,384l631,384l636,381l638,381l684,376l693,374l703,371l703,302l693,297l684,297l648,292l638,292l636,292l631,291l631,290l626,280l621,268l616,259l609,248l607,247l607,244l609,242l640,215l645,208l648,199l640,194l628,184l616,175l592,158l585,151l772,151l794,187l811,237l818,290l818,297l804,362l772,422l729,475l686,520xm410,448l355,439l307,415l278,379l266,335l278,295l307,259l355,235l410,228l465,235l508,259l540,295l549,335l540,379l508,415l465,439l410,448xm352,520l242,520l251,515l261,511l271,504l280,499l288,493l290,491l292,491l307,496l321,504l335,506l347,508l352,511l352,515l352,520xm648,564l451,564l458,559l460,549l460,540l465,525l464,513l466,511l466,510l468,508l496,504l508,496l523,491l527,491l530,494l540,499l547,504l556,511l566,515l576,520l686,520l681,528l648,564xm559,911l256,911l247,904l247,864l256,859l559,859l568,864l568,904l559,911xm580,844l235,844l227,840l227,796l235,791l580,791l592,796l592,840l580,844e"/>
          </v:group>
        </w:pict>
      </w:r>
      <w:r/>
    </w:p>
    <w:p>
      <w:pPr>
        <w:ind w:left="1715"/>
        <w:spacing w:before="180" w:line="186" w:lineRule="auto"/>
        <w:rPr>
          <w:rFonts w:ascii="Microsoft YaHei" w:hAnsi="Microsoft YaHei" w:eastAsia="Microsoft YaHei" w:cs="Microsoft YaHei"/>
          <w:sz w:val="42"/>
          <w:szCs w:val="42"/>
        </w:rPr>
      </w:pPr>
      <w:r>
        <w:rPr>
          <w:rFonts w:ascii="Microsoft YaHei" w:hAnsi="Microsoft YaHei" w:eastAsia="Microsoft YaHei" w:cs="Microsoft YaHei"/>
          <w:sz w:val="42"/>
          <w:szCs w:val="42"/>
          <w:spacing w:val="18"/>
        </w:rPr>
        <w:t>监管动态</w:t>
      </w:r>
    </w:p>
    <w:p>
      <w:pPr>
        <w:ind w:firstLine="1356"/>
        <w:spacing w:before="157" w:line="53" w:lineRule="exact"/>
        <w:rPr/>
      </w:pPr>
      <w:r>
        <w:rPr>
          <w:position w:val="-1"/>
        </w:rPr>
        <w:pict>
          <v:shape id="_x0000_s22" style="mso-position-vertical-relative:line;mso-position-horizontal-relative:char;width:525.65pt;height:2.65pt;" fillcolor="#A61C20" filled="true" stroked="false" coordsize="10513,53" coordorigin="0,0" path="m,l0,52l10512,52l10512,0l0,0e"/>
        </w:pict>
      </w:r>
    </w:p>
    <w:p>
      <w:pPr>
        <w:pStyle w:val="BodyText"/>
        <w:spacing w:line="326" w:lineRule="auto"/>
        <w:rPr/>
      </w:pPr>
      <w:r/>
    </w:p>
    <w:p>
      <w:pPr>
        <w:ind w:firstLine="19"/>
        <w:spacing w:line="924" w:lineRule="exact"/>
        <w:rPr/>
      </w:pPr>
      <w:r>
        <w:rPr>
          <w:position w:val="-18"/>
        </w:rPr>
        <w:pict>
          <v:group id="_x0000_s24" style="mso-position-vertical-relative:line;mso-position-horizontal-relative:char;width:112.1pt;height:46.25pt;" filled="false" stroked="false" coordsize="2241,925" coordorigin="0,0">
            <v:shape id="_x0000_s26" style="position:absolute;left:0;top:0;width:2241;height:925;" filled="false" stroked="false" type="#_x0000_t75">
              <v:imagedata o:title="" r:id="rId11"/>
            </v:shape>
            <v:shape id="_x0000_s28" style="position:absolute;left:-20;top:-20;width:2281;height:965;" filled="false" stroked="false" type="#_x0000_t202">
              <v:fill on="false"/>
              <v:stroke on="false"/>
              <v:path/>
              <v:imagedata o:title=""/>
              <o:lock v:ext="edit" aspectratio="false"/>
              <v:textbox inset="0mm,0mm,0mm,0mm">
                <w:txbxContent>
                  <w:p>
                    <w:pPr>
                      <w:ind w:left="397"/>
                      <w:spacing w:before="299"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4"/>
                      </w:rPr>
                      <w:t>市场监管概览</w:t>
                    </w:r>
                  </w:p>
                </w:txbxContent>
              </v:textbox>
            </v:shape>
          </v:group>
        </w:pict>
      </w:r>
    </w:p>
    <w:p>
      <w:pPr>
        <w:pStyle w:val="BodyText"/>
        <w:spacing w:line="314" w:lineRule="auto"/>
        <w:rPr/>
      </w:pPr>
      <w:r/>
    </w:p>
    <w:p>
      <w:pPr>
        <w:ind w:left="443" w:right="278" w:firstLine="459"/>
        <w:spacing w:before="95" w:line="211"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2024年4月29日-5月5日， 证监会作出7份监管文书； 证监局作出34份监管文书； 上</w:t>
      </w:r>
      <w:r>
        <w:rPr>
          <w:rFonts w:ascii="Microsoft YaHei" w:hAnsi="Microsoft YaHei" w:eastAsia="Microsoft YaHei" w:cs="Microsoft YaHei"/>
          <w:sz w:val="22"/>
          <w:szCs w:val="22"/>
          <w:spacing w:val="-7"/>
        </w:rPr>
        <w:t>交所作出8份监管文书； 深交</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2"/>
        </w:rPr>
        <w:t>所作出18份监管文书。</w:t>
      </w:r>
    </w:p>
    <w:p>
      <w:pPr>
        <w:ind w:left="457" w:right="628" w:firstLine="443"/>
        <w:spacing w:before="328" w:line="21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2024年4月29日-5月5日， 证监会作出1份行政处罚决定书， 对</w:t>
      </w:r>
      <w:r>
        <w:rPr>
          <w:rFonts w:ascii="Microsoft YaHei" w:hAnsi="Microsoft YaHei" w:eastAsia="Microsoft YaHei" w:cs="Microsoft YaHei"/>
          <w:sz w:val="22"/>
          <w:szCs w:val="22"/>
          <w:spacing w:val="-6"/>
        </w:rPr>
        <w:t>6个对象进行立案调查； 证监局作出2份行政处</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罚决定事先告知书， 5份行政处罚决定书， 27份行政监管措施决定书。</w:t>
      </w:r>
    </w:p>
    <w:p>
      <w:pPr>
        <w:ind w:left="900"/>
        <w:spacing w:before="326"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2024年4月29日-5月5日， 上交所公司</w:t>
      </w:r>
      <w:r>
        <w:rPr>
          <w:rFonts w:ascii="Microsoft YaHei" w:hAnsi="Microsoft YaHei" w:eastAsia="Microsoft YaHei" w:cs="Microsoft YaHei"/>
          <w:sz w:val="22"/>
          <w:szCs w:val="22"/>
          <w:spacing w:val="-5"/>
        </w:rPr>
        <w:t>监管部门作出4份监管警示函， 对4宗行为予以纪律处分。</w:t>
      </w:r>
    </w:p>
    <w:p>
      <w:pPr>
        <w:pStyle w:val="BodyText"/>
        <w:spacing w:line="280" w:lineRule="auto"/>
        <w:rPr/>
      </w:pPr>
      <w:r/>
    </w:p>
    <w:p>
      <w:pPr>
        <w:ind w:left="453" w:right="441" w:firstLine="437"/>
        <w:spacing w:before="96" w:line="210"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9"/>
        </w:rPr>
        <w:t>2024年4月29日-5月5日， 深交所发出15份监管函，</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9"/>
        </w:rPr>
        <w:t>对3宗行为予以纪律处分； 共发出关注</w:t>
      </w:r>
      <w:r>
        <w:rPr>
          <w:rFonts w:ascii="Microsoft YaHei" w:hAnsi="Microsoft YaHei" w:eastAsia="Microsoft YaHei" w:cs="Microsoft YaHei"/>
          <w:sz w:val="22"/>
          <w:szCs w:val="22"/>
          <w:spacing w:val="-10"/>
        </w:rPr>
        <w:t>函9份， 年报问询函12</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
        </w:rPr>
        <w:t>份。</w:t>
      </w:r>
    </w:p>
    <w:p>
      <w:pPr>
        <w:ind w:firstLine="1753"/>
        <w:spacing w:before="193" w:line="8959" w:lineRule="exact"/>
        <w:rPr/>
      </w:pPr>
      <w:r>
        <w:rPr>
          <w:position w:val="-179"/>
        </w:rPr>
        <w:drawing>
          <wp:inline distT="0" distB="0" distL="0" distR="0">
            <wp:extent cx="5304790" cy="5688648"/>
            <wp:effectExtent l="0" t="0" r="0" b="0"/>
            <wp:docPr id="20" name="IM 20"/>
            <wp:cNvGraphicFramePr/>
            <a:graphic>
              <a:graphicData uri="http://schemas.openxmlformats.org/drawingml/2006/picture">
                <pic:pic>
                  <pic:nvPicPr>
                    <pic:cNvPr id="20" name="IM 20"/>
                    <pic:cNvPicPr/>
                  </pic:nvPicPr>
                  <pic:blipFill>
                    <a:blip r:embed="rId12"/>
                    <a:stretch>
                      <a:fillRect/>
                    </a:stretch>
                  </pic:blipFill>
                  <pic:spPr>
                    <a:xfrm rot="0">
                      <a:off x="0" y="0"/>
                      <a:ext cx="5304790" cy="5688648"/>
                    </a:xfrm>
                    <a:prstGeom prst="rect">
                      <a:avLst/>
                    </a:prstGeom>
                  </pic:spPr>
                </pic:pic>
              </a:graphicData>
            </a:graphic>
          </wp:inline>
        </w:drawing>
      </w:r>
    </w:p>
    <w:p>
      <w:pPr>
        <w:spacing w:line="8959" w:lineRule="exact"/>
        <w:sectPr>
          <w:pgSz w:w="11910" w:h="16840"/>
          <w:pgMar w:top="400" w:right="41" w:bottom="0" w:left="0" w:header="0" w:footer="0" w:gutter="0"/>
        </w:sectPr>
        <w:rPr/>
      </w:pPr>
    </w:p>
    <w:p>
      <w:pPr>
        <w:spacing w:line="924" w:lineRule="exact"/>
        <w:rPr/>
      </w:pPr>
      <w:r>
        <w:rPr>
          <w:position w:val="-18"/>
        </w:rPr>
        <w:pict>
          <v:group id="_x0000_s30" style="mso-position-vertical-relative:line;mso-position-horizontal-relative:char;width:188.3pt;height:46.25pt;" filled="false" stroked="false" coordsize="3766,925" coordorigin="0,0">
            <v:shape id="_x0000_s32" style="position:absolute;left:0;top:0;width:3766;height:925;" filled="false" stroked="false" type="#_x0000_t75">
              <v:imagedata o:title="" r:id="rId13"/>
            </v:shape>
            <v:shape id="_x0000_s34" style="position:absolute;left:-20;top:-20;width:3806;height:965;" filled="false" stroked="false" type="#_x0000_t202">
              <v:fill on="false"/>
              <v:stroke on="false"/>
              <v:path/>
              <v:imagedata o:title=""/>
              <o:lock v:ext="edit" aspectratio="false"/>
              <v:textbox inset="0mm,0mm,0mm,0mm">
                <w:txbxContent>
                  <w:p>
                    <w:pPr>
                      <w:ind w:left="389"/>
                      <w:spacing w:before="299"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2"/>
                      </w:rPr>
                      <w:t>证监会证监局监管动态</w:t>
                    </w:r>
                  </w:p>
                </w:txbxContent>
              </v:textbox>
            </v:shape>
          </v:group>
        </w:pict>
      </w:r>
    </w:p>
    <w:p>
      <w:pPr>
        <w:ind w:left="435" w:firstLine="446"/>
        <w:spacing w:before="173" w:line="211"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202</w:t>
      </w:r>
      <w:r>
        <w:rPr>
          <w:rFonts w:ascii="Microsoft YaHei" w:hAnsi="Microsoft YaHei" w:eastAsia="Microsoft YaHei" w:cs="Microsoft YaHei"/>
          <w:sz w:val="22"/>
          <w:szCs w:val="22"/>
          <w:spacing w:val="-5"/>
        </w:rPr>
        <w:t>4年4月29日-5月5日， 证监会作出1份行政处罚决定</w:t>
      </w:r>
      <w:r>
        <w:rPr>
          <w:rFonts w:ascii="Microsoft YaHei" w:hAnsi="Microsoft YaHei" w:eastAsia="Microsoft YaHei" w:cs="Microsoft YaHei"/>
          <w:sz w:val="22"/>
          <w:szCs w:val="22"/>
          <w:spacing w:val="-6"/>
        </w:rPr>
        <w:t>书， 对6个对象进行立案调查； 证监局作出2份</w:t>
      </w:r>
      <w:r>
        <w:rPr>
          <w:rFonts w:ascii="Microsoft YaHei" w:hAnsi="Microsoft YaHei" w:eastAsia="Microsoft YaHei" w:cs="Microsoft YaHei"/>
          <w:sz w:val="22"/>
          <w:szCs w:val="22"/>
          <w:spacing w:val="-3"/>
        </w:rPr>
        <w:t>行</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5"/>
        </w:rPr>
        <w:t>政处罚决定事先告知书， 5份行政处罚决定书</w:t>
      </w:r>
      <w:r>
        <w:rPr>
          <w:rFonts w:ascii="Microsoft YaHei" w:hAnsi="Microsoft YaHei" w:eastAsia="Microsoft YaHei" w:cs="Microsoft YaHei"/>
          <w:sz w:val="22"/>
          <w:szCs w:val="22"/>
          <w:spacing w:val="-6"/>
        </w:rPr>
        <w:t>， 27份行政监管措施决定书。</w:t>
      </w:r>
    </w:p>
    <w:p>
      <w:pPr>
        <w:pStyle w:val="BodyText"/>
        <w:spacing w:line="403" w:lineRule="auto"/>
        <w:rPr/>
      </w:pPr>
      <w:r/>
    </w:p>
    <w:p>
      <w:pPr>
        <w:ind w:left="15"/>
        <w:spacing w:before="103" w:line="209"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4"/>
        </w:rPr>
        <w:t>（</w:t>
      </w:r>
      <w:r>
        <w:rPr>
          <w:rFonts w:ascii="Microsoft YaHei" w:hAnsi="Microsoft YaHei" w:eastAsia="Microsoft YaHei" w:cs="Microsoft YaHei"/>
          <w:sz w:val="24"/>
          <w:szCs w:val="24"/>
          <w:b/>
          <w:bCs/>
          <w:color w:val="333333"/>
          <w:spacing w:val="36"/>
        </w:rPr>
        <w:t xml:space="preserve"> </w:t>
      </w:r>
      <w:r>
        <w:rPr>
          <w:rFonts w:ascii="Microsoft YaHei" w:hAnsi="Microsoft YaHei" w:eastAsia="Microsoft YaHei" w:cs="Microsoft YaHei"/>
          <w:sz w:val="24"/>
          <w:szCs w:val="24"/>
          <w:b/>
          <w:bCs/>
          <w:color w:val="333333"/>
          <w:spacing w:val="-4"/>
        </w:rPr>
        <w:t>1 ） </w:t>
      </w:r>
      <w:r>
        <w:rPr>
          <w:rFonts w:ascii="Microsoft YaHei" w:hAnsi="Microsoft YaHei" w:eastAsia="Microsoft YaHei" w:cs="Microsoft YaHei"/>
          <w:sz w:val="24"/>
          <w:szCs w:val="24"/>
          <w:b/>
          <w:bCs/>
          <w:spacing w:val="-4"/>
        </w:rPr>
        <w:t>行政处罚决定书</w:t>
      </w:r>
    </w:p>
    <w:tbl>
      <w:tblPr>
        <w:tblStyle w:val="TableNormal"/>
        <w:tblW w:w="8276" w:type="dxa"/>
        <w:tblInd w:w="944"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85"/>
        <w:gridCol w:w="1364"/>
        <w:gridCol w:w="5513"/>
        <w:gridCol w:w="114"/>
      </w:tblGrid>
      <w:tr>
        <w:trPr>
          <w:trHeight w:val="388" w:hRule="atLeast"/>
        </w:trPr>
        <w:tc>
          <w:tcPr>
            <w:shd w:val="clear" w:fill="4F81BD"/>
            <w:tcW w:w="1285" w:type="dxa"/>
            <w:vAlign w:val="top"/>
            <w:tcBorders>
              <w:bottom w:val="single" w:color="FFFFFF" w:sz="2" w:space="0"/>
            </w:tcBorders>
          </w:tcPr>
          <w:p>
            <w:pPr>
              <w:pStyle w:val="TableText"/>
              <w:ind w:left="218"/>
              <w:spacing w:before="107" w:line="189" w:lineRule="auto"/>
              <w:rPr/>
            </w:pPr>
            <w:r>
              <w:rPr>
                <w:b/>
                <w:bCs/>
                <w:color w:val="FFFFFF"/>
                <w:spacing w:val="8"/>
              </w:rPr>
              <w:t>公司代码</w:t>
            </w:r>
          </w:p>
        </w:tc>
        <w:tc>
          <w:tcPr>
            <w:shd w:val="clear" w:fill="4F81BD"/>
            <w:tcW w:w="1364" w:type="dxa"/>
            <w:vAlign w:val="top"/>
            <w:tcBorders>
              <w:bottom w:val="single" w:color="FFFFFF" w:sz="2" w:space="0"/>
            </w:tcBorders>
          </w:tcPr>
          <w:p>
            <w:pPr>
              <w:pStyle w:val="TableText"/>
              <w:ind w:left="255"/>
              <w:spacing w:before="107" w:line="189" w:lineRule="auto"/>
              <w:rPr/>
            </w:pPr>
            <w:r>
              <w:rPr>
                <w:b/>
                <w:bCs/>
                <w:color w:val="FFFFFF"/>
                <w:spacing w:val="8"/>
              </w:rPr>
              <w:t>公司简称</w:t>
            </w:r>
          </w:p>
        </w:tc>
        <w:tc>
          <w:tcPr>
            <w:shd w:val="clear" w:fill="4F81BD"/>
            <w:tcW w:w="5627" w:type="dxa"/>
            <w:vAlign w:val="top"/>
            <w:gridSpan w:val="2"/>
            <w:tcBorders>
              <w:bottom w:val="single" w:color="FFFFFF" w:sz="2" w:space="0"/>
            </w:tcBorders>
          </w:tcPr>
          <w:p>
            <w:pPr>
              <w:pStyle w:val="TableText"/>
              <w:ind w:left="2387"/>
              <w:spacing w:before="107" w:line="189" w:lineRule="auto"/>
              <w:rPr/>
            </w:pPr>
            <w:r>
              <w:rPr>
                <w:b/>
                <w:bCs/>
                <w:color w:val="FFFFFF"/>
                <w:spacing w:val="8"/>
              </w:rPr>
              <w:t>违规行为</w:t>
            </w:r>
          </w:p>
        </w:tc>
      </w:tr>
      <w:tr>
        <w:trPr>
          <w:trHeight w:val="5414" w:hRule="atLeast"/>
        </w:trPr>
        <w:tc>
          <w:tcPr>
            <w:shd w:val="clear" w:fill="B8CCE4"/>
            <w:tcW w:w="1285" w:type="dxa"/>
            <w:vAlign w:val="top"/>
            <w:tcBorders>
              <w:top w:val="single" w:color="FFFFFF" w:sz="2" w:space="0"/>
            </w:tcBorders>
          </w:tcPr>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273"/>
              <w:spacing w:before="85" w:line="179" w:lineRule="auto"/>
              <w:rPr/>
            </w:pPr>
            <w:r>
              <w:rPr>
                <w:spacing w:val="3"/>
              </w:rPr>
              <w:t>002145</w:t>
            </w:r>
          </w:p>
        </w:tc>
        <w:tc>
          <w:tcPr>
            <w:shd w:val="clear" w:fill="B8CCE4"/>
            <w:tcW w:w="1364" w:type="dxa"/>
            <w:vAlign w:val="top"/>
            <w:tcBorders>
              <w:top w:val="single" w:color="FFFFFF" w:sz="2" w:space="0"/>
            </w:tcBorders>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268"/>
              <w:spacing w:before="86" w:line="190" w:lineRule="auto"/>
              <w:rPr/>
            </w:pPr>
            <w:r>
              <w:rPr>
                <w:spacing w:val="5"/>
              </w:rPr>
              <w:t>中核钛白</w:t>
            </w:r>
          </w:p>
        </w:tc>
        <w:tc>
          <w:tcPr>
            <w:shd w:val="clear" w:fill="B8CCE4"/>
            <w:tcW w:w="5627" w:type="dxa"/>
            <w:vAlign w:val="top"/>
            <w:gridSpan w:val="2"/>
            <w:tcBorders>
              <w:top w:val="single" w:color="FFFFFF" w:sz="2" w:space="0"/>
            </w:tcBorders>
          </w:tcPr>
          <w:p>
            <w:pPr>
              <w:pStyle w:val="TableText"/>
              <w:ind w:left="98" w:right="265" w:firstLine="2"/>
              <w:spacing w:before="78" w:line="252" w:lineRule="auto"/>
              <w:rPr/>
            </w:pPr>
            <w:r>
              <w:rPr>
                <w:spacing w:val="10"/>
              </w:rPr>
              <w:t>实际控制人王某龙、其他关系方洪某炜通过</w:t>
            </w:r>
            <w:r>
              <w:rPr>
                <w:spacing w:val="9"/>
              </w:rPr>
              <w:t>衍生品交易安</w:t>
            </w:r>
            <w:r>
              <w:rPr/>
              <w:t xml:space="preserve"> </w:t>
            </w:r>
            <w:r>
              <w:rPr>
                <w:spacing w:val="2"/>
              </w:rPr>
              <w:t>排， 实质参与非公开发行， 并以市价融券卖出， 提前锁定</w:t>
            </w:r>
            <w:r>
              <w:rPr>
                <w:spacing w:val="12"/>
              </w:rPr>
              <w:t xml:space="preserve"> </w:t>
            </w:r>
            <w:r>
              <w:rPr>
                <w:spacing w:val="7"/>
              </w:rPr>
              <w:t>与非公开发行股票折扣价之间的价差收益， 变相规避限售</w:t>
            </w:r>
            <w:r>
              <w:rPr>
                <w:spacing w:val="5"/>
              </w:rPr>
              <w:t xml:space="preserve"> </w:t>
            </w:r>
            <w:r>
              <w:rPr>
                <w:spacing w:val="7"/>
              </w:rPr>
              <w:t>期规定； 中信中证为实际控制人王某龙、其他关系方洪某</w:t>
            </w:r>
            <w:r>
              <w:rPr>
                <w:spacing w:val="5"/>
              </w:rPr>
              <w:t xml:space="preserve"> </w:t>
            </w:r>
            <w:r>
              <w:rPr>
                <w:spacing w:val="10"/>
              </w:rPr>
              <w:t>炜违反限制性规定转让股票行为制定套利方案、</w:t>
            </w:r>
            <w:r>
              <w:rPr>
                <w:spacing w:val="9"/>
              </w:rPr>
              <w:t>搭建交易</w:t>
            </w:r>
            <w:r>
              <w:rPr/>
              <w:t xml:space="preserve"> </w:t>
            </w:r>
            <w:r>
              <w:rPr>
                <w:spacing w:val="7"/>
              </w:rPr>
              <w:t>架构、提供杠杆资金支持等； 中信证券知悉客户融券目的</w:t>
            </w:r>
            <w:r>
              <w:rPr>
                <w:spacing w:val="5"/>
              </w:rPr>
              <w:t xml:space="preserve"> </w:t>
            </w:r>
            <w:r>
              <w:rPr>
                <w:spacing w:val="5"/>
              </w:rPr>
              <w:t>是定增套利， 配合其提供融券服务； 海</w:t>
            </w:r>
            <w:r>
              <w:rPr>
                <w:spacing w:val="4"/>
              </w:rPr>
              <w:t>通证券以自己名义</w:t>
            </w:r>
            <w:r>
              <w:rPr/>
              <w:t xml:space="preserve"> </w:t>
            </w:r>
            <w:r>
              <w:rPr>
                <w:spacing w:val="9"/>
              </w:rPr>
              <w:t>按照中信中证的报价指令认购中核钛白非公开发行股票，</w:t>
            </w:r>
          </w:p>
          <w:p>
            <w:pPr>
              <w:pStyle w:val="TableText"/>
              <w:ind w:left="99" w:right="193" w:hanging="1"/>
              <w:spacing w:before="1" w:line="244" w:lineRule="auto"/>
              <w:rPr/>
            </w:pPr>
            <w:r>
              <w:rPr>
                <w:spacing w:val="7"/>
              </w:rPr>
              <w:t>客观上帮助中信中证及其客户取得股票收益； 实际控制人</w:t>
            </w:r>
            <w:r>
              <w:rPr>
                <w:spacing w:val="2"/>
              </w:rPr>
              <w:t xml:space="preserve">  </w:t>
            </w:r>
            <w:r>
              <w:rPr>
                <w:spacing w:val="10"/>
              </w:rPr>
              <w:t>王某龙在其他关系方洪某炜反限制性规定转让</w:t>
            </w:r>
            <w:r>
              <w:rPr>
                <w:spacing w:val="9"/>
              </w:rPr>
              <w:t>股票过程中</w:t>
            </w:r>
            <w:r>
              <w:rPr/>
              <w:t xml:space="preserve">  </w:t>
            </w:r>
            <w:r>
              <w:rPr>
                <w:spacing w:val="8"/>
              </w:rPr>
              <w:t>,  参与商议定增融券套利方案， 联系并建议洪某</w:t>
            </w:r>
            <w:r>
              <w:rPr>
                <w:spacing w:val="7"/>
              </w:rPr>
              <w:t>炜加入套</w:t>
            </w:r>
            <w:r>
              <w:rPr/>
              <w:t xml:space="preserve">  </w:t>
            </w:r>
            <w:r>
              <w:rPr>
                <w:spacing w:val="4"/>
              </w:rPr>
              <w:t>利； 王某龙作为中核钛白实际控制人， 在中核钛白2023年</w:t>
            </w:r>
            <w:r>
              <w:rPr>
                <w:spacing w:val="14"/>
              </w:rPr>
              <w:t xml:space="preserve"> </w:t>
            </w:r>
            <w:r>
              <w:rPr>
                <w:spacing w:val="7"/>
              </w:rPr>
              <w:t>非公开发行股票过程中， 隐瞒其通过一系列交易安排实际</w:t>
            </w:r>
            <w:r>
              <w:rPr>
                <w:spacing w:val="2"/>
              </w:rPr>
              <w:t xml:space="preserve">  </w:t>
            </w:r>
            <w:r>
              <w:rPr>
                <w:spacing w:val="7"/>
              </w:rPr>
              <w:t>参与非公开发行的情况， 导致中核钛白非公</w:t>
            </w:r>
            <w:r>
              <w:rPr>
                <w:spacing w:val="6"/>
              </w:rPr>
              <w:t>开发行</w:t>
            </w:r>
            <w:r>
              <w:rPr>
                <w:spacing w:val="51"/>
                <w:w w:val="101"/>
              </w:rPr>
              <w:t xml:space="preserve"> </w:t>
            </w:r>
            <w:r>
              <w:rPr>
                <w:spacing w:val="6"/>
              </w:rPr>
              <w:t>A股股</w:t>
            </w:r>
            <w:r>
              <w:rPr/>
              <w:t xml:space="preserve"> </w:t>
            </w:r>
            <w:r>
              <w:rPr>
                <w:spacing w:val="9"/>
              </w:rPr>
              <w:t>票相关发行情况报告书存在虚假记载。</w:t>
            </w:r>
          </w:p>
        </w:tc>
      </w:tr>
      <w:tr>
        <w:trPr>
          <w:trHeight w:val="2163" w:hRule="atLeast"/>
        </w:trPr>
        <w:tc>
          <w:tcPr>
            <w:tcW w:w="8162" w:type="dxa"/>
            <w:vAlign w:val="top"/>
            <w:gridSpan w:val="3"/>
            <w:tcBorders>
              <w:bottom w:val="single" w:color="4F81BD" w:sz="2" w:space="0"/>
            </w:tcBorders>
          </w:tcPr>
          <w:p>
            <w:pPr>
              <w:pStyle w:val="TableText"/>
              <w:ind w:left="104" w:right="94" w:firstLine="17"/>
              <w:spacing w:before="34" w:line="247" w:lineRule="auto"/>
              <w:jc w:val="both"/>
              <w:rPr/>
            </w:pPr>
            <w:r>
              <w:rPr>
                <w:b/>
                <w:bCs/>
                <w:spacing w:val="33"/>
              </w:rPr>
              <w:t>【</w:t>
            </w:r>
            <w:r>
              <w:rPr>
                <w:b/>
                <w:bCs/>
                <w:spacing w:val="-11"/>
              </w:rPr>
              <w:t xml:space="preserve"> </w:t>
            </w:r>
            <w:r>
              <w:rPr>
                <w:b/>
                <w:bCs/>
                <w:spacing w:val="33"/>
              </w:rPr>
              <w:t>行政处罚决定</w:t>
            </w:r>
            <w:r>
              <w:rPr>
                <w:b/>
                <w:bCs/>
                <w:spacing w:val="-13"/>
              </w:rPr>
              <w:t xml:space="preserve"> </w:t>
            </w:r>
            <w:r>
              <w:rPr>
                <w:b/>
                <w:bCs/>
                <w:spacing w:val="33"/>
              </w:rPr>
              <w:t>】</w:t>
            </w:r>
            <w:r>
              <w:rPr>
                <w:b/>
                <w:bCs/>
                <w:spacing w:val="-4"/>
              </w:rPr>
              <w:t xml:space="preserve"> </w:t>
            </w:r>
            <w:r>
              <w:rPr>
                <w:spacing w:val="33"/>
              </w:rPr>
              <w:t>中国证监会决定：</w:t>
            </w:r>
            <w:r>
              <w:rPr>
                <w:spacing w:val="31"/>
              </w:rPr>
              <w:t xml:space="preserve"> </w:t>
            </w:r>
            <w:r>
              <w:rPr>
                <w:spacing w:val="33"/>
              </w:rPr>
              <w:t>对实际控制人王某龙合计没收违法所得</w:t>
            </w:r>
            <w:r>
              <w:rPr/>
              <w:t xml:space="preserve"> </w:t>
            </w:r>
            <w:r>
              <w:rPr>
                <w:spacing w:val="6"/>
              </w:rPr>
              <w:t>60,637,954.37元， 并处以72,500,000元罚款； 对洪某炜没收违法所得14,193,879.43</w:t>
            </w:r>
            <w:r>
              <w:rPr>
                <w:spacing w:val="15"/>
              </w:rPr>
              <w:t xml:space="preserve"> </w:t>
            </w:r>
            <w:r>
              <w:rPr>
                <w:spacing w:val="6"/>
              </w:rPr>
              <w:t>元， 并处以7,000,000元罚款； 对中信中证资本管理有限公</w:t>
            </w:r>
            <w:r>
              <w:rPr>
                <w:spacing w:val="5"/>
              </w:rPr>
              <w:t>司合计处以46,500,000元罚</w:t>
            </w:r>
            <w:r>
              <w:rPr/>
              <w:t xml:space="preserve"> </w:t>
            </w:r>
            <w:r>
              <w:rPr>
                <w:spacing w:val="8"/>
              </w:rPr>
              <w:t>款； 对中信证券股份有限公司合计没收违法所得1,910,680.83元， 并处以23,2</w:t>
            </w:r>
            <w:r>
              <w:rPr>
                <w:spacing w:val="7"/>
              </w:rPr>
              <w:t>50,000</w:t>
            </w:r>
            <w:r>
              <w:rPr/>
              <w:t xml:space="preserve"> </w:t>
            </w:r>
            <w:r>
              <w:rPr>
                <w:spacing w:val="6"/>
              </w:rPr>
              <w:t>元罚款； 对海通证券股份有限公司合计没收违法所得789,4</w:t>
            </w:r>
            <w:r>
              <w:rPr>
                <w:spacing w:val="5"/>
              </w:rPr>
              <w:t>45.21元， 并处以6,975,000</w:t>
            </w:r>
            <w:r>
              <w:rPr/>
              <w:t xml:space="preserve"> </w:t>
            </w:r>
            <w:r>
              <w:rPr>
                <w:spacing w:val="5"/>
              </w:rPr>
              <w:t>元罚款； 对韩某辰合计处以775,000元罚款。</w:t>
            </w:r>
          </w:p>
        </w:tc>
        <w:tc>
          <w:tcPr>
            <w:tcW w:w="114" w:type="dxa"/>
            <w:vAlign w:val="top"/>
            <w:tcBorders>
              <w:bottom w:val="single" w:color="4F81BD" w:sz="2" w:space="0"/>
              <w:right w:val="nil"/>
            </w:tcBorders>
          </w:tcPr>
          <w:p>
            <w:pPr>
              <w:rPr>
                <w:rFonts w:ascii="Arial"/>
                <w:sz w:val="21"/>
              </w:rPr>
            </w:pPr>
            <w:r/>
          </w:p>
        </w:tc>
      </w:tr>
      <w:tr>
        <w:trPr>
          <w:trHeight w:val="375" w:hRule="atLeast"/>
        </w:trPr>
        <w:tc>
          <w:tcPr>
            <w:shd w:val="clear" w:fill="B8CCE4"/>
            <w:tcW w:w="1285" w:type="dxa"/>
            <w:vAlign w:val="top"/>
            <w:tcBorders>
              <w:top w:val="single" w:color="000000" w:sz="2" w:space="0"/>
            </w:tcBorders>
          </w:tcPr>
          <w:p>
            <w:pPr>
              <w:pStyle w:val="TableText"/>
              <w:ind w:left="279"/>
              <w:spacing w:before="108" w:line="178" w:lineRule="auto"/>
              <w:rPr/>
            </w:pPr>
            <w:r>
              <w:rPr>
                <w:spacing w:val="3"/>
              </w:rPr>
              <w:t>300036</w:t>
            </w:r>
          </w:p>
        </w:tc>
        <w:tc>
          <w:tcPr>
            <w:shd w:val="clear" w:fill="B8CCE4"/>
            <w:tcW w:w="1364" w:type="dxa"/>
            <w:vAlign w:val="top"/>
            <w:tcBorders>
              <w:top w:val="single" w:color="000000" w:sz="2" w:space="0"/>
            </w:tcBorders>
          </w:tcPr>
          <w:p>
            <w:pPr>
              <w:pStyle w:val="TableText"/>
              <w:ind w:left="255"/>
              <w:spacing w:before="93" w:line="189" w:lineRule="auto"/>
              <w:rPr/>
            </w:pPr>
            <w:r>
              <w:rPr>
                <w:spacing w:val="8"/>
              </w:rPr>
              <w:t>超图软件</w:t>
            </w:r>
          </w:p>
        </w:tc>
        <w:tc>
          <w:tcPr>
            <w:shd w:val="clear" w:fill="B8CCE4"/>
            <w:tcW w:w="5627" w:type="dxa"/>
            <w:vAlign w:val="top"/>
            <w:gridSpan w:val="2"/>
            <w:tcBorders>
              <w:top w:val="single" w:color="4F81BD" w:sz="2" w:space="0"/>
            </w:tcBorders>
          </w:tcPr>
          <w:p>
            <w:pPr>
              <w:pStyle w:val="TableText"/>
              <w:ind w:left="108"/>
              <w:spacing w:before="93" w:line="189" w:lineRule="auto"/>
              <w:rPr/>
            </w:pPr>
            <w:r>
              <w:rPr>
                <w:spacing w:val="8"/>
              </w:rPr>
              <w:t>时任董事、副总经理</w:t>
            </w:r>
            <w:r>
              <w:rPr>
                <w:b/>
                <w:bCs/>
                <w:spacing w:val="8"/>
              </w:rPr>
              <w:t>短线交易</w:t>
            </w:r>
            <w:r>
              <w:rPr>
                <w:spacing w:val="8"/>
              </w:rPr>
              <w:t>。</w:t>
            </w:r>
          </w:p>
        </w:tc>
      </w:tr>
      <w:tr>
        <w:trPr>
          <w:trHeight w:val="720" w:hRule="atLeast"/>
        </w:trPr>
        <w:tc>
          <w:tcPr>
            <w:tcW w:w="8162" w:type="dxa"/>
            <w:vAlign w:val="top"/>
            <w:gridSpan w:val="3"/>
            <w:tcBorders>
              <w:bottom w:val="single" w:color="4F81BD" w:sz="2" w:space="0"/>
            </w:tcBorders>
          </w:tcPr>
          <w:p>
            <w:pPr>
              <w:pStyle w:val="TableText"/>
              <w:ind w:left="104" w:right="94" w:firstLine="17"/>
              <w:spacing w:before="37" w:line="235" w:lineRule="auto"/>
              <w:rPr/>
            </w:pPr>
            <w:r>
              <w:rPr>
                <w:b/>
                <w:bCs/>
                <w:spacing w:val="12"/>
              </w:rPr>
              <w:t>【行政处罚决定】</w:t>
            </w:r>
            <w:r>
              <w:rPr>
                <w:b/>
                <w:bCs/>
                <w:spacing w:val="-24"/>
              </w:rPr>
              <w:t xml:space="preserve"> </w:t>
            </w:r>
            <w:r>
              <w:rPr>
                <w:spacing w:val="12"/>
              </w:rPr>
              <w:t>中国证券监督管理委员会北京监管局决定:对</w:t>
            </w:r>
            <w:r>
              <w:rPr>
                <w:spacing w:val="11"/>
              </w:rPr>
              <w:t>时任董事、高管孙某宏</w:t>
            </w:r>
            <w:r>
              <w:rPr/>
              <w:t xml:space="preserve"> </w:t>
            </w:r>
            <w:r>
              <w:rPr>
                <w:spacing w:val="7"/>
              </w:rPr>
              <w:t>给予警告,并处以200,000元罚款。</w:t>
            </w:r>
          </w:p>
        </w:tc>
        <w:tc>
          <w:tcPr>
            <w:tcW w:w="114" w:type="dxa"/>
            <w:vAlign w:val="top"/>
            <w:tcBorders>
              <w:bottom w:val="single" w:color="4F81BD" w:sz="2" w:space="0"/>
              <w:right w:val="nil"/>
            </w:tcBorders>
          </w:tcPr>
          <w:p>
            <w:pPr>
              <w:rPr>
                <w:rFonts w:ascii="Arial"/>
                <w:sz w:val="21"/>
              </w:rPr>
            </w:pPr>
            <w:r/>
          </w:p>
        </w:tc>
      </w:tr>
      <w:tr>
        <w:trPr>
          <w:trHeight w:val="375" w:hRule="atLeast"/>
        </w:trPr>
        <w:tc>
          <w:tcPr>
            <w:shd w:val="clear" w:fill="B8CCE4"/>
            <w:tcW w:w="1285" w:type="dxa"/>
            <w:vAlign w:val="top"/>
            <w:tcBorders>
              <w:top w:val="single" w:color="000000" w:sz="2" w:space="0"/>
            </w:tcBorders>
          </w:tcPr>
          <w:p>
            <w:pPr>
              <w:pStyle w:val="TableText"/>
              <w:ind w:left="279"/>
              <w:spacing w:before="113" w:line="176" w:lineRule="auto"/>
              <w:rPr/>
            </w:pPr>
            <w:r>
              <w:rPr>
                <w:spacing w:val="3"/>
              </w:rPr>
              <w:t>300582</w:t>
            </w:r>
          </w:p>
        </w:tc>
        <w:tc>
          <w:tcPr>
            <w:shd w:val="clear" w:fill="B8CCE4"/>
            <w:tcW w:w="1364" w:type="dxa"/>
            <w:vAlign w:val="top"/>
            <w:tcBorders>
              <w:top w:val="single" w:color="000000" w:sz="2" w:space="0"/>
            </w:tcBorders>
          </w:tcPr>
          <w:p>
            <w:pPr>
              <w:pStyle w:val="TableText"/>
              <w:ind w:left="357"/>
              <w:spacing w:before="99" w:line="186" w:lineRule="auto"/>
              <w:rPr/>
            </w:pPr>
            <w:r>
              <w:rPr>
                <w:spacing w:val="8"/>
              </w:rPr>
              <w:t>英飞特</w:t>
            </w:r>
          </w:p>
        </w:tc>
        <w:tc>
          <w:tcPr>
            <w:shd w:val="clear" w:fill="B8CCE4"/>
            <w:tcW w:w="5627" w:type="dxa"/>
            <w:vAlign w:val="top"/>
            <w:gridSpan w:val="2"/>
            <w:tcBorders>
              <w:top w:val="single" w:color="4F81BD" w:sz="2" w:space="0"/>
            </w:tcBorders>
          </w:tcPr>
          <w:p>
            <w:pPr>
              <w:pStyle w:val="TableText"/>
              <w:ind w:left="113"/>
              <w:spacing w:before="99" w:line="186" w:lineRule="auto"/>
              <w:rPr/>
            </w:pPr>
            <w:r>
              <w:rPr>
                <w:b/>
                <w:bCs/>
                <w:spacing w:val="6"/>
              </w:rPr>
              <w:t>内幕交易</w:t>
            </w:r>
            <w:r>
              <w:rPr>
                <w:spacing w:val="6"/>
              </w:rPr>
              <w:t>公司股票。</w:t>
            </w:r>
          </w:p>
        </w:tc>
      </w:tr>
      <w:tr>
        <w:trPr>
          <w:trHeight w:val="1082" w:hRule="atLeast"/>
        </w:trPr>
        <w:tc>
          <w:tcPr>
            <w:tcW w:w="8162" w:type="dxa"/>
            <w:vAlign w:val="top"/>
            <w:gridSpan w:val="3"/>
            <w:tcBorders>
              <w:bottom w:val="single" w:color="4F81BD" w:sz="2" w:space="0"/>
            </w:tcBorders>
          </w:tcPr>
          <w:p>
            <w:pPr>
              <w:pStyle w:val="TableText"/>
              <w:ind w:left="103" w:right="94" w:firstLine="17"/>
              <w:spacing w:before="46" w:line="239" w:lineRule="auto"/>
              <w:jc w:val="both"/>
              <w:rPr/>
            </w:pPr>
            <w:r>
              <w:rPr>
                <w:b/>
                <w:bCs/>
                <w:spacing w:val="10"/>
              </w:rPr>
              <w:t>【行政处罚决定】</w:t>
            </w:r>
            <w:r>
              <w:rPr>
                <w:b/>
                <w:bCs/>
                <w:spacing w:val="-22"/>
              </w:rPr>
              <w:t xml:space="preserve"> </w:t>
            </w:r>
            <w:r>
              <w:rPr>
                <w:spacing w:val="10"/>
              </w:rPr>
              <w:t>中国证券监督管理委员会浙江监管</w:t>
            </w:r>
            <w:r>
              <w:rPr>
                <w:spacing w:val="9"/>
              </w:rPr>
              <w:t>局决定： 对张某建给予警告， 责</w:t>
            </w:r>
            <w:r>
              <w:rPr/>
              <w:t xml:space="preserve"> </w:t>
            </w:r>
            <w:r>
              <w:rPr>
                <w:spacing w:val="10"/>
              </w:rPr>
              <w:t>令张某建依法处理非法持有的证券， 没收违法所得199,671.93元，</w:t>
            </w:r>
            <w:r>
              <w:rPr>
                <w:spacing w:val="9"/>
              </w:rPr>
              <w:t xml:space="preserve"> 并处以175万元罚</w:t>
            </w:r>
            <w:r>
              <w:rPr/>
              <w:t xml:space="preserve"> </w:t>
            </w:r>
            <w:r>
              <w:rPr>
                <w:spacing w:val="3"/>
              </w:rPr>
              <w:t>款。</w:t>
            </w:r>
          </w:p>
        </w:tc>
        <w:tc>
          <w:tcPr>
            <w:tcW w:w="114" w:type="dxa"/>
            <w:vAlign w:val="top"/>
            <w:tcBorders>
              <w:bottom w:val="single" w:color="4F81BD" w:sz="2" w:space="0"/>
              <w:right w:val="nil"/>
            </w:tcBorders>
          </w:tcPr>
          <w:p>
            <w:pPr>
              <w:rPr>
                <w:rFonts w:ascii="Arial"/>
                <w:sz w:val="21"/>
              </w:rPr>
            </w:pPr>
            <w:r/>
          </w:p>
        </w:tc>
      </w:tr>
      <w:tr>
        <w:trPr>
          <w:trHeight w:val="1096" w:hRule="atLeast"/>
        </w:trPr>
        <w:tc>
          <w:tcPr>
            <w:shd w:val="clear" w:fill="B8CCE4"/>
            <w:tcW w:w="1285" w:type="dxa"/>
            <w:vAlign w:val="top"/>
            <w:tcBorders>
              <w:top w:val="single" w:color="000000" w:sz="2" w:space="0"/>
            </w:tcBorders>
          </w:tcPr>
          <w:p>
            <w:pPr>
              <w:spacing w:line="389" w:lineRule="auto"/>
              <w:rPr>
                <w:rFonts w:ascii="Arial"/>
                <w:sz w:val="21"/>
              </w:rPr>
            </w:pPr>
            <w:r/>
          </w:p>
          <w:p>
            <w:pPr>
              <w:pStyle w:val="TableText"/>
              <w:ind w:left="279"/>
              <w:spacing w:before="86" w:line="178" w:lineRule="auto"/>
              <w:rPr/>
            </w:pPr>
            <w:r>
              <w:rPr>
                <w:spacing w:val="3"/>
              </w:rPr>
              <w:t>300282</w:t>
            </w:r>
          </w:p>
        </w:tc>
        <w:tc>
          <w:tcPr>
            <w:shd w:val="clear" w:fill="B8CCE4"/>
            <w:tcW w:w="1364" w:type="dxa"/>
            <w:vAlign w:val="top"/>
            <w:tcBorders>
              <w:top w:val="single" w:color="000000" w:sz="2" w:space="0"/>
            </w:tcBorders>
          </w:tcPr>
          <w:p>
            <w:pPr>
              <w:spacing w:line="374" w:lineRule="auto"/>
              <w:rPr>
                <w:rFonts w:ascii="Arial"/>
                <w:sz w:val="21"/>
              </w:rPr>
            </w:pPr>
            <w:r/>
          </w:p>
          <w:p>
            <w:pPr>
              <w:pStyle w:val="TableText"/>
              <w:ind w:left="300"/>
              <w:spacing w:before="86" w:line="189" w:lineRule="auto"/>
              <w:rPr/>
            </w:pPr>
            <w:r>
              <w:rPr>
                <w:spacing w:val="8"/>
              </w:rPr>
              <w:t>*</w:t>
            </w:r>
            <w:r>
              <w:rPr/>
              <w:t>ST</w:t>
            </w:r>
            <w:r>
              <w:rPr>
                <w:spacing w:val="8"/>
              </w:rPr>
              <w:t>三盛</w:t>
            </w:r>
          </w:p>
        </w:tc>
        <w:tc>
          <w:tcPr>
            <w:shd w:val="clear" w:fill="B8CCE4"/>
            <w:tcW w:w="5627" w:type="dxa"/>
            <w:vAlign w:val="top"/>
            <w:gridSpan w:val="2"/>
            <w:tcBorders>
              <w:top w:val="single" w:color="4F81BD" w:sz="2" w:space="0"/>
            </w:tcBorders>
          </w:tcPr>
          <w:p>
            <w:pPr>
              <w:pStyle w:val="TableText"/>
              <w:ind w:left="98" w:right="102" w:firstLine="1"/>
              <w:spacing w:before="99" w:line="230" w:lineRule="auto"/>
              <w:jc w:val="both"/>
              <w:rPr/>
            </w:pPr>
            <w:r>
              <w:rPr>
                <w:spacing w:val="6"/>
              </w:rPr>
              <w:t>未及时披露</w:t>
            </w:r>
            <w:r>
              <w:rPr>
                <w:b/>
                <w:bCs/>
                <w:spacing w:val="6"/>
              </w:rPr>
              <w:t>违规担保</w:t>
            </w:r>
            <w:r>
              <w:rPr>
                <w:spacing w:val="6"/>
              </w:rPr>
              <w:t>事项； 2020年年度报告、</w:t>
            </w:r>
            <w:r>
              <w:rPr>
                <w:spacing w:val="-29"/>
              </w:rPr>
              <w:t xml:space="preserve"> </w:t>
            </w:r>
            <w:r>
              <w:rPr>
                <w:spacing w:val="6"/>
              </w:rPr>
              <w:t>2021年半年</w:t>
            </w:r>
            <w:r>
              <w:rPr/>
              <w:t xml:space="preserve"> </w:t>
            </w:r>
            <w:r>
              <w:rPr>
                <w:spacing w:val="6"/>
              </w:rPr>
              <w:t>度报告存在</w:t>
            </w:r>
            <w:r>
              <w:rPr>
                <w:b/>
                <w:bCs/>
                <w:spacing w:val="6"/>
              </w:rPr>
              <w:t>重大遗漏</w:t>
            </w:r>
            <w:r>
              <w:rPr>
                <w:spacing w:val="6"/>
              </w:rPr>
              <w:t>； 2020年年度报告、</w:t>
            </w:r>
            <w:r>
              <w:rPr>
                <w:spacing w:val="-30"/>
              </w:rPr>
              <w:t xml:space="preserve"> </w:t>
            </w:r>
            <w:r>
              <w:rPr>
                <w:spacing w:val="6"/>
              </w:rPr>
              <w:t>2021年半年度报</w:t>
            </w:r>
            <w:r>
              <w:rPr/>
              <w:t xml:space="preserve"> </w:t>
            </w:r>
            <w:r>
              <w:rPr>
                <w:spacing w:val="8"/>
              </w:rPr>
              <w:t>告存在</w:t>
            </w:r>
            <w:r>
              <w:rPr>
                <w:b/>
                <w:bCs/>
                <w:spacing w:val="8"/>
              </w:rPr>
              <w:t>虚假记载。</w:t>
            </w:r>
          </w:p>
        </w:tc>
      </w:tr>
      <w:tr>
        <w:trPr>
          <w:trHeight w:val="1081" w:hRule="atLeast"/>
        </w:trPr>
        <w:tc>
          <w:tcPr>
            <w:tcW w:w="8162" w:type="dxa"/>
            <w:vAlign w:val="top"/>
            <w:gridSpan w:val="3"/>
            <w:tcBorders>
              <w:bottom w:val="single" w:color="4F81BD" w:sz="2" w:space="0"/>
            </w:tcBorders>
          </w:tcPr>
          <w:p>
            <w:pPr>
              <w:pStyle w:val="TableText"/>
              <w:ind w:left="104" w:right="94" w:firstLine="17"/>
              <w:spacing w:before="50" w:line="238" w:lineRule="auto"/>
              <w:jc w:val="both"/>
              <w:rPr/>
            </w:pPr>
            <w:r>
              <w:rPr>
                <w:b/>
                <w:bCs/>
                <w:spacing w:val="10"/>
              </w:rPr>
              <w:t>【行政处罚决定】</w:t>
            </w:r>
            <w:r>
              <w:rPr>
                <w:b/>
                <w:bCs/>
                <w:spacing w:val="-16"/>
              </w:rPr>
              <w:t xml:space="preserve"> </w:t>
            </w:r>
            <w:r>
              <w:rPr>
                <w:spacing w:val="10"/>
              </w:rPr>
              <w:t>中国证券监督管理委员会北京监管局决定:对实际控制人,时任董事长</w:t>
            </w:r>
            <w:r>
              <w:rPr/>
              <w:t xml:space="preserve"> </w:t>
            </w:r>
            <w:r>
              <w:rPr>
                <w:spacing w:val="12"/>
              </w:rPr>
              <w:t>林某滨给予警告,并处以190万元的罚款,其中作为实际控制人处以120万元的</w:t>
            </w:r>
            <w:r>
              <w:rPr>
                <w:spacing w:val="11"/>
              </w:rPr>
              <w:t>罚款,作为</w:t>
            </w:r>
            <w:r>
              <w:rPr/>
              <w:t xml:space="preserve"> </w:t>
            </w:r>
            <w:r>
              <w:rPr>
                <w:spacing w:val="8"/>
              </w:rPr>
              <w:t>直接负责的主管人员处以70万元的罚款。</w:t>
            </w:r>
          </w:p>
        </w:tc>
        <w:tc>
          <w:tcPr>
            <w:tcW w:w="114" w:type="dxa"/>
            <w:vAlign w:val="top"/>
            <w:tcBorders>
              <w:bottom w:val="single" w:color="4F81BD" w:sz="2" w:space="0"/>
              <w:right w:val="nil"/>
            </w:tcBorders>
          </w:tcPr>
          <w:p>
            <w:pPr>
              <w:rPr>
                <w:rFonts w:ascii="Arial"/>
                <w:sz w:val="21"/>
              </w:rPr>
            </w:pPr>
            <w:r/>
          </w:p>
        </w:tc>
      </w:tr>
      <w:tr>
        <w:trPr>
          <w:trHeight w:val="744" w:hRule="atLeast"/>
        </w:trPr>
        <w:tc>
          <w:tcPr>
            <w:shd w:val="clear" w:fill="B8CCE4"/>
            <w:tcW w:w="1285" w:type="dxa"/>
            <w:vAlign w:val="top"/>
            <w:tcBorders>
              <w:top w:val="single" w:color="000000" w:sz="2" w:space="0"/>
            </w:tcBorders>
          </w:tcPr>
          <w:p>
            <w:pPr>
              <w:pStyle w:val="TableText"/>
              <w:ind w:left="273"/>
              <w:spacing w:before="301" w:line="178" w:lineRule="auto"/>
              <w:rPr/>
            </w:pPr>
            <w:r>
              <w:rPr>
                <w:spacing w:val="3"/>
              </w:rPr>
              <w:t>002247</w:t>
            </w:r>
          </w:p>
        </w:tc>
        <w:tc>
          <w:tcPr>
            <w:shd w:val="clear" w:fill="B8CCE4"/>
            <w:tcW w:w="1364" w:type="dxa"/>
            <w:vAlign w:val="top"/>
            <w:tcBorders>
              <w:top w:val="single" w:color="000000" w:sz="2" w:space="0"/>
            </w:tcBorders>
          </w:tcPr>
          <w:p>
            <w:pPr>
              <w:pStyle w:val="TableText"/>
              <w:ind w:left="254"/>
              <w:spacing w:before="286" w:line="189" w:lineRule="auto"/>
              <w:rPr/>
            </w:pPr>
            <w:r>
              <w:rPr>
                <w:spacing w:val="8"/>
              </w:rPr>
              <w:t>聚力文化</w:t>
            </w:r>
          </w:p>
        </w:tc>
        <w:tc>
          <w:tcPr>
            <w:shd w:val="clear" w:fill="B8CCE4"/>
            <w:tcW w:w="5627" w:type="dxa"/>
            <w:vAlign w:val="top"/>
            <w:gridSpan w:val="2"/>
            <w:tcBorders>
              <w:top w:val="single" w:color="4F81BD" w:sz="2" w:space="0"/>
            </w:tcBorders>
          </w:tcPr>
          <w:p>
            <w:pPr>
              <w:pStyle w:val="TableText"/>
              <w:ind w:left="100" w:right="105"/>
              <w:spacing w:before="104" w:line="220" w:lineRule="auto"/>
              <w:rPr/>
            </w:pPr>
            <w:r>
              <w:rPr>
                <w:spacing w:val="11"/>
              </w:rPr>
              <w:t>聚力文化2016年、</w:t>
            </w:r>
            <w:r>
              <w:rPr>
                <w:spacing w:val="-19"/>
              </w:rPr>
              <w:t xml:space="preserve"> </w:t>
            </w:r>
            <w:r>
              <w:rPr>
                <w:spacing w:val="11"/>
              </w:rPr>
              <w:t>2017年、</w:t>
            </w:r>
            <w:r>
              <w:rPr>
                <w:spacing w:val="-32"/>
              </w:rPr>
              <w:t xml:space="preserve"> </w:t>
            </w:r>
            <w:r>
              <w:rPr>
                <w:spacing w:val="11"/>
              </w:rPr>
              <w:t>2018年年度报告存在</w:t>
            </w:r>
            <w:r>
              <w:rPr>
                <w:b/>
                <w:bCs/>
                <w:spacing w:val="11"/>
              </w:rPr>
              <w:t>虚假记</w:t>
            </w:r>
            <w:r>
              <w:rPr>
                <w:b/>
                <w:bCs/>
              </w:rPr>
              <w:t xml:space="preserve"> </w:t>
            </w:r>
            <w:r>
              <w:rPr>
                <w:b/>
                <w:bCs/>
                <w:spacing w:val="5"/>
              </w:rPr>
              <w:t>载</w:t>
            </w:r>
            <w:r>
              <w:rPr>
                <w:spacing w:val="5"/>
              </w:rPr>
              <w:t>， 天健所及会计师在执业中存在问题。</w:t>
            </w:r>
          </w:p>
        </w:tc>
      </w:tr>
    </w:tbl>
    <w:p>
      <w:pPr>
        <w:pStyle w:val="BodyText"/>
        <w:rPr/>
      </w:pPr>
      <w:r/>
    </w:p>
    <w:p>
      <w:pPr>
        <w:sectPr>
          <w:pgSz w:w="11910" w:h="16840"/>
          <w:pgMar w:top="374" w:right="658" w:bottom="0" w:left="463" w:header="0" w:footer="0" w:gutter="0"/>
        </w:sectPr>
        <w:rPr/>
      </w:pPr>
    </w:p>
    <w:tbl>
      <w:tblPr>
        <w:tblStyle w:val="TableNormal"/>
        <w:tblW w:w="8276" w:type="dxa"/>
        <w:tblInd w:w="929"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85"/>
        <w:gridCol w:w="1364"/>
        <w:gridCol w:w="5513"/>
        <w:gridCol w:w="114"/>
      </w:tblGrid>
      <w:tr>
        <w:trPr>
          <w:trHeight w:val="1097" w:hRule="atLeast"/>
        </w:trPr>
        <w:tc>
          <w:tcPr>
            <w:tcW w:w="8162" w:type="dxa"/>
            <w:vAlign w:val="top"/>
            <w:gridSpan w:val="3"/>
            <w:tcBorders>
              <w:top w:val="single" w:color="FFFFFF" w:sz="2" w:space="0"/>
            </w:tcBorders>
          </w:tcPr>
          <w:p>
            <w:pPr>
              <w:pStyle w:val="TableText"/>
              <w:ind w:left="102" w:right="96" w:firstLine="19"/>
              <w:spacing w:before="57"/>
              <w:jc w:val="both"/>
              <w:rPr/>
            </w:pPr>
            <w:r>
              <w:rPr>
                <w:b/>
                <w:bCs/>
                <w:spacing w:val="11"/>
              </w:rPr>
              <w:t>【行政处罚决定】</w:t>
            </w:r>
            <w:r>
              <w:rPr>
                <w:b/>
                <w:bCs/>
                <w:spacing w:val="-22"/>
              </w:rPr>
              <w:t xml:space="preserve"> </w:t>
            </w:r>
            <w:r>
              <w:rPr>
                <w:spacing w:val="11"/>
              </w:rPr>
              <w:t>中国证券监督管理委员会浙江监管局决定： 对</w:t>
            </w:r>
            <w:r>
              <w:rPr>
                <w:spacing w:val="10"/>
              </w:rPr>
              <w:t>天健会计师事务所  (</w:t>
            </w:r>
            <w:r>
              <w:rPr/>
              <w:t xml:space="preserve"> </w:t>
            </w:r>
            <w:r>
              <w:rPr>
                <w:spacing w:val="7"/>
              </w:rPr>
              <w:t>特殊普通合伙） 责令改正， 没收业务收入2,594,339.62元， 并处以2,594,339.62元罚</w:t>
            </w:r>
            <w:r>
              <w:rPr>
                <w:spacing w:val="5"/>
              </w:rPr>
              <w:t xml:space="preserve"> </w:t>
            </w:r>
            <w:r>
              <w:rPr>
                <w:spacing w:val="4"/>
              </w:rPr>
              <w:t>款。</w:t>
            </w:r>
          </w:p>
        </w:tc>
        <w:tc>
          <w:tcPr>
            <w:tcW w:w="114" w:type="dxa"/>
            <w:vAlign w:val="top"/>
            <w:tcBorders>
              <w:right w:val="nil"/>
              <w:top w:val="nil"/>
              <w:bottom w:val="single" w:color="FFFFFF" w:sz="2" w:space="0"/>
            </w:tcBorders>
          </w:tcPr>
          <w:p>
            <w:pPr>
              <w:rPr>
                <w:rFonts w:ascii="Arial"/>
                <w:sz w:val="21"/>
              </w:rPr>
            </w:pPr>
            <w:r/>
          </w:p>
        </w:tc>
      </w:tr>
      <w:tr>
        <w:trPr>
          <w:trHeight w:val="724" w:hRule="atLeast"/>
        </w:trPr>
        <w:tc>
          <w:tcPr>
            <w:shd w:val="clear" w:fill="B8CCE4"/>
            <w:tcW w:w="1285" w:type="dxa"/>
            <w:vAlign w:val="top"/>
          </w:tcPr>
          <w:p>
            <w:pPr>
              <w:pStyle w:val="TableText"/>
              <w:ind w:left="276"/>
              <w:spacing w:before="280" w:line="179" w:lineRule="auto"/>
              <w:rPr/>
            </w:pPr>
            <w:r>
              <w:rPr>
                <w:spacing w:val="3"/>
              </w:rPr>
              <w:t>688701</w:t>
            </w:r>
          </w:p>
        </w:tc>
        <w:tc>
          <w:tcPr>
            <w:shd w:val="clear" w:fill="B8CCE4"/>
            <w:tcW w:w="1364" w:type="dxa"/>
            <w:vAlign w:val="top"/>
          </w:tcPr>
          <w:p>
            <w:pPr>
              <w:pStyle w:val="TableText"/>
              <w:ind w:left="257"/>
              <w:spacing w:before="267" w:line="189" w:lineRule="auto"/>
              <w:rPr/>
            </w:pPr>
            <w:r>
              <w:rPr>
                <w:spacing w:val="8"/>
              </w:rPr>
              <w:t>卓锦股份</w:t>
            </w:r>
          </w:p>
        </w:tc>
        <w:tc>
          <w:tcPr>
            <w:shd w:val="clear" w:fill="B8CCE4"/>
            <w:tcW w:w="5627" w:type="dxa"/>
            <w:vAlign w:val="top"/>
            <w:gridSpan w:val="2"/>
          </w:tcPr>
          <w:p>
            <w:pPr>
              <w:pStyle w:val="TableText"/>
              <w:ind w:left="106" w:right="102" w:hanging="4"/>
              <w:spacing w:before="87" w:line="219" w:lineRule="auto"/>
              <w:rPr/>
            </w:pPr>
            <w:r>
              <w:rPr>
                <w:spacing w:val="10"/>
              </w:rPr>
              <w:t>卓锦股份2021年年度报告存在虚假记载， </w:t>
            </w:r>
            <w:r>
              <w:rPr>
                <w:b/>
                <w:bCs/>
                <w:spacing w:val="10"/>
              </w:rPr>
              <w:t>会所及会</w:t>
            </w:r>
            <w:r>
              <w:rPr>
                <w:b/>
                <w:bCs/>
                <w:spacing w:val="9"/>
              </w:rPr>
              <w:t>计师的</w:t>
            </w:r>
            <w:r>
              <w:rPr>
                <w:b/>
                <w:bCs/>
              </w:rPr>
              <w:t xml:space="preserve"> </w:t>
            </w:r>
            <w:r>
              <w:rPr>
                <w:b/>
                <w:bCs/>
                <w:spacing w:val="7"/>
              </w:rPr>
              <w:t>审计工作</w:t>
            </w:r>
            <w:r>
              <w:rPr>
                <w:spacing w:val="7"/>
              </w:rPr>
              <w:t>存在问题。</w:t>
            </w:r>
          </w:p>
        </w:tc>
      </w:tr>
      <w:tr>
        <w:trPr>
          <w:trHeight w:val="1450" w:hRule="atLeast"/>
        </w:trPr>
        <w:tc>
          <w:tcPr>
            <w:tcW w:w="8162" w:type="dxa"/>
            <w:vAlign w:val="top"/>
            <w:gridSpan w:val="3"/>
          </w:tcPr>
          <w:p>
            <w:pPr>
              <w:pStyle w:val="TableText"/>
              <w:ind w:left="121"/>
              <w:spacing w:before="49" w:line="237" w:lineRule="auto"/>
              <w:rPr/>
            </w:pPr>
            <w:r>
              <w:rPr>
                <w:b/>
                <w:bCs/>
                <w:spacing w:val="8"/>
              </w:rPr>
              <w:t>【行政处罚决定】</w:t>
            </w:r>
            <w:r>
              <w:rPr>
                <w:b/>
                <w:bCs/>
                <w:spacing w:val="-31"/>
              </w:rPr>
              <w:t xml:space="preserve"> </w:t>
            </w:r>
            <w:r>
              <w:rPr>
                <w:spacing w:val="8"/>
              </w:rPr>
              <w:t>中国证券监督管理委员会</w:t>
            </w:r>
            <w:r>
              <w:rPr>
                <w:spacing w:val="7"/>
              </w:rPr>
              <w:t>浙江监管局决定：</w:t>
            </w:r>
          </w:p>
          <w:p>
            <w:pPr>
              <w:pStyle w:val="TableText"/>
              <w:ind w:left="132" w:right="94" w:firstLine="4"/>
              <w:spacing w:before="25" w:line="234" w:lineRule="auto"/>
              <w:rPr/>
            </w:pPr>
            <w:r>
              <w:rPr>
                <w:spacing w:val="5"/>
              </w:rPr>
              <w:t>（一） 对天健会计师事务所 （特殊普通合伙） 责令改正， 没收业务收入660,377.36元</w:t>
            </w:r>
            <w:r>
              <w:rPr>
                <w:spacing w:val="12"/>
              </w:rPr>
              <w:t xml:space="preserve"> </w:t>
            </w:r>
            <w:r>
              <w:rPr>
                <w:spacing w:val="5"/>
              </w:rPr>
              <w:t>,</w:t>
            </w:r>
            <w:r>
              <w:rPr>
                <w:spacing w:val="16"/>
              </w:rPr>
              <w:t xml:space="preserve">  </w:t>
            </w:r>
            <w:r>
              <w:rPr>
                <w:spacing w:val="5"/>
              </w:rPr>
              <w:t>并处以660,377.36元罚款；</w:t>
            </w:r>
          </w:p>
          <w:p>
            <w:pPr>
              <w:pStyle w:val="TableText"/>
              <w:ind w:left="137"/>
              <w:spacing w:before="49" w:line="215" w:lineRule="auto"/>
              <w:rPr/>
            </w:pPr>
            <w:r>
              <w:rPr>
                <w:spacing w:val="4"/>
              </w:rPr>
              <w:t>（二） 对注册会计师毛某东、黄某洪给予警告， 并分别处以20万元罚款。</w:t>
            </w:r>
          </w:p>
        </w:tc>
        <w:tc>
          <w:tcPr>
            <w:tcW w:w="114" w:type="dxa"/>
            <w:vAlign w:val="top"/>
            <w:tcBorders>
              <w:bottom w:val="nil"/>
              <w:right w:val="nil"/>
            </w:tcBorders>
          </w:tcPr>
          <w:p>
            <w:pPr>
              <w:rPr>
                <w:rFonts w:ascii="Arial"/>
                <w:sz w:val="21"/>
              </w:rPr>
            </w:pPr>
            <w:r/>
          </w:p>
        </w:tc>
      </w:tr>
    </w:tbl>
    <w:p>
      <w:pPr>
        <w:pStyle w:val="BodyText"/>
        <w:spacing w:line="255" w:lineRule="auto"/>
        <w:rPr/>
      </w:pPr>
      <w:r/>
    </w:p>
    <w:p>
      <w:pPr>
        <w:pStyle w:val="BodyText"/>
        <w:spacing w:line="256" w:lineRule="auto"/>
        <w:rPr/>
      </w:pPr>
      <w:r/>
    </w:p>
    <w:p>
      <w:pPr>
        <w:spacing w:before="102"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w:t>
      </w:r>
      <w:r>
        <w:rPr>
          <w:rFonts w:ascii="Microsoft YaHei" w:hAnsi="Microsoft YaHei" w:eastAsia="Microsoft YaHei" w:cs="Microsoft YaHei"/>
          <w:sz w:val="24"/>
          <w:szCs w:val="24"/>
          <w:b/>
          <w:bCs/>
          <w:color w:val="333333"/>
          <w:spacing w:val="36"/>
        </w:rPr>
        <w:t xml:space="preserve"> </w:t>
      </w:r>
      <w:r>
        <w:rPr>
          <w:rFonts w:ascii="Microsoft YaHei" w:hAnsi="Microsoft YaHei" w:eastAsia="Microsoft YaHei" w:cs="Microsoft YaHei"/>
          <w:sz w:val="24"/>
          <w:szCs w:val="24"/>
          <w:b/>
          <w:bCs/>
          <w:color w:val="333333"/>
          <w:spacing w:val="-3"/>
        </w:rPr>
        <w:t>2 ） </w:t>
      </w:r>
      <w:r>
        <w:rPr>
          <w:rFonts w:ascii="Microsoft YaHei" w:hAnsi="Microsoft YaHei" w:eastAsia="Microsoft YaHei" w:cs="Microsoft YaHei"/>
          <w:sz w:val="24"/>
          <w:szCs w:val="24"/>
          <w:b/>
          <w:bCs/>
          <w:spacing w:val="-3"/>
        </w:rPr>
        <w:t>行政处罚决定事先告知书</w:t>
      </w:r>
    </w:p>
    <w:p>
      <w:pPr>
        <w:spacing w:before="117"/>
        <w:rPr/>
      </w:pPr>
      <w:r/>
    </w:p>
    <w:p>
      <w:pPr>
        <w:spacing w:before="116"/>
        <w:rPr/>
      </w:pPr>
      <w:r/>
    </w:p>
    <w:tbl>
      <w:tblPr>
        <w:tblStyle w:val="TableNormal"/>
        <w:tblW w:w="8053" w:type="dxa"/>
        <w:tblInd w:w="984"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387" w:hRule="atLeast"/>
        </w:trPr>
        <w:tc>
          <w:tcPr>
            <w:shd w:val="clear" w:fill="4F81BD"/>
            <w:tcW w:w="1214" w:type="dxa"/>
            <w:vAlign w:val="top"/>
            <w:tcBorders>
              <w:bottom w:val="single" w:color="FFFFFF" w:sz="2" w:space="0"/>
            </w:tcBorders>
          </w:tcPr>
          <w:p>
            <w:pPr>
              <w:pStyle w:val="TableText"/>
              <w:ind w:left="182"/>
              <w:spacing w:before="108" w:line="188" w:lineRule="auto"/>
              <w:rPr/>
            </w:pPr>
            <w:r>
              <w:rPr>
                <w:b/>
                <w:bCs/>
                <w:color w:val="FFFFFF"/>
                <w:spacing w:val="8"/>
              </w:rPr>
              <w:t>公司代码</w:t>
            </w:r>
          </w:p>
        </w:tc>
        <w:tc>
          <w:tcPr>
            <w:shd w:val="clear" w:fill="4F81BD"/>
            <w:tcW w:w="1343" w:type="dxa"/>
            <w:vAlign w:val="top"/>
            <w:tcBorders>
              <w:bottom w:val="single" w:color="FFFFFF" w:sz="2" w:space="0"/>
            </w:tcBorders>
          </w:tcPr>
          <w:p>
            <w:pPr>
              <w:pStyle w:val="TableText"/>
              <w:ind w:left="242"/>
              <w:spacing w:before="108" w:line="188" w:lineRule="auto"/>
              <w:rPr/>
            </w:pPr>
            <w:r>
              <w:rPr>
                <w:b/>
                <w:bCs/>
                <w:color w:val="FFFFFF"/>
                <w:spacing w:val="8"/>
              </w:rPr>
              <w:t>公司简称</w:t>
            </w:r>
          </w:p>
        </w:tc>
        <w:tc>
          <w:tcPr>
            <w:shd w:val="clear" w:fill="4F81BD"/>
            <w:tcW w:w="5496" w:type="dxa"/>
            <w:vAlign w:val="top"/>
            <w:tcBorders>
              <w:bottom w:val="single" w:color="FFFFFF" w:sz="2" w:space="0"/>
            </w:tcBorders>
          </w:tcPr>
          <w:p>
            <w:pPr>
              <w:pStyle w:val="TableText"/>
              <w:ind w:left="2321"/>
              <w:spacing w:before="108" w:line="188" w:lineRule="auto"/>
              <w:rPr/>
            </w:pPr>
            <w:r>
              <w:rPr>
                <w:b/>
                <w:bCs/>
                <w:color w:val="FFFFFF"/>
                <w:spacing w:val="8"/>
              </w:rPr>
              <w:t>违规行为</w:t>
            </w:r>
          </w:p>
        </w:tc>
      </w:tr>
      <w:tr>
        <w:trPr>
          <w:trHeight w:val="728" w:hRule="atLeast"/>
        </w:trPr>
        <w:tc>
          <w:tcPr>
            <w:shd w:val="clear" w:fill="B8CCE4"/>
            <w:tcW w:w="1214" w:type="dxa"/>
            <w:vAlign w:val="top"/>
            <w:tcBorders>
              <w:top w:val="single" w:color="FFFFFF" w:sz="2" w:space="0"/>
            </w:tcBorders>
          </w:tcPr>
          <w:p>
            <w:pPr>
              <w:pStyle w:val="TableText"/>
              <w:ind w:left="240"/>
              <w:spacing w:before="279" w:line="179" w:lineRule="auto"/>
              <w:rPr/>
            </w:pPr>
            <w:r>
              <w:rPr>
                <w:spacing w:val="3"/>
              </w:rPr>
              <w:t>603421</w:t>
            </w:r>
          </w:p>
        </w:tc>
        <w:tc>
          <w:tcPr>
            <w:shd w:val="clear" w:fill="B8CCE4"/>
            <w:tcW w:w="1343" w:type="dxa"/>
            <w:vAlign w:val="top"/>
            <w:tcBorders>
              <w:top w:val="single" w:color="FFFFFF" w:sz="2" w:space="0"/>
            </w:tcBorders>
          </w:tcPr>
          <w:p>
            <w:pPr>
              <w:pStyle w:val="TableText"/>
              <w:ind w:left="242"/>
              <w:spacing w:before="266" w:line="189" w:lineRule="auto"/>
              <w:rPr/>
            </w:pPr>
            <w:r>
              <w:rPr>
                <w:spacing w:val="8"/>
              </w:rPr>
              <w:t>鼎信通讯</w:t>
            </w:r>
          </w:p>
        </w:tc>
        <w:tc>
          <w:tcPr>
            <w:shd w:val="clear" w:fill="B8CCE4"/>
            <w:tcW w:w="5496" w:type="dxa"/>
            <w:vAlign w:val="top"/>
            <w:tcBorders>
              <w:top w:val="single" w:color="FFFFFF" w:sz="2" w:space="0"/>
            </w:tcBorders>
          </w:tcPr>
          <w:p>
            <w:pPr>
              <w:pStyle w:val="TableText"/>
              <w:ind w:left="100" w:right="133"/>
              <w:spacing w:before="88" w:line="220" w:lineRule="auto"/>
              <w:rPr/>
            </w:pPr>
            <w:r>
              <w:rPr>
                <w:spacing w:val="7"/>
              </w:rPr>
              <w:t>未及时披露生产经营的</w:t>
            </w:r>
            <w:r>
              <w:rPr>
                <w:b/>
                <w:bCs/>
                <w:spacing w:val="7"/>
              </w:rPr>
              <w:t>外部条件发生重大变化</w:t>
            </w:r>
            <w:r>
              <w:rPr>
                <w:spacing w:val="7"/>
              </w:rPr>
              <w:t>； 未及时披</w:t>
            </w:r>
            <w:r>
              <w:rPr>
                <w:spacing w:val="4"/>
              </w:rPr>
              <w:t xml:space="preserve"> </w:t>
            </w:r>
            <w:r>
              <w:rPr>
                <w:spacing w:val="9"/>
              </w:rPr>
              <w:t>露控股股东、实际控制人</w:t>
            </w:r>
            <w:r>
              <w:rPr>
                <w:b/>
                <w:bCs/>
                <w:spacing w:val="9"/>
              </w:rPr>
              <w:t>所持股份处分</w:t>
            </w:r>
            <w:r>
              <w:rPr>
                <w:spacing w:val="9"/>
              </w:rPr>
              <w:t>情况。</w:t>
            </w:r>
          </w:p>
        </w:tc>
      </w:tr>
      <w:tr>
        <w:trPr>
          <w:trHeight w:val="1803" w:hRule="atLeast"/>
        </w:trPr>
        <w:tc>
          <w:tcPr>
            <w:tcW w:w="8053" w:type="dxa"/>
            <w:vAlign w:val="top"/>
            <w:gridSpan w:val="3"/>
          </w:tcPr>
          <w:p>
            <w:pPr>
              <w:pStyle w:val="TableText"/>
              <w:ind w:left="103" w:right="102" w:firstLine="18"/>
              <w:spacing w:before="41" w:line="245" w:lineRule="auto"/>
              <w:jc w:val="both"/>
              <w:rPr/>
            </w:pPr>
            <w:r>
              <w:rPr>
                <w:b/>
                <w:bCs/>
                <w:spacing w:val="5"/>
              </w:rPr>
              <w:t>【行政处罚决定 （拟） 】</w:t>
            </w:r>
            <w:r>
              <w:rPr>
                <w:b/>
                <w:bCs/>
                <w:spacing w:val="-26"/>
              </w:rPr>
              <w:t xml:space="preserve"> </w:t>
            </w:r>
            <w:r>
              <w:rPr>
                <w:spacing w:val="5"/>
              </w:rPr>
              <w:t>中国证券监督管理委员会青岛监管局拟决定： 对青岛鼎信通</w:t>
            </w:r>
            <w:r>
              <w:rPr/>
              <w:t xml:space="preserve"> </w:t>
            </w:r>
            <w:r>
              <w:rPr>
                <w:spacing w:val="9"/>
              </w:rPr>
              <w:t>讯股份有限公司给予警告， 并处罚款70万元； 对董事长,实际控制人,控股股东王某华</w:t>
            </w:r>
            <w:r>
              <w:rPr>
                <w:spacing w:val="10"/>
              </w:rPr>
              <w:t xml:space="preserve"> </w:t>
            </w:r>
            <w:r>
              <w:rPr>
                <w:spacing w:val="5"/>
              </w:rPr>
              <w:t>给予警告， 并处罚款100万元； 对总经理曾某忆给予警告， 并处罚</w:t>
            </w:r>
            <w:r>
              <w:rPr>
                <w:spacing w:val="4"/>
              </w:rPr>
              <w:t>款50万元； 对董事</w:t>
            </w:r>
            <w:r>
              <w:rPr/>
              <w:t xml:space="preserve"> </w:t>
            </w:r>
            <w:r>
              <w:rPr>
                <w:spacing w:val="8"/>
              </w:rPr>
              <w:t>会秘书,高管葛某给予警告， 并处罚款30万元； 对高管袁某双给予警告， 并处罚</w:t>
            </w:r>
            <w:r>
              <w:rPr>
                <w:spacing w:val="7"/>
              </w:rPr>
              <w:t>款25</w:t>
            </w:r>
            <w:r>
              <w:rPr/>
              <w:t xml:space="preserve"> </w:t>
            </w:r>
            <w:r>
              <w:rPr>
                <w:spacing w:val="5"/>
              </w:rPr>
              <w:t>万元。</w:t>
            </w:r>
          </w:p>
        </w:tc>
      </w:tr>
      <w:tr>
        <w:trPr>
          <w:trHeight w:val="723" w:hRule="atLeast"/>
        </w:trPr>
        <w:tc>
          <w:tcPr>
            <w:shd w:val="clear" w:fill="B8CCE4"/>
            <w:tcW w:w="1214" w:type="dxa"/>
            <w:vAlign w:val="top"/>
          </w:tcPr>
          <w:p>
            <w:pPr>
              <w:pStyle w:val="TableText"/>
              <w:ind w:left="240"/>
              <w:spacing w:before="280" w:line="178" w:lineRule="auto"/>
              <w:rPr/>
            </w:pPr>
            <w:r>
              <w:rPr>
                <w:spacing w:val="3"/>
              </w:rPr>
              <w:t>603879</w:t>
            </w:r>
          </w:p>
        </w:tc>
        <w:tc>
          <w:tcPr>
            <w:shd w:val="clear" w:fill="B8CCE4"/>
            <w:tcW w:w="1343" w:type="dxa"/>
            <w:vAlign w:val="top"/>
          </w:tcPr>
          <w:p>
            <w:pPr>
              <w:pStyle w:val="TableText"/>
              <w:ind w:left="241"/>
              <w:spacing w:before="265" w:line="189" w:lineRule="auto"/>
              <w:rPr/>
            </w:pPr>
            <w:r>
              <w:rPr>
                <w:spacing w:val="8"/>
              </w:rPr>
              <w:t>永悦科技</w:t>
            </w:r>
          </w:p>
        </w:tc>
        <w:tc>
          <w:tcPr>
            <w:shd w:val="clear" w:fill="B8CCE4"/>
            <w:tcW w:w="5496" w:type="dxa"/>
            <w:vAlign w:val="top"/>
          </w:tcPr>
          <w:p>
            <w:pPr>
              <w:pStyle w:val="TableText"/>
              <w:ind w:left="102" w:right="105" w:hanging="1"/>
              <w:spacing w:before="86" w:line="219" w:lineRule="auto"/>
              <w:rPr/>
            </w:pPr>
            <w:r>
              <w:rPr>
                <w:spacing w:val="8"/>
              </w:rPr>
              <w:t>涉嫌重大合同临时公告存在</w:t>
            </w:r>
            <w:r>
              <w:rPr>
                <w:b/>
                <w:bCs/>
                <w:spacing w:val="8"/>
              </w:rPr>
              <w:t>误导性陈述</w:t>
            </w:r>
            <w:r>
              <w:rPr>
                <w:spacing w:val="8"/>
              </w:rPr>
              <w:t>； 涉嫌未及时披露</w:t>
            </w:r>
            <w:r>
              <w:rPr>
                <w:spacing w:val="6"/>
              </w:rPr>
              <w:t xml:space="preserve"> </w:t>
            </w:r>
            <w:r>
              <w:rPr>
                <w:spacing w:val="9"/>
              </w:rPr>
              <w:t>关联方</w:t>
            </w:r>
            <w:r>
              <w:rPr>
                <w:b/>
                <w:bCs/>
                <w:spacing w:val="9"/>
              </w:rPr>
              <w:t>非经营性资金占用</w:t>
            </w:r>
            <w:r>
              <w:rPr>
                <w:spacing w:val="9"/>
              </w:rPr>
              <w:t>和定期报告存在</w:t>
            </w:r>
            <w:r>
              <w:rPr>
                <w:b/>
                <w:bCs/>
                <w:spacing w:val="9"/>
              </w:rPr>
              <w:t>重大遗漏</w:t>
            </w:r>
            <w:r>
              <w:rPr>
                <w:spacing w:val="9"/>
              </w:rPr>
              <w:t>。</w:t>
            </w:r>
          </w:p>
        </w:tc>
      </w:tr>
      <w:tr>
        <w:trPr>
          <w:trHeight w:val="3250" w:hRule="atLeast"/>
        </w:trPr>
        <w:tc>
          <w:tcPr>
            <w:tcW w:w="8053" w:type="dxa"/>
            <w:vAlign w:val="top"/>
            <w:gridSpan w:val="3"/>
          </w:tcPr>
          <w:p>
            <w:pPr>
              <w:pStyle w:val="TableText"/>
              <w:ind w:left="121"/>
              <w:spacing w:before="46" w:line="233" w:lineRule="auto"/>
              <w:rPr/>
            </w:pPr>
            <w:r>
              <w:rPr>
                <w:b/>
                <w:bCs/>
                <w:spacing w:val="4"/>
              </w:rPr>
              <w:t>【行政处罚决定 （拟） 】</w:t>
            </w:r>
            <w:r>
              <w:rPr>
                <w:b/>
                <w:bCs/>
                <w:spacing w:val="-30"/>
              </w:rPr>
              <w:t xml:space="preserve"> </w:t>
            </w:r>
            <w:r>
              <w:rPr>
                <w:spacing w:val="4"/>
              </w:rPr>
              <w:t>中国证券监督管理委员会江苏监管局拟决定:</w:t>
            </w:r>
          </w:p>
          <w:p>
            <w:pPr>
              <w:pStyle w:val="TableText"/>
              <w:ind w:left="137"/>
              <w:spacing w:before="30" w:line="229" w:lineRule="auto"/>
              <w:rPr/>
            </w:pPr>
            <w:r>
              <w:rPr>
                <w:spacing w:val="4"/>
              </w:rPr>
              <w:t>（一） 对永悦科技股份有限公司给予警告， 并处以一千三百万元罚款；</w:t>
            </w:r>
          </w:p>
          <w:p>
            <w:pPr>
              <w:pStyle w:val="TableText"/>
              <w:ind w:left="137"/>
              <w:spacing w:before="32" w:line="229" w:lineRule="auto"/>
              <w:rPr/>
            </w:pPr>
            <w:r>
              <w:rPr>
                <w:spacing w:val="4"/>
              </w:rPr>
              <w:t>（二） 对董事长,实际控制人陈某给予警告， 并处以一千零五十万元罚款；</w:t>
            </w:r>
          </w:p>
          <w:p>
            <w:pPr>
              <w:pStyle w:val="TableText"/>
              <w:ind w:left="137"/>
              <w:spacing w:before="32" w:line="229" w:lineRule="auto"/>
              <w:rPr/>
            </w:pPr>
            <w:r>
              <w:rPr>
                <w:spacing w:val="4"/>
              </w:rPr>
              <w:t>（三） 对时任董秘,时任财务总监朱某宝给予警告， 并处以一百万元罚款；</w:t>
            </w:r>
          </w:p>
          <w:p>
            <w:pPr>
              <w:pStyle w:val="TableText"/>
              <w:ind w:left="137"/>
              <w:spacing w:before="32" w:line="229" w:lineRule="auto"/>
              <w:rPr/>
            </w:pPr>
            <w:r>
              <w:rPr>
                <w:spacing w:val="3"/>
              </w:rPr>
              <w:t>（四） 对总经理徐某达给予警告， 并处以七十万元罚款。</w:t>
            </w:r>
          </w:p>
          <w:p>
            <w:pPr>
              <w:pStyle w:val="TableText"/>
              <w:ind w:left="104" w:right="102" w:firstLine="8"/>
              <w:spacing w:before="73" w:line="236" w:lineRule="auto"/>
              <w:jc w:val="both"/>
              <w:rPr/>
            </w:pPr>
            <w:r>
              <w:rPr>
                <w:spacing w:val="8"/>
              </w:rPr>
              <w:t>当事人陈某作为永悦科技董事长和实际控制人， 其主导， </w:t>
            </w:r>
            <w:r>
              <w:rPr>
                <w:spacing w:val="7"/>
              </w:rPr>
              <w:t>策划、指挥、实施了公司全</w:t>
            </w:r>
            <w:r>
              <w:rPr/>
              <w:t xml:space="preserve"> </w:t>
            </w:r>
            <w:r>
              <w:rPr>
                <w:spacing w:val="8"/>
              </w:rPr>
              <w:t>部的信息披露违法行为， 违法行为情节严重， 依据《证券法》第二百二十一条</w:t>
            </w:r>
            <w:r>
              <w:rPr>
                <w:spacing w:val="7"/>
              </w:rPr>
              <w:t>、《证</w:t>
            </w:r>
            <w:r>
              <w:rPr/>
              <w:t xml:space="preserve"> </w:t>
            </w:r>
            <w:r>
              <w:rPr>
                <w:spacing w:val="13"/>
              </w:rPr>
              <w:t>券市场禁入规定》</w:t>
            </w:r>
            <w:r>
              <w:rPr>
                <w:spacing w:val="-22"/>
              </w:rPr>
              <w:t xml:space="preserve"> </w:t>
            </w:r>
            <w:r>
              <w:rPr>
                <w:spacing w:val="13"/>
              </w:rPr>
              <w:t>(证监会令第185号)第三条第一项、第四条第一款第一项、第五条</w:t>
            </w:r>
            <w:r>
              <w:rPr/>
              <w:t xml:space="preserve"> </w:t>
            </w:r>
            <w:r>
              <w:rPr>
                <w:spacing w:val="7"/>
              </w:rPr>
              <w:t>和第七条第一款的规定， 拟对陈某采取5年的证券市场禁入措施。</w:t>
            </w:r>
          </w:p>
        </w:tc>
      </w:tr>
    </w:tbl>
    <w:p>
      <w:pPr>
        <w:pStyle w:val="BodyText"/>
        <w:rPr/>
      </w:pPr>
      <w:r/>
    </w:p>
    <w:p>
      <w:pPr>
        <w:sectPr>
          <w:pgSz w:w="11910" w:h="16840"/>
          <w:pgMar w:top="400" w:right="1786" w:bottom="0" w:left="478" w:header="0" w:footer="0" w:gutter="0"/>
        </w:sectPr>
        <w:rPr/>
      </w:pPr>
    </w:p>
    <w:p>
      <w:pPr>
        <w:spacing w:before="311"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4"/>
        </w:rPr>
        <w:t>（</w:t>
      </w:r>
      <w:r>
        <w:rPr>
          <w:rFonts w:ascii="Microsoft YaHei" w:hAnsi="Microsoft YaHei" w:eastAsia="Microsoft YaHei" w:cs="Microsoft YaHei"/>
          <w:sz w:val="24"/>
          <w:szCs w:val="24"/>
          <w:b/>
          <w:bCs/>
          <w:color w:val="333333"/>
          <w:spacing w:val="32"/>
        </w:rPr>
        <w:t xml:space="preserve"> </w:t>
      </w:r>
      <w:r>
        <w:rPr>
          <w:rFonts w:ascii="Microsoft YaHei" w:hAnsi="Microsoft YaHei" w:eastAsia="Microsoft YaHei" w:cs="Microsoft YaHei"/>
          <w:sz w:val="24"/>
          <w:szCs w:val="24"/>
          <w:b/>
          <w:bCs/>
          <w:color w:val="333333"/>
          <w:spacing w:val="-4"/>
        </w:rPr>
        <w:t>3 ） 行政监管措施</w:t>
      </w:r>
    </w:p>
    <w:p>
      <w:pPr>
        <w:spacing w:before="168"/>
        <w:rPr/>
      </w:pPr>
      <w:r/>
    </w:p>
    <w:tbl>
      <w:tblPr>
        <w:tblStyle w:val="TableNormal"/>
        <w:tblW w:w="9043" w:type="dxa"/>
        <w:tblInd w:w="820"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366"/>
        <w:gridCol w:w="1416"/>
        <w:gridCol w:w="6261"/>
      </w:tblGrid>
      <w:tr>
        <w:trPr>
          <w:trHeight w:val="439" w:hRule="atLeast"/>
        </w:trPr>
        <w:tc>
          <w:tcPr>
            <w:shd w:val="clear" w:fill="4F81BD"/>
            <w:tcW w:w="1366" w:type="dxa"/>
            <w:vAlign w:val="top"/>
            <w:tcBorders>
              <w:bottom w:val="single" w:color="FFFFFF" w:sz="2" w:space="0"/>
            </w:tcBorders>
          </w:tcPr>
          <w:p>
            <w:pPr>
              <w:pStyle w:val="TableText"/>
              <w:ind w:left="257"/>
              <w:spacing w:before="134" w:line="189" w:lineRule="auto"/>
              <w:rPr/>
            </w:pPr>
            <w:r>
              <w:rPr>
                <w:b/>
                <w:bCs/>
                <w:color w:val="FFFFFF"/>
                <w:spacing w:val="8"/>
              </w:rPr>
              <w:t>公司代码</w:t>
            </w:r>
          </w:p>
        </w:tc>
        <w:tc>
          <w:tcPr>
            <w:shd w:val="clear" w:fill="4F81BD"/>
            <w:tcW w:w="1416" w:type="dxa"/>
            <w:vAlign w:val="top"/>
            <w:tcBorders>
              <w:bottom w:val="single" w:color="FFFFFF" w:sz="2" w:space="0"/>
            </w:tcBorders>
          </w:tcPr>
          <w:p>
            <w:pPr>
              <w:pStyle w:val="TableText"/>
              <w:ind w:left="281"/>
              <w:spacing w:before="134" w:line="189" w:lineRule="auto"/>
              <w:rPr/>
            </w:pPr>
            <w:r>
              <w:rPr>
                <w:b/>
                <w:bCs/>
                <w:color w:val="FFFFFF"/>
                <w:spacing w:val="8"/>
              </w:rPr>
              <w:t>公司简称</w:t>
            </w:r>
          </w:p>
        </w:tc>
        <w:tc>
          <w:tcPr>
            <w:shd w:val="clear" w:fill="4F81BD"/>
            <w:tcW w:w="6261" w:type="dxa"/>
            <w:vAlign w:val="top"/>
            <w:tcBorders>
              <w:bottom w:val="single" w:color="FFFFFF" w:sz="2" w:space="0"/>
            </w:tcBorders>
          </w:tcPr>
          <w:p>
            <w:pPr>
              <w:pStyle w:val="TableText"/>
              <w:ind w:left="2704"/>
              <w:spacing w:before="134" w:line="189" w:lineRule="auto"/>
              <w:rPr/>
            </w:pPr>
            <w:r>
              <w:rPr>
                <w:b/>
                <w:bCs/>
                <w:color w:val="FFFFFF"/>
                <w:spacing w:val="8"/>
              </w:rPr>
              <w:t>违规行为</w:t>
            </w:r>
          </w:p>
        </w:tc>
      </w:tr>
      <w:tr>
        <w:trPr>
          <w:trHeight w:val="1265" w:hRule="atLeast"/>
        </w:trPr>
        <w:tc>
          <w:tcPr>
            <w:shd w:val="clear" w:fill="B8CCE4"/>
            <w:tcW w:w="1366" w:type="dxa"/>
            <w:vAlign w:val="top"/>
            <w:tcBorders>
              <w:top w:val="single" w:color="FFFFFF" w:sz="2" w:space="0"/>
            </w:tcBorders>
          </w:tcPr>
          <w:p>
            <w:pPr>
              <w:spacing w:line="458" w:lineRule="auto"/>
              <w:rPr>
                <w:rFonts w:ascii="Arial"/>
                <w:sz w:val="21"/>
              </w:rPr>
            </w:pPr>
            <w:r/>
          </w:p>
          <w:p>
            <w:pPr>
              <w:pStyle w:val="TableText"/>
              <w:ind w:left="316"/>
              <w:spacing w:before="86" w:line="178" w:lineRule="auto"/>
              <w:rPr/>
            </w:pPr>
            <w:r>
              <w:rPr>
                <w:spacing w:val="3"/>
              </w:rPr>
              <w:t>600837</w:t>
            </w:r>
          </w:p>
        </w:tc>
        <w:tc>
          <w:tcPr>
            <w:shd w:val="clear" w:fill="B8CCE4"/>
            <w:tcW w:w="1416" w:type="dxa"/>
            <w:vAlign w:val="top"/>
            <w:tcBorders>
              <w:top w:val="single" w:color="FFFFFF" w:sz="2" w:space="0"/>
            </w:tcBorders>
          </w:tcPr>
          <w:p>
            <w:pPr>
              <w:spacing w:line="444" w:lineRule="auto"/>
              <w:rPr>
                <w:rFonts w:ascii="Arial"/>
                <w:sz w:val="21"/>
              </w:rPr>
            </w:pPr>
            <w:r/>
          </w:p>
          <w:p>
            <w:pPr>
              <w:pStyle w:val="TableText"/>
              <w:ind w:left="280"/>
              <w:spacing w:before="86" w:line="189" w:lineRule="auto"/>
              <w:rPr/>
            </w:pPr>
            <w:r>
              <w:rPr>
                <w:spacing w:val="8"/>
              </w:rPr>
              <w:t>海通证券</w:t>
            </w:r>
          </w:p>
        </w:tc>
        <w:tc>
          <w:tcPr>
            <w:shd w:val="clear" w:fill="B8CCE4"/>
            <w:tcW w:w="6261" w:type="dxa"/>
            <w:vAlign w:val="top"/>
            <w:tcBorders>
              <w:top w:val="single" w:color="FFFFFF" w:sz="2" w:space="0"/>
            </w:tcBorders>
          </w:tcPr>
          <w:p>
            <w:pPr>
              <w:spacing w:line="298" w:lineRule="auto"/>
              <w:rPr>
                <w:rFonts w:ascii="Arial"/>
                <w:sz w:val="21"/>
              </w:rPr>
            </w:pPr>
            <w:r/>
          </w:p>
          <w:p>
            <w:pPr>
              <w:pStyle w:val="TableText"/>
              <w:ind w:left="109" w:right="271" w:hanging="10"/>
              <w:spacing w:before="86" w:line="250" w:lineRule="auto"/>
              <w:rPr/>
            </w:pPr>
            <w:r>
              <w:rPr>
                <w:spacing w:val="7"/>
              </w:rPr>
              <w:t>未审慎评估个别股票质押合约标的证券的风险， 股票质押业务风</w:t>
            </w:r>
            <w:r>
              <w:rPr>
                <w:spacing w:val="11"/>
              </w:rPr>
              <w:t xml:space="preserve"> </w:t>
            </w:r>
            <w:r>
              <w:rPr>
                <w:spacing w:val="6"/>
              </w:rPr>
              <w:t>险管理不审慎， 未审慎评估个别股票质押合约融资资金用途。</w:t>
            </w:r>
          </w:p>
        </w:tc>
      </w:tr>
      <w:tr>
        <w:trPr>
          <w:trHeight w:val="804" w:hRule="atLeast"/>
        </w:trPr>
        <w:tc>
          <w:tcPr>
            <w:tcW w:w="9043" w:type="dxa"/>
            <w:vAlign w:val="top"/>
            <w:gridSpan w:val="3"/>
          </w:tcPr>
          <w:p>
            <w:pPr>
              <w:pStyle w:val="TableText"/>
              <w:ind w:left="104" w:right="103" w:firstLine="18"/>
              <w:spacing w:before="78" w:line="248" w:lineRule="auto"/>
              <w:rPr/>
            </w:pPr>
            <w:r>
              <w:rPr>
                <w:b/>
                <w:bCs/>
                <w:spacing w:val="9"/>
              </w:rPr>
              <w:t>【行政监管措施】</w:t>
            </w:r>
            <w:r>
              <w:rPr>
                <w:b/>
                <w:bCs/>
                <w:spacing w:val="-34"/>
              </w:rPr>
              <w:t xml:space="preserve"> </w:t>
            </w:r>
            <w:r>
              <w:rPr>
                <w:spacing w:val="9"/>
              </w:rPr>
              <w:t>中国证券监督管理委员会上海监管局决定对从业人员陈某钱采取监管谈</w:t>
            </w:r>
            <w:r>
              <w:rPr>
                <w:spacing w:val="8"/>
              </w:rPr>
              <w:t>话的措</w:t>
            </w:r>
            <w:r>
              <w:rPr/>
              <w:t xml:space="preserve"> </w:t>
            </w:r>
            <w:r>
              <w:rPr>
                <w:spacing w:val="3"/>
              </w:rPr>
              <w:t>施。</w:t>
            </w:r>
          </w:p>
        </w:tc>
      </w:tr>
      <w:tr>
        <w:trPr>
          <w:trHeight w:val="1582" w:hRule="atLeast"/>
        </w:trPr>
        <w:tc>
          <w:tcPr>
            <w:shd w:val="clear" w:fill="B8CCE4"/>
            <w:tcW w:w="1366" w:type="dxa"/>
            <w:vAlign w:val="top"/>
          </w:tcPr>
          <w:p>
            <w:pPr>
              <w:spacing w:line="308" w:lineRule="auto"/>
              <w:rPr>
                <w:rFonts w:ascii="Arial"/>
                <w:sz w:val="21"/>
              </w:rPr>
            </w:pPr>
            <w:r/>
          </w:p>
          <w:p>
            <w:pPr>
              <w:spacing w:line="309" w:lineRule="auto"/>
              <w:rPr>
                <w:rFonts w:ascii="Arial"/>
                <w:sz w:val="21"/>
              </w:rPr>
            </w:pPr>
            <w:r/>
          </w:p>
          <w:p>
            <w:pPr>
              <w:pStyle w:val="TableText"/>
              <w:ind w:left="316"/>
              <w:spacing w:before="85" w:line="178" w:lineRule="auto"/>
              <w:rPr/>
            </w:pPr>
            <w:r>
              <w:rPr>
                <w:spacing w:val="3"/>
              </w:rPr>
              <w:t>600837</w:t>
            </w:r>
          </w:p>
        </w:tc>
        <w:tc>
          <w:tcPr>
            <w:shd w:val="clear" w:fill="B8CCE4"/>
            <w:tcW w:w="1416" w:type="dxa"/>
            <w:vAlign w:val="top"/>
          </w:tcPr>
          <w:p>
            <w:pPr>
              <w:spacing w:line="301" w:lineRule="auto"/>
              <w:rPr>
                <w:rFonts w:ascii="Arial"/>
                <w:sz w:val="21"/>
              </w:rPr>
            </w:pPr>
            <w:r/>
          </w:p>
          <w:p>
            <w:pPr>
              <w:spacing w:line="301" w:lineRule="auto"/>
              <w:rPr>
                <w:rFonts w:ascii="Arial"/>
                <w:sz w:val="21"/>
              </w:rPr>
            </w:pPr>
            <w:r/>
          </w:p>
          <w:p>
            <w:pPr>
              <w:pStyle w:val="TableText"/>
              <w:ind w:left="280"/>
              <w:spacing w:before="86" w:line="189" w:lineRule="auto"/>
              <w:rPr/>
            </w:pPr>
            <w:r>
              <w:rPr>
                <w:spacing w:val="8"/>
              </w:rPr>
              <w:t>海通证券</w:t>
            </w:r>
          </w:p>
        </w:tc>
        <w:tc>
          <w:tcPr>
            <w:shd w:val="clear" w:fill="B8CCE4"/>
            <w:tcW w:w="6261" w:type="dxa"/>
            <w:vAlign w:val="top"/>
          </w:tcPr>
          <w:p>
            <w:pPr>
              <w:rPr>
                <w:rFonts w:ascii="Arial"/>
                <w:sz w:val="21"/>
              </w:rPr>
            </w:pPr>
            <w:r/>
          </w:p>
          <w:p>
            <w:pPr>
              <w:pStyle w:val="TableText"/>
              <w:ind w:left="99" w:right="103"/>
              <w:spacing w:before="86" w:line="251" w:lineRule="auto"/>
              <w:jc w:val="both"/>
              <w:rPr/>
            </w:pPr>
            <w:r>
              <w:rPr>
                <w:spacing w:val="13"/>
              </w:rPr>
              <w:t>未审慎开展收益互换业务， 与个别风险管理需求不足的客户开展</w:t>
            </w:r>
            <w:r>
              <w:rPr>
                <w:spacing w:val="5"/>
              </w:rPr>
              <w:t xml:space="preserve"> </w:t>
            </w:r>
            <w:r>
              <w:rPr>
                <w:spacing w:val="13"/>
              </w:rPr>
              <w:t>场外期权业务； 另类投资子公司投资的个别私募基金实际投资标</w:t>
            </w:r>
            <w:r>
              <w:rPr>
                <w:spacing w:val="5"/>
              </w:rPr>
              <w:t xml:space="preserve"> </w:t>
            </w:r>
            <w:r>
              <w:rPr>
                <w:spacing w:val="8"/>
              </w:rPr>
              <w:t>的超出另类投资子公司业务范围。</w:t>
            </w:r>
          </w:p>
        </w:tc>
      </w:tr>
      <w:tr>
        <w:trPr>
          <w:trHeight w:val="804" w:hRule="atLeast"/>
        </w:trPr>
        <w:tc>
          <w:tcPr>
            <w:tcW w:w="9043" w:type="dxa"/>
            <w:vAlign w:val="top"/>
            <w:gridSpan w:val="3"/>
          </w:tcPr>
          <w:p>
            <w:pPr>
              <w:pStyle w:val="TableText"/>
              <w:ind w:left="104" w:right="103" w:firstLine="18"/>
              <w:spacing w:before="81" w:line="248" w:lineRule="auto"/>
              <w:rPr/>
            </w:pPr>
            <w:r>
              <w:rPr>
                <w:b/>
                <w:bCs/>
                <w:spacing w:val="9"/>
              </w:rPr>
              <w:t>【行政监管措施】</w:t>
            </w:r>
            <w:r>
              <w:rPr>
                <w:b/>
                <w:bCs/>
                <w:spacing w:val="-34"/>
              </w:rPr>
              <w:t xml:space="preserve"> </w:t>
            </w:r>
            <w:r>
              <w:rPr>
                <w:spacing w:val="9"/>
              </w:rPr>
              <w:t>中国证券监督管理委员会上海监管局决定对时任高管潘某韬采取监管谈</w:t>
            </w:r>
            <w:r>
              <w:rPr>
                <w:spacing w:val="8"/>
              </w:rPr>
              <w:t>话的措</w:t>
            </w:r>
            <w:r>
              <w:rPr/>
              <w:t xml:space="preserve"> </w:t>
            </w:r>
            <w:r>
              <w:rPr>
                <w:spacing w:val="3"/>
              </w:rPr>
              <w:t>施。</w:t>
            </w:r>
          </w:p>
        </w:tc>
      </w:tr>
      <w:tr>
        <w:trPr>
          <w:trHeight w:val="2362" w:hRule="atLeast"/>
        </w:trPr>
        <w:tc>
          <w:tcPr>
            <w:shd w:val="clear" w:fill="B8CCE4"/>
            <w:tcW w:w="1366" w:type="dxa"/>
            <w:vAlign w:val="top"/>
          </w:tcPr>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pStyle w:val="TableText"/>
              <w:ind w:left="318"/>
              <w:spacing w:before="85" w:line="178" w:lineRule="auto"/>
              <w:rPr/>
            </w:pPr>
            <w:r>
              <w:rPr>
                <w:spacing w:val="3"/>
              </w:rPr>
              <w:t>300247</w:t>
            </w:r>
          </w:p>
        </w:tc>
        <w:tc>
          <w:tcPr>
            <w:shd w:val="clear" w:fill="B8CCE4"/>
            <w:tcW w:w="1416" w:type="dxa"/>
            <w:vAlign w:val="top"/>
          </w:tcPr>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pStyle w:val="TableText"/>
              <w:ind w:left="287"/>
              <w:spacing w:before="86" w:line="189" w:lineRule="auto"/>
              <w:rPr/>
            </w:pPr>
            <w:r>
              <w:rPr>
                <w:spacing w:val="6"/>
              </w:rPr>
              <w:t>融捷健康</w:t>
            </w:r>
          </w:p>
        </w:tc>
        <w:tc>
          <w:tcPr>
            <w:shd w:val="clear" w:fill="B8CCE4"/>
            <w:tcW w:w="6261" w:type="dxa"/>
            <w:vAlign w:val="top"/>
          </w:tcPr>
          <w:p>
            <w:pPr>
              <w:spacing w:line="278" w:lineRule="auto"/>
              <w:rPr>
                <w:rFonts w:ascii="Arial"/>
                <w:sz w:val="21"/>
              </w:rPr>
            </w:pPr>
            <w:r/>
          </w:p>
          <w:p>
            <w:pPr>
              <w:pStyle w:val="TableText"/>
              <w:ind w:left="98" w:right="102" w:firstLine="1"/>
              <w:spacing w:before="86" w:line="247" w:lineRule="auto"/>
              <w:jc w:val="both"/>
              <w:rPr/>
            </w:pPr>
            <w:r>
              <w:rPr>
                <w:spacing w:val="13"/>
              </w:rPr>
              <w:t>大股东及其一致行动人因华泰证券协助执行法院裁定书， 股份减</w:t>
            </w:r>
            <w:r>
              <w:rPr>
                <w:spacing w:val="5"/>
              </w:rPr>
              <w:t xml:space="preserve"> </w:t>
            </w:r>
            <w:r>
              <w:rPr>
                <w:spacing w:val="11"/>
              </w:rPr>
              <w:t>持</w:t>
            </w:r>
            <w:r>
              <w:rPr>
                <w:b/>
                <w:bCs/>
                <w:spacing w:val="11"/>
              </w:rPr>
              <w:t>距离减持计划披露日不足15个交易日</w:t>
            </w:r>
            <w:r>
              <w:rPr>
                <w:spacing w:val="11"/>
              </w:rPr>
              <w:t>且</w:t>
            </w:r>
            <w:r>
              <w:rPr>
                <w:b/>
                <w:bCs/>
                <w:spacing w:val="11"/>
              </w:rPr>
              <w:t>超出</w:t>
            </w:r>
            <w:r>
              <w:rPr>
                <w:spacing w:val="11"/>
              </w:rPr>
              <w:t>减持计划588.84万</w:t>
            </w:r>
            <w:r>
              <w:rPr>
                <w:spacing w:val="10"/>
              </w:rPr>
              <w:t xml:space="preserve"> </w:t>
            </w:r>
            <w:r>
              <w:rPr>
                <w:spacing w:val="11"/>
              </w:rPr>
              <w:t>股。大股东在3个月内通过证券交易所集中竞价交易减持股份的数</w:t>
            </w:r>
            <w:r>
              <w:rPr>
                <w:spacing w:val="7"/>
              </w:rPr>
              <w:t xml:space="preserve"> </w:t>
            </w:r>
            <w:r>
              <w:rPr>
                <w:spacing w:val="9"/>
              </w:rPr>
              <w:t>量超过公司股份总数的</w:t>
            </w:r>
            <w:r>
              <w:rPr>
                <w:b/>
                <w:bCs/>
                <w:spacing w:val="9"/>
              </w:rPr>
              <w:t>1%</w:t>
            </w:r>
            <w:r>
              <w:rPr>
                <w:spacing w:val="9"/>
              </w:rPr>
              <w:t>， 且未及时履行权益变动报告、公告义</w:t>
            </w:r>
            <w:r>
              <w:rPr>
                <w:spacing w:val="4"/>
              </w:rPr>
              <w:t xml:space="preserve"> </w:t>
            </w:r>
            <w:r>
              <w:rPr>
                <w:spacing w:val="3"/>
              </w:rPr>
              <w:t>务。</w:t>
            </w:r>
          </w:p>
        </w:tc>
      </w:tr>
      <w:tr>
        <w:trPr>
          <w:trHeight w:val="1193" w:hRule="atLeast"/>
        </w:trPr>
        <w:tc>
          <w:tcPr>
            <w:tcW w:w="9043" w:type="dxa"/>
            <w:vAlign w:val="top"/>
            <w:gridSpan w:val="3"/>
          </w:tcPr>
          <w:p>
            <w:pPr>
              <w:pStyle w:val="TableText"/>
              <w:ind w:left="105" w:right="103" w:firstLine="17"/>
              <w:spacing w:before="278" w:line="248" w:lineRule="auto"/>
              <w:rPr/>
            </w:pPr>
            <w:r>
              <w:rPr>
                <w:b/>
                <w:bCs/>
                <w:spacing w:val="9"/>
              </w:rPr>
              <w:t>【行政监管措施】</w:t>
            </w:r>
            <w:r>
              <w:rPr>
                <w:b/>
                <w:bCs/>
                <w:spacing w:val="-34"/>
              </w:rPr>
              <w:t xml:space="preserve"> </w:t>
            </w:r>
            <w:r>
              <w:rPr>
                <w:spacing w:val="9"/>
              </w:rPr>
              <w:t>中国证券监督管理委员会安徽监管局决定对大股东马某琴采取出具警示</w:t>
            </w:r>
            <w:r>
              <w:rPr>
                <w:spacing w:val="8"/>
              </w:rPr>
              <w:t>函的行</w:t>
            </w:r>
            <w:r>
              <w:rPr/>
              <w:t xml:space="preserve"> </w:t>
            </w:r>
            <w:r>
              <w:rPr>
                <w:spacing w:val="6"/>
              </w:rPr>
              <w:t>政监管措施， 并将相关情况记入证券期货市场诚信档案。</w:t>
            </w:r>
          </w:p>
        </w:tc>
      </w:tr>
      <w:tr>
        <w:trPr>
          <w:trHeight w:val="804" w:hRule="atLeast"/>
        </w:trPr>
        <w:tc>
          <w:tcPr>
            <w:shd w:val="clear" w:fill="B8CCE4"/>
            <w:tcW w:w="1366" w:type="dxa"/>
            <w:vAlign w:val="top"/>
          </w:tcPr>
          <w:p>
            <w:pPr>
              <w:pStyle w:val="TableText"/>
              <w:ind w:left="316"/>
              <w:spacing w:before="324" w:line="178" w:lineRule="auto"/>
              <w:rPr/>
            </w:pPr>
            <w:r>
              <w:rPr>
                <w:spacing w:val="3"/>
              </w:rPr>
              <w:t>688555</w:t>
            </w:r>
          </w:p>
        </w:tc>
        <w:tc>
          <w:tcPr>
            <w:shd w:val="clear" w:fill="B8CCE4"/>
            <w:tcW w:w="1416" w:type="dxa"/>
            <w:vAlign w:val="top"/>
          </w:tcPr>
          <w:p>
            <w:pPr>
              <w:pStyle w:val="TableText"/>
              <w:ind w:left="279"/>
              <w:spacing w:before="307" w:line="190" w:lineRule="auto"/>
              <w:rPr/>
            </w:pPr>
            <w:r>
              <w:rPr>
                <w:spacing w:val="8"/>
              </w:rPr>
              <w:t>退市泽达</w:t>
            </w:r>
          </w:p>
        </w:tc>
        <w:tc>
          <w:tcPr>
            <w:shd w:val="clear" w:fill="B8CCE4"/>
            <w:tcW w:w="6261" w:type="dxa"/>
            <w:vAlign w:val="top"/>
          </w:tcPr>
          <w:p>
            <w:pPr>
              <w:pStyle w:val="TableText"/>
              <w:ind w:left="110" w:right="103" w:firstLine="2"/>
              <w:spacing w:before="127" w:line="233" w:lineRule="auto"/>
              <w:rPr/>
            </w:pPr>
            <w:r>
              <w:rPr>
                <w:spacing w:val="15"/>
              </w:rPr>
              <w:t>回购期限届满时</w:t>
            </w:r>
            <w:r>
              <w:rPr>
                <w:b/>
                <w:bCs/>
                <w:spacing w:val="15"/>
              </w:rPr>
              <w:t>回购金额低于</w:t>
            </w:r>
            <w:r>
              <w:rPr>
                <w:spacing w:val="15"/>
              </w:rPr>
              <w:t>回购报告书约定的回购资金总额下</w:t>
            </w:r>
            <w:r>
              <w:rPr>
                <w:spacing w:val="9"/>
              </w:rPr>
              <w:t xml:space="preserve"> </w:t>
            </w:r>
            <w:r>
              <w:rPr>
                <w:spacing w:val="-3"/>
              </w:rPr>
              <w:t>限。</w:t>
            </w:r>
          </w:p>
        </w:tc>
      </w:tr>
      <w:tr>
        <w:trPr>
          <w:trHeight w:val="1193" w:hRule="atLeast"/>
        </w:trPr>
        <w:tc>
          <w:tcPr>
            <w:tcW w:w="9043" w:type="dxa"/>
            <w:vAlign w:val="top"/>
            <w:gridSpan w:val="3"/>
          </w:tcPr>
          <w:p>
            <w:pPr>
              <w:pStyle w:val="TableText"/>
              <w:ind w:left="108" w:right="103" w:firstLine="14"/>
              <w:spacing w:before="282" w:line="248" w:lineRule="auto"/>
              <w:rPr/>
            </w:pPr>
            <w:r>
              <w:rPr>
                <w:b/>
                <w:bCs/>
                <w:spacing w:val="6"/>
              </w:rPr>
              <w:t>【行政监管措施】</w:t>
            </w:r>
            <w:r>
              <w:rPr>
                <w:b/>
                <w:bCs/>
                <w:spacing w:val="-34"/>
              </w:rPr>
              <w:t xml:space="preserve"> </w:t>
            </w:r>
            <w:r>
              <w:rPr>
                <w:spacing w:val="6"/>
              </w:rPr>
              <w:t>中国证券监督管理委员会天津监管局决定对泽达易盛 （天津） </w:t>
            </w:r>
            <w:r>
              <w:rPr>
                <w:spacing w:val="5"/>
              </w:rPr>
              <w:t>科技股份有限公</w:t>
            </w:r>
            <w:r>
              <w:rPr/>
              <w:t xml:space="preserve"> </w:t>
            </w:r>
            <w:r>
              <w:rPr>
                <w:spacing w:val="8"/>
              </w:rPr>
              <w:t>司、</w:t>
            </w:r>
            <w:r>
              <w:rPr>
                <w:spacing w:val="-27"/>
              </w:rPr>
              <w:t xml:space="preserve"> </w:t>
            </w:r>
            <w:r>
              <w:rPr>
                <w:spacing w:val="8"/>
              </w:rPr>
              <w:t>时任董事长,时任总经理林某采取出具警示函的监督管理措施。</w:t>
            </w:r>
          </w:p>
        </w:tc>
      </w:tr>
      <w:tr>
        <w:trPr>
          <w:trHeight w:val="804" w:hRule="atLeast"/>
        </w:trPr>
        <w:tc>
          <w:tcPr>
            <w:shd w:val="clear" w:fill="B8CCE4"/>
            <w:tcW w:w="1366" w:type="dxa"/>
            <w:vAlign w:val="top"/>
          </w:tcPr>
          <w:p>
            <w:pPr>
              <w:pStyle w:val="TableText"/>
              <w:ind w:left="318"/>
              <w:spacing w:before="323" w:line="179" w:lineRule="auto"/>
              <w:rPr/>
            </w:pPr>
            <w:r>
              <w:rPr>
                <w:spacing w:val="3"/>
              </w:rPr>
              <w:t>300165</w:t>
            </w:r>
          </w:p>
        </w:tc>
        <w:tc>
          <w:tcPr>
            <w:shd w:val="clear" w:fill="B8CCE4"/>
            <w:tcW w:w="1416" w:type="dxa"/>
            <w:vAlign w:val="top"/>
          </w:tcPr>
          <w:p>
            <w:pPr>
              <w:pStyle w:val="TableText"/>
              <w:ind w:left="280"/>
              <w:spacing w:before="311" w:line="188" w:lineRule="auto"/>
              <w:rPr/>
            </w:pPr>
            <w:r>
              <w:rPr>
                <w:spacing w:val="8"/>
              </w:rPr>
              <w:t>天瑞仪器</w:t>
            </w:r>
          </w:p>
        </w:tc>
        <w:tc>
          <w:tcPr>
            <w:shd w:val="clear" w:fill="B8CCE4"/>
            <w:tcW w:w="6261" w:type="dxa"/>
            <w:vAlign w:val="top"/>
          </w:tcPr>
          <w:p>
            <w:pPr>
              <w:pStyle w:val="TableText"/>
              <w:ind w:left="109" w:right="103"/>
              <w:spacing w:before="130" w:line="232" w:lineRule="auto"/>
              <w:rPr/>
            </w:pPr>
            <w:r>
              <w:rPr>
                <w:spacing w:val="8"/>
              </w:rPr>
              <w:t>2021年三季报、</w:t>
            </w:r>
            <w:r>
              <w:rPr>
                <w:spacing w:val="-30"/>
              </w:rPr>
              <w:t xml:space="preserve"> </w:t>
            </w:r>
            <w:r>
              <w:rPr>
                <w:spacing w:val="8"/>
              </w:rPr>
              <w:t>2021年年报、</w:t>
            </w:r>
            <w:r>
              <w:rPr>
                <w:spacing w:val="-33"/>
              </w:rPr>
              <w:t xml:space="preserve"> </w:t>
            </w:r>
            <w:r>
              <w:rPr>
                <w:spacing w:val="8"/>
              </w:rPr>
              <w:t>2022年一季报、</w:t>
            </w:r>
            <w:r>
              <w:rPr>
                <w:spacing w:val="-39"/>
              </w:rPr>
              <w:t xml:space="preserve"> </w:t>
            </w:r>
            <w:r>
              <w:rPr>
                <w:spacing w:val="8"/>
              </w:rPr>
              <w:t>2022年半年报及</w:t>
            </w:r>
            <w:r>
              <w:rPr/>
              <w:t xml:space="preserve"> </w:t>
            </w:r>
            <w:r>
              <w:rPr>
                <w:spacing w:val="6"/>
              </w:rPr>
              <w:t>2022年三季报</w:t>
            </w:r>
            <w:r>
              <w:rPr>
                <w:b/>
                <w:bCs/>
                <w:spacing w:val="6"/>
              </w:rPr>
              <w:t>存在错报</w:t>
            </w:r>
            <w:r>
              <w:rPr>
                <w:spacing w:val="6"/>
              </w:rPr>
              <w:t>。</w:t>
            </w:r>
          </w:p>
        </w:tc>
      </w:tr>
      <w:tr>
        <w:trPr>
          <w:trHeight w:val="1582" w:hRule="atLeast"/>
        </w:trPr>
        <w:tc>
          <w:tcPr>
            <w:tcW w:w="9043" w:type="dxa"/>
            <w:vAlign w:val="top"/>
            <w:gridSpan w:val="3"/>
          </w:tcPr>
          <w:p>
            <w:pPr>
              <w:pStyle w:val="TableText"/>
              <w:ind w:left="107" w:right="103" w:firstLine="14"/>
              <w:spacing w:before="296" w:line="255" w:lineRule="auto"/>
              <w:jc w:val="both"/>
              <w:rPr/>
            </w:pPr>
            <w:r>
              <w:rPr>
                <w:b/>
                <w:bCs/>
                <w:spacing w:val="9"/>
              </w:rPr>
              <w:t>【行政监管措施】</w:t>
            </w:r>
            <w:r>
              <w:rPr>
                <w:b/>
                <w:bCs/>
                <w:spacing w:val="-34"/>
              </w:rPr>
              <w:t xml:space="preserve"> </w:t>
            </w:r>
            <w:r>
              <w:rPr>
                <w:spacing w:val="9"/>
              </w:rPr>
              <w:t>中国证券监督管理委员会江苏监管局决定对江苏天瑞仪器股份有限公司</w:t>
            </w:r>
            <w:r>
              <w:rPr>
                <w:spacing w:val="8"/>
              </w:rPr>
              <w:t>及董事</w:t>
            </w:r>
            <w:r>
              <w:rPr/>
              <w:t xml:space="preserve"> </w:t>
            </w:r>
            <w:r>
              <w:rPr>
                <w:spacing w:val="13"/>
              </w:rPr>
              <w:t>长刘某贵、总经理应某、</w:t>
            </w:r>
            <w:r>
              <w:rPr>
                <w:spacing w:val="-35"/>
              </w:rPr>
              <w:t xml:space="preserve"> </w:t>
            </w:r>
            <w:r>
              <w:rPr>
                <w:spacing w:val="13"/>
              </w:rPr>
              <w:t>时任财务总监吴某兵采取出具警示函的行政监管措施,并记</w:t>
            </w:r>
            <w:r>
              <w:rPr>
                <w:spacing w:val="12"/>
              </w:rPr>
              <w:t>入证券期货</w:t>
            </w:r>
            <w:r>
              <w:rPr/>
              <w:t xml:space="preserve"> </w:t>
            </w:r>
            <w:r>
              <w:rPr>
                <w:spacing w:val="9"/>
              </w:rPr>
              <w:t>市场诚信档案,后续将根据核查情况采取下一步监管安排。</w:t>
            </w:r>
          </w:p>
        </w:tc>
      </w:tr>
      <w:tr>
        <w:trPr>
          <w:trHeight w:val="1271" w:hRule="atLeast"/>
        </w:trPr>
        <w:tc>
          <w:tcPr>
            <w:shd w:val="clear" w:fill="B8CCE4"/>
            <w:tcW w:w="1366" w:type="dxa"/>
            <w:vAlign w:val="top"/>
          </w:tcPr>
          <w:p>
            <w:pPr>
              <w:spacing w:line="471" w:lineRule="auto"/>
              <w:rPr>
                <w:rFonts w:ascii="Arial"/>
                <w:sz w:val="21"/>
              </w:rPr>
            </w:pPr>
            <w:r/>
          </w:p>
          <w:p>
            <w:pPr>
              <w:pStyle w:val="TableText"/>
              <w:ind w:left="316"/>
              <w:spacing w:before="85" w:line="179" w:lineRule="auto"/>
              <w:rPr/>
            </w:pPr>
            <w:r>
              <w:rPr>
                <w:spacing w:val="3"/>
              </w:rPr>
              <w:t>601995</w:t>
            </w:r>
          </w:p>
        </w:tc>
        <w:tc>
          <w:tcPr>
            <w:shd w:val="clear" w:fill="B8CCE4"/>
            <w:tcW w:w="1416" w:type="dxa"/>
            <w:vAlign w:val="top"/>
          </w:tcPr>
          <w:p>
            <w:pPr>
              <w:spacing w:line="457" w:lineRule="auto"/>
              <w:rPr>
                <w:rFonts w:ascii="Arial"/>
                <w:sz w:val="21"/>
              </w:rPr>
            </w:pPr>
            <w:r/>
          </w:p>
          <w:p>
            <w:pPr>
              <w:pStyle w:val="TableText"/>
              <w:ind w:left="294"/>
              <w:spacing w:before="86" w:line="189" w:lineRule="auto"/>
              <w:rPr/>
            </w:pPr>
            <w:r>
              <w:rPr>
                <w:spacing w:val="5"/>
              </w:rPr>
              <w:t>中金公司</w:t>
            </w:r>
          </w:p>
        </w:tc>
        <w:tc>
          <w:tcPr>
            <w:shd w:val="clear" w:fill="B8CCE4"/>
            <w:tcW w:w="6261" w:type="dxa"/>
            <w:vAlign w:val="top"/>
          </w:tcPr>
          <w:p>
            <w:pPr>
              <w:spacing w:line="312" w:lineRule="auto"/>
              <w:rPr>
                <w:rFonts w:ascii="Arial"/>
                <w:sz w:val="21"/>
              </w:rPr>
            </w:pPr>
            <w:r/>
          </w:p>
          <w:p>
            <w:pPr>
              <w:pStyle w:val="TableText"/>
              <w:ind w:left="100" w:right="271" w:firstLine="14"/>
              <w:spacing w:before="86" w:line="250" w:lineRule="auto"/>
              <w:rPr/>
            </w:pPr>
            <w:r>
              <w:rPr>
                <w:spacing w:val="9"/>
              </w:rPr>
              <w:t>中国国际金融股份有限公司存在对子公司业务和投资行为管理不</w:t>
            </w:r>
            <w:r>
              <w:rPr>
                <w:spacing w:val="7"/>
              </w:rPr>
              <w:t xml:space="preserve"> </w:t>
            </w:r>
            <w:r>
              <w:rPr>
                <w:spacing w:val="9"/>
              </w:rPr>
              <w:t>到位的情况,反映出公司未能有效实施</w:t>
            </w:r>
            <w:r>
              <w:rPr>
                <w:b/>
                <w:bCs/>
                <w:spacing w:val="9"/>
              </w:rPr>
              <w:t>合规</w:t>
            </w:r>
            <w:r>
              <w:rPr>
                <w:b/>
                <w:bCs/>
                <w:spacing w:val="8"/>
              </w:rPr>
              <w:t>管理</w:t>
            </w:r>
            <w:r>
              <w:rPr>
                <w:spacing w:val="8"/>
              </w:rPr>
              <w:t>。</w:t>
            </w:r>
          </w:p>
        </w:tc>
      </w:tr>
      <w:tr>
        <w:trPr>
          <w:trHeight w:val="812" w:hRule="atLeast"/>
        </w:trPr>
        <w:tc>
          <w:tcPr>
            <w:tcW w:w="9043" w:type="dxa"/>
            <w:vAlign w:val="top"/>
            <w:gridSpan w:val="3"/>
          </w:tcPr>
          <w:p>
            <w:pPr>
              <w:pStyle w:val="TableText"/>
              <w:ind w:left="104" w:right="103" w:firstLine="18"/>
              <w:spacing w:before="90" w:line="248" w:lineRule="auto"/>
              <w:rPr/>
            </w:pPr>
            <w:r>
              <w:rPr>
                <w:b/>
                <w:bCs/>
                <w:spacing w:val="9"/>
              </w:rPr>
              <w:t>【行政监管措施】</w:t>
            </w:r>
            <w:r>
              <w:rPr>
                <w:b/>
                <w:bCs/>
                <w:spacing w:val="-34"/>
              </w:rPr>
              <w:t xml:space="preserve"> </w:t>
            </w:r>
            <w:r>
              <w:rPr>
                <w:spacing w:val="9"/>
              </w:rPr>
              <w:t>中国证券监督管理委员会北京监管局决定对时任高管丁某采取出具警示</w:t>
            </w:r>
            <w:r>
              <w:rPr>
                <w:spacing w:val="8"/>
              </w:rPr>
              <w:t>函的监</w:t>
            </w:r>
            <w:r>
              <w:rPr/>
              <w:t xml:space="preserve"> </w:t>
            </w:r>
            <w:r>
              <w:rPr>
                <w:spacing w:val="7"/>
              </w:rPr>
              <w:t>督管理措施。</w:t>
            </w:r>
          </w:p>
        </w:tc>
      </w:tr>
    </w:tbl>
    <w:p>
      <w:pPr>
        <w:pStyle w:val="BodyText"/>
        <w:spacing w:line="205" w:lineRule="exact"/>
        <w:rPr>
          <w:sz w:val="17"/>
        </w:rPr>
      </w:pPr>
      <w:r/>
    </w:p>
    <w:p>
      <w:pPr>
        <w:spacing w:line="205" w:lineRule="exact"/>
        <w:sectPr>
          <w:footerReference w:type="default" r:id="rId14"/>
          <w:pgSz w:w="11910" w:h="16840"/>
          <w:pgMar w:top="400" w:right="1560" w:bottom="1" w:left="478" w:header="0" w:footer="0" w:gutter="0"/>
        </w:sectPr>
        <w:rPr>
          <w:sz w:val="17"/>
          <w:szCs w:val="17"/>
        </w:rPr>
      </w:pPr>
    </w:p>
    <w:tbl>
      <w:tblPr>
        <w:tblStyle w:val="TableNormal"/>
        <w:tblW w:w="9043" w:type="dxa"/>
        <w:tblInd w:w="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366"/>
        <w:gridCol w:w="1416"/>
        <w:gridCol w:w="6261"/>
      </w:tblGrid>
      <w:tr>
        <w:trPr>
          <w:trHeight w:val="1602" w:hRule="atLeast"/>
        </w:trPr>
        <w:tc>
          <w:tcPr>
            <w:shd w:val="clear" w:fill="B8CCE4"/>
            <w:tcW w:w="1366" w:type="dxa"/>
            <w:vAlign w:val="top"/>
            <w:tcBorders>
              <w:top w:val="single" w:color="FFFFFF" w:sz="2" w:space="0"/>
            </w:tcBorders>
          </w:tcPr>
          <w:p>
            <w:pPr>
              <w:spacing w:line="316" w:lineRule="auto"/>
              <w:rPr>
                <w:rFonts w:ascii="Arial"/>
                <w:sz w:val="21"/>
              </w:rPr>
            </w:pPr>
            <w:r/>
          </w:p>
          <w:p>
            <w:pPr>
              <w:spacing w:line="317" w:lineRule="auto"/>
              <w:rPr>
                <w:rFonts w:ascii="Arial"/>
                <w:sz w:val="21"/>
              </w:rPr>
            </w:pPr>
            <w:r/>
          </w:p>
          <w:p>
            <w:pPr>
              <w:pStyle w:val="TableText"/>
              <w:ind w:left="313"/>
              <w:spacing w:before="86" w:line="179" w:lineRule="auto"/>
              <w:rPr/>
            </w:pPr>
            <w:r>
              <w:rPr>
                <w:spacing w:val="3"/>
              </w:rPr>
              <w:t>002410</w:t>
            </w:r>
          </w:p>
        </w:tc>
        <w:tc>
          <w:tcPr>
            <w:shd w:val="clear" w:fill="B8CCE4"/>
            <w:tcW w:w="1416" w:type="dxa"/>
            <w:vAlign w:val="top"/>
            <w:tcBorders>
              <w:top w:val="single" w:color="FFFFFF" w:sz="2" w:space="0"/>
            </w:tcBorders>
          </w:tcPr>
          <w:p>
            <w:pPr>
              <w:spacing w:line="310" w:lineRule="auto"/>
              <w:rPr>
                <w:rFonts w:ascii="Arial"/>
                <w:sz w:val="21"/>
              </w:rPr>
            </w:pPr>
            <w:r/>
          </w:p>
          <w:p>
            <w:pPr>
              <w:spacing w:line="310" w:lineRule="auto"/>
              <w:rPr>
                <w:rFonts w:ascii="Arial"/>
                <w:sz w:val="21"/>
              </w:rPr>
            </w:pPr>
            <w:r/>
          </w:p>
          <w:p>
            <w:pPr>
              <w:pStyle w:val="TableText"/>
              <w:ind w:left="382"/>
              <w:spacing w:before="85" w:line="189" w:lineRule="auto"/>
              <w:rPr/>
            </w:pPr>
            <w:r>
              <w:rPr>
                <w:spacing w:val="8"/>
              </w:rPr>
              <w:t>广联达</w:t>
            </w:r>
          </w:p>
        </w:tc>
        <w:tc>
          <w:tcPr>
            <w:shd w:val="clear" w:fill="B8CCE4"/>
            <w:tcW w:w="6261" w:type="dxa"/>
            <w:vAlign w:val="top"/>
            <w:tcBorders>
              <w:top w:val="single" w:color="FFFFFF" w:sz="2" w:space="0"/>
            </w:tcBorders>
          </w:tcPr>
          <w:p>
            <w:pPr>
              <w:pStyle w:val="TableText"/>
              <w:ind w:left="99" w:right="105"/>
              <w:spacing w:before="167" w:line="249" w:lineRule="auto"/>
              <w:jc w:val="both"/>
              <w:rPr/>
            </w:pPr>
            <w:r>
              <w:rPr>
                <w:spacing w:val="13"/>
              </w:rPr>
              <w:t>公司闲置募集资金开展现金管理的余额为1</w:t>
            </w:r>
            <w:r>
              <w:rPr>
                <w:spacing w:val="12"/>
              </w:rPr>
              <w:t>.07亿元,</w:t>
            </w:r>
            <w:r>
              <w:rPr>
                <w:b/>
                <w:bCs/>
                <w:spacing w:val="12"/>
              </w:rPr>
              <w:t>超出公司董事</w:t>
            </w:r>
            <w:r>
              <w:rPr>
                <w:b/>
                <w:bCs/>
              </w:rPr>
              <w:t xml:space="preserve"> </w:t>
            </w:r>
            <w:r>
              <w:rPr>
                <w:b/>
                <w:bCs/>
                <w:spacing w:val="13"/>
              </w:rPr>
              <w:t>会审议额度</w:t>
            </w:r>
            <w:r>
              <w:rPr>
                <w:spacing w:val="13"/>
              </w:rPr>
              <w:t>0.47亿元。对于超额部分,</w:t>
            </w:r>
            <w:r>
              <w:rPr>
                <w:spacing w:val="12"/>
              </w:rPr>
              <w:t>公司未及时履行审议程序和</w:t>
            </w:r>
            <w:r>
              <w:rPr/>
              <w:t xml:space="preserve"> </w:t>
            </w:r>
            <w:r>
              <w:rPr>
                <w:spacing w:val="10"/>
              </w:rPr>
              <w:t>信息披露义务,直至2024年3月22日召开董事会进</w:t>
            </w:r>
            <w:r>
              <w:rPr>
                <w:spacing w:val="9"/>
              </w:rPr>
              <w:t>行补充审议,并于</w:t>
            </w:r>
            <w:r>
              <w:rPr/>
              <w:t xml:space="preserve"> </w:t>
            </w:r>
            <w:r>
              <w:rPr>
                <w:spacing w:val="7"/>
              </w:rPr>
              <w:t>2024年3月25日对外披露。</w:t>
            </w:r>
          </w:p>
        </w:tc>
      </w:tr>
      <w:tr>
        <w:trPr>
          <w:trHeight w:val="1193" w:hRule="atLeast"/>
        </w:trPr>
        <w:tc>
          <w:tcPr>
            <w:tcW w:w="9043" w:type="dxa"/>
            <w:vAlign w:val="top"/>
            <w:gridSpan w:val="3"/>
          </w:tcPr>
          <w:p>
            <w:pPr>
              <w:pStyle w:val="TableText"/>
              <w:ind w:left="103" w:right="103" w:firstLine="18"/>
              <w:spacing w:before="92" w:line="248" w:lineRule="auto"/>
              <w:rPr/>
            </w:pPr>
            <w:r>
              <w:rPr>
                <w:b/>
                <w:bCs/>
                <w:spacing w:val="9"/>
              </w:rPr>
              <w:t>【行政监管措施】</w:t>
            </w:r>
            <w:r>
              <w:rPr>
                <w:b/>
                <w:bCs/>
                <w:spacing w:val="-34"/>
              </w:rPr>
              <w:t xml:space="preserve"> </w:t>
            </w:r>
            <w:r>
              <w:rPr>
                <w:spacing w:val="9"/>
              </w:rPr>
              <w:t>中国证券监督管理委员会北京监管局决定对广联达科技股份有限公司、</w:t>
            </w:r>
            <w:r>
              <w:rPr>
                <w:spacing w:val="8"/>
              </w:rPr>
              <w:t>时任财</w:t>
            </w:r>
            <w:r>
              <w:rPr/>
              <w:t xml:space="preserve"> </w:t>
            </w:r>
            <w:r>
              <w:rPr>
                <w:spacing w:val="13"/>
              </w:rPr>
              <w:t>务总监刘某华、</w:t>
            </w:r>
            <w:r>
              <w:rPr>
                <w:spacing w:val="-33"/>
              </w:rPr>
              <w:t xml:space="preserve"> </w:t>
            </w:r>
            <w:r>
              <w:rPr>
                <w:spacing w:val="13"/>
              </w:rPr>
              <w:t>时任董秘李某剑采取出具警示函的行政监管措施,并记入证券期货市场诚信档案</w:t>
            </w:r>
          </w:p>
          <w:p>
            <w:pPr>
              <w:pStyle w:val="TableText"/>
              <w:ind w:left="115"/>
              <w:spacing w:before="203" w:line="121" w:lineRule="exact"/>
              <w:rPr/>
            </w:pPr>
            <w:r>
              <w:rPr>
                <w:position w:val="3"/>
              </w:rPr>
              <w:t>。</w:t>
            </w:r>
          </w:p>
        </w:tc>
      </w:tr>
      <w:tr>
        <w:trPr>
          <w:trHeight w:val="2750" w:hRule="atLeast"/>
        </w:trPr>
        <w:tc>
          <w:tcPr>
            <w:shd w:val="clear" w:fill="B8CCE4"/>
            <w:tcW w:w="1366" w:type="dxa"/>
            <w:vAlign w:val="top"/>
          </w:tcPr>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pStyle w:val="TableText"/>
              <w:ind w:left="313"/>
              <w:spacing w:before="85" w:line="178" w:lineRule="auto"/>
              <w:rPr/>
            </w:pPr>
            <w:r>
              <w:rPr>
                <w:spacing w:val="3"/>
              </w:rPr>
              <w:t>000046</w:t>
            </w:r>
          </w:p>
        </w:tc>
        <w:tc>
          <w:tcPr>
            <w:shd w:val="clear" w:fill="B8CCE4"/>
            <w:tcW w:w="1416" w:type="dxa"/>
            <w:vAlign w:val="top"/>
          </w:tcPr>
          <w:p>
            <w:pPr>
              <w:spacing w:line="296" w:lineRule="auto"/>
              <w:rPr>
                <w:rFonts w:ascii="Arial"/>
                <w:sz w:val="21"/>
              </w:rPr>
            </w:pPr>
            <w:r/>
          </w:p>
          <w:p>
            <w:pPr>
              <w:spacing w:line="296" w:lineRule="auto"/>
              <w:rPr>
                <w:rFonts w:ascii="Arial"/>
                <w:sz w:val="21"/>
              </w:rPr>
            </w:pPr>
            <w:r/>
          </w:p>
          <w:p>
            <w:pPr>
              <w:spacing w:line="296" w:lineRule="auto"/>
              <w:rPr>
                <w:rFonts w:ascii="Arial"/>
                <w:sz w:val="21"/>
              </w:rPr>
            </w:pPr>
            <w:r/>
          </w:p>
          <w:p>
            <w:pPr>
              <w:spacing w:line="297" w:lineRule="auto"/>
              <w:rPr>
                <w:rFonts w:ascii="Arial"/>
                <w:sz w:val="21"/>
              </w:rPr>
            </w:pPr>
            <w:r/>
          </w:p>
          <w:p>
            <w:pPr>
              <w:pStyle w:val="TableText"/>
              <w:ind w:left="326"/>
              <w:spacing w:before="86" w:line="189" w:lineRule="auto"/>
              <w:rPr/>
            </w:pPr>
            <w:r>
              <w:rPr>
                <w:spacing w:val="8"/>
              </w:rPr>
              <w:t>*</w:t>
            </w:r>
            <w:r>
              <w:rPr/>
              <w:t>ST</w:t>
            </w:r>
            <w:r>
              <w:rPr>
                <w:spacing w:val="8"/>
              </w:rPr>
              <w:t>泛海</w:t>
            </w:r>
          </w:p>
        </w:tc>
        <w:tc>
          <w:tcPr>
            <w:shd w:val="clear" w:fill="B8CCE4"/>
            <w:tcW w:w="6261" w:type="dxa"/>
            <w:vAlign w:val="top"/>
          </w:tcPr>
          <w:p>
            <w:pPr>
              <w:spacing w:line="466" w:lineRule="auto"/>
              <w:rPr>
                <w:rFonts w:ascii="Arial"/>
                <w:sz w:val="21"/>
              </w:rPr>
            </w:pPr>
            <w:r/>
          </w:p>
          <w:p>
            <w:pPr>
              <w:pStyle w:val="TableText"/>
              <w:ind w:left="98" w:right="103" w:firstLine="10"/>
              <w:spacing w:before="85" w:line="248" w:lineRule="auto"/>
              <w:jc w:val="both"/>
              <w:rPr/>
            </w:pPr>
            <w:r>
              <w:rPr>
                <w:spacing w:val="9"/>
              </w:rPr>
              <w:t>2021年7月19日前,董事,董事长已因涉嫌内幕交易被中国证券监督</w:t>
            </w:r>
            <w:r>
              <w:rPr>
                <w:spacing w:val="15"/>
                <w:w w:val="101"/>
              </w:rPr>
              <w:t xml:space="preserve"> </w:t>
            </w:r>
            <w:r>
              <w:rPr>
                <w:spacing w:val="16"/>
              </w:rPr>
              <w:t>管理委员会北京监管局立案调查。泛海控股股份有限</w:t>
            </w:r>
            <w:r>
              <w:rPr>
                <w:spacing w:val="15"/>
              </w:rPr>
              <w:t>公司披露的</w:t>
            </w:r>
            <w:r>
              <w:rPr/>
              <w:t xml:space="preserve"> </w:t>
            </w:r>
            <w:r>
              <w:rPr>
                <w:spacing w:val="13"/>
              </w:rPr>
              <w:t>《第十届董事会第三十四次临时会议决议公告》等相关公告中,关</w:t>
            </w:r>
            <w:r>
              <w:rPr>
                <w:spacing w:val="16"/>
              </w:rPr>
              <w:t xml:space="preserve"> </w:t>
            </w:r>
            <w:r>
              <w:rPr>
                <w:spacing w:val="13"/>
              </w:rPr>
              <w:t>于董事,董事长栾某舟“不存在因涉嫌犯罪被司法机关立案侦查或</w:t>
            </w:r>
            <w:r>
              <w:rPr>
                <w:spacing w:val="18"/>
              </w:rPr>
              <w:t xml:space="preserve"> </w:t>
            </w:r>
            <w:r>
              <w:rPr>
                <w:spacing w:val="9"/>
              </w:rPr>
              <w:t>者涉嫌违法违规被中国证监会立案调查的情况”的</w:t>
            </w:r>
            <w:r>
              <w:rPr>
                <w:b/>
                <w:bCs/>
                <w:spacing w:val="9"/>
              </w:rPr>
              <w:t>表述不真实</w:t>
            </w:r>
            <w:r>
              <w:rPr>
                <w:spacing w:val="9"/>
              </w:rPr>
              <w:t>。</w:t>
            </w:r>
          </w:p>
        </w:tc>
      </w:tr>
      <w:tr>
        <w:trPr>
          <w:trHeight w:val="1193" w:hRule="atLeast"/>
        </w:trPr>
        <w:tc>
          <w:tcPr>
            <w:tcW w:w="9043" w:type="dxa"/>
            <w:vAlign w:val="top"/>
            <w:gridSpan w:val="3"/>
          </w:tcPr>
          <w:p>
            <w:pPr>
              <w:pStyle w:val="TableText"/>
              <w:ind w:left="106" w:right="105" w:firstLine="15"/>
              <w:spacing w:before="276" w:line="248" w:lineRule="auto"/>
              <w:rPr/>
            </w:pPr>
            <w:r>
              <w:rPr>
                <w:b/>
                <w:bCs/>
                <w:spacing w:val="12"/>
              </w:rPr>
              <w:t>【行政监管措施】</w:t>
            </w:r>
            <w:r>
              <w:rPr>
                <w:b/>
                <w:bCs/>
                <w:spacing w:val="-13"/>
              </w:rPr>
              <w:t xml:space="preserve"> </w:t>
            </w:r>
            <w:r>
              <w:rPr>
                <w:spacing w:val="12"/>
              </w:rPr>
              <w:t>中国证券监督管理委员会北京监管局决定对泛海控股股份有限公司、董事,董</w:t>
            </w:r>
            <w:r>
              <w:rPr/>
              <w:t xml:space="preserve"> </w:t>
            </w:r>
            <w:r>
              <w:rPr>
                <w:spacing w:val="9"/>
              </w:rPr>
              <w:t>事长栾某舟采取出具警示函的行政监管措施,并记入证券期货市场诚信档案。</w:t>
            </w:r>
          </w:p>
        </w:tc>
      </w:tr>
      <w:tr>
        <w:trPr>
          <w:trHeight w:val="1193" w:hRule="atLeast"/>
        </w:trPr>
        <w:tc>
          <w:tcPr>
            <w:shd w:val="clear" w:fill="B8CCE4"/>
            <w:tcW w:w="1366" w:type="dxa"/>
            <w:vAlign w:val="top"/>
          </w:tcPr>
          <w:p>
            <w:pPr>
              <w:spacing w:line="428" w:lineRule="auto"/>
              <w:rPr>
                <w:rFonts w:ascii="Arial"/>
                <w:sz w:val="21"/>
              </w:rPr>
            </w:pPr>
            <w:r/>
          </w:p>
          <w:p>
            <w:pPr>
              <w:pStyle w:val="TableText"/>
              <w:ind w:left="318"/>
              <w:spacing w:before="86" w:line="178" w:lineRule="auto"/>
              <w:rPr/>
            </w:pPr>
            <w:r>
              <w:rPr>
                <w:spacing w:val="3"/>
              </w:rPr>
              <w:t>300324</w:t>
            </w:r>
          </w:p>
        </w:tc>
        <w:tc>
          <w:tcPr>
            <w:shd w:val="clear" w:fill="B8CCE4"/>
            <w:tcW w:w="1416" w:type="dxa"/>
            <w:vAlign w:val="top"/>
          </w:tcPr>
          <w:p>
            <w:pPr>
              <w:spacing w:line="414" w:lineRule="auto"/>
              <w:rPr>
                <w:rFonts w:ascii="Arial"/>
                <w:sz w:val="21"/>
              </w:rPr>
            </w:pPr>
            <w:r/>
          </w:p>
          <w:p>
            <w:pPr>
              <w:pStyle w:val="TableText"/>
              <w:ind w:left="279"/>
              <w:spacing w:before="85" w:line="189" w:lineRule="auto"/>
              <w:rPr/>
            </w:pPr>
            <w:r>
              <w:rPr>
                <w:spacing w:val="8"/>
              </w:rPr>
              <w:t>旋极信息</w:t>
            </w:r>
          </w:p>
        </w:tc>
        <w:tc>
          <w:tcPr>
            <w:shd w:val="clear" w:fill="B8CCE4"/>
            <w:tcW w:w="6261" w:type="dxa"/>
            <w:vAlign w:val="top"/>
          </w:tcPr>
          <w:p>
            <w:pPr>
              <w:pStyle w:val="TableText"/>
              <w:ind w:left="99" w:right="103"/>
              <w:spacing w:before="284" w:line="247" w:lineRule="auto"/>
              <w:rPr/>
            </w:pPr>
            <w:r>
              <w:rPr>
                <w:spacing w:val="11"/>
              </w:rPr>
              <w:t>大信会计师事务所 （特殊普通合伙） 、注册会计</w:t>
            </w:r>
            <w:r>
              <w:rPr>
                <w:spacing w:val="10"/>
              </w:rPr>
              <w:t>师执行的北京旋</w:t>
            </w:r>
            <w:r>
              <w:rPr/>
              <w:t xml:space="preserve"> </w:t>
            </w:r>
            <w:r>
              <w:rPr>
                <w:spacing w:val="9"/>
              </w:rPr>
              <w:t>极信息技术股份有限公司</w:t>
            </w:r>
            <w:r>
              <w:rPr>
                <w:b/>
                <w:bCs/>
                <w:spacing w:val="9"/>
              </w:rPr>
              <w:t>2022年度财务报表审计项目</w:t>
            </w:r>
            <w:r>
              <w:rPr>
                <w:spacing w:val="9"/>
              </w:rPr>
              <w:t>存在</w:t>
            </w:r>
            <w:r>
              <w:rPr>
                <w:spacing w:val="8"/>
              </w:rPr>
              <w:t>问题。</w:t>
            </w:r>
          </w:p>
        </w:tc>
      </w:tr>
      <w:tr>
        <w:trPr>
          <w:trHeight w:val="1193" w:hRule="atLeast"/>
        </w:trPr>
        <w:tc>
          <w:tcPr>
            <w:tcW w:w="9043" w:type="dxa"/>
            <w:vAlign w:val="top"/>
            <w:gridSpan w:val="3"/>
          </w:tcPr>
          <w:p>
            <w:pPr>
              <w:pStyle w:val="TableText"/>
              <w:ind w:left="121" w:right="103" w:firstLine="1"/>
              <w:spacing w:before="280" w:line="242" w:lineRule="auto"/>
              <w:rPr/>
            </w:pPr>
            <w:r>
              <w:rPr>
                <w:b/>
                <w:bCs/>
                <w:spacing w:val="7"/>
              </w:rPr>
              <w:t>【行政监管措施】</w:t>
            </w:r>
            <w:r>
              <w:rPr>
                <w:b/>
                <w:bCs/>
                <w:spacing w:val="-19"/>
              </w:rPr>
              <w:t xml:space="preserve"> </w:t>
            </w:r>
            <w:r>
              <w:rPr>
                <w:spacing w:val="7"/>
              </w:rPr>
              <w:t>中国证券监督管理委员会北京监管局决定对大信会计师事务所 （特殊普通合伙</w:t>
            </w:r>
            <w:r>
              <w:rPr/>
              <w:t xml:space="preserve"> </w:t>
            </w:r>
            <w:r>
              <w:rPr>
                <w:spacing w:val="9"/>
              </w:rPr>
              <w:t>)  、注册会计师采取出具警示函的行政监管措施,并记入证券期</w:t>
            </w:r>
            <w:r>
              <w:rPr>
                <w:spacing w:val="8"/>
              </w:rPr>
              <w:t>货市场诚信档案。</w:t>
            </w:r>
          </w:p>
        </w:tc>
      </w:tr>
      <w:tr>
        <w:trPr>
          <w:trHeight w:val="804" w:hRule="atLeast"/>
        </w:trPr>
        <w:tc>
          <w:tcPr>
            <w:shd w:val="clear" w:fill="B8CCE4"/>
            <w:tcW w:w="1366" w:type="dxa"/>
            <w:vAlign w:val="top"/>
          </w:tcPr>
          <w:p>
            <w:pPr>
              <w:pStyle w:val="TableText"/>
              <w:ind w:left="313"/>
              <w:spacing w:before="323" w:line="178" w:lineRule="auto"/>
              <w:rPr/>
            </w:pPr>
            <w:r>
              <w:rPr>
                <w:spacing w:val="3"/>
              </w:rPr>
              <w:t>000603</w:t>
            </w:r>
          </w:p>
        </w:tc>
        <w:tc>
          <w:tcPr>
            <w:shd w:val="clear" w:fill="B8CCE4"/>
            <w:tcW w:w="1416" w:type="dxa"/>
            <w:vAlign w:val="top"/>
          </w:tcPr>
          <w:p>
            <w:pPr>
              <w:pStyle w:val="TableText"/>
              <w:ind w:left="281"/>
              <w:spacing w:before="307" w:line="190" w:lineRule="auto"/>
              <w:rPr/>
            </w:pPr>
            <w:r>
              <w:rPr>
                <w:spacing w:val="8"/>
              </w:rPr>
              <w:t>盛达资源</w:t>
            </w:r>
          </w:p>
        </w:tc>
        <w:tc>
          <w:tcPr>
            <w:shd w:val="clear" w:fill="B8CCE4"/>
            <w:tcW w:w="6261" w:type="dxa"/>
            <w:vAlign w:val="top"/>
          </w:tcPr>
          <w:p>
            <w:pPr>
              <w:pStyle w:val="TableText"/>
              <w:ind w:left="99"/>
              <w:spacing w:before="307" w:line="190" w:lineRule="auto"/>
              <w:rPr/>
            </w:pPr>
            <w:r>
              <w:rPr>
                <w:spacing w:val="9"/>
              </w:rPr>
              <w:t>股东股份转让协议签署后,各方未及时履行信息披露相关义务。</w:t>
            </w:r>
          </w:p>
        </w:tc>
      </w:tr>
      <w:tr>
        <w:trPr>
          <w:trHeight w:val="804" w:hRule="atLeast"/>
        </w:trPr>
        <w:tc>
          <w:tcPr>
            <w:tcW w:w="9043" w:type="dxa"/>
            <w:vAlign w:val="top"/>
            <w:gridSpan w:val="3"/>
          </w:tcPr>
          <w:p>
            <w:pPr>
              <w:pStyle w:val="TableText"/>
              <w:ind w:left="105" w:right="103" w:firstLine="17"/>
              <w:spacing w:before="87" w:line="247" w:lineRule="auto"/>
              <w:rPr/>
            </w:pPr>
            <w:r>
              <w:rPr>
                <w:b/>
                <w:bCs/>
                <w:spacing w:val="9"/>
              </w:rPr>
              <w:t>【行政监管措施】</w:t>
            </w:r>
            <w:r>
              <w:rPr>
                <w:b/>
                <w:bCs/>
                <w:spacing w:val="-34"/>
              </w:rPr>
              <w:t xml:space="preserve"> </w:t>
            </w:r>
            <w:r>
              <w:rPr>
                <w:spacing w:val="9"/>
              </w:rPr>
              <w:t>中国证券监督管理委员会北京监管局决定对华瑞达采取出具警示函的行</w:t>
            </w:r>
            <w:r>
              <w:rPr>
                <w:spacing w:val="8"/>
              </w:rPr>
              <w:t>政监管</w:t>
            </w:r>
            <w:r>
              <w:rPr/>
              <w:t xml:space="preserve"> </w:t>
            </w:r>
            <w:r>
              <w:rPr>
                <w:spacing w:val="8"/>
              </w:rPr>
              <w:t>措施,并记入证券期货市场诚信档案。</w:t>
            </w:r>
          </w:p>
        </w:tc>
      </w:tr>
      <w:tr>
        <w:trPr>
          <w:trHeight w:val="1271" w:hRule="atLeast"/>
        </w:trPr>
        <w:tc>
          <w:tcPr>
            <w:shd w:val="clear" w:fill="B8CCE4"/>
            <w:tcW w:w="1366" w:type="dxa"/>
            <w:vAlign w:val="top"/>
          </w:tcPr>
          <w:p>
            <w:pPr>
              <w:spacing w:line="471" w:lineRule="auto"/>
              <w:rPr>
                <w:rFonts w:ascii="Arial"/>
                <w:sz w:val="21"/>
              </w:rPr>
            </w:pPr>
            <w:r/>
          </w:p>
          <w:p>
            <w:pPr>
              <w:pStyle w:val="TableText"/>
              <w:ind w:left="313"/>
              <w:spacing w:before="85" w:line="178" w:lineRule="auto"/>
              <w:rPr/>
            </w:pPr>
            <w:r>
              <w:rPr>
                <w:spacing w:val="3"/>
              </w:rPr>
              <w:t>000989</w:t>
            </w:r>
          </w:p>
        </w:tc>
        <w:tc>
          <w:tcPr>
            <w:shd w:val="clear" w:fill="B8CCE4"/>
            <w:tcW w:w="1416" w:type="dxa"/>
            <w:vAlign w:val="top"/>
          </w:tcPr>
          <w:p>
            <w:pPr>
              <w:spacing w:line="457" w:lineRule="auto"/>
              <w:rPr>
                <w:rFonts w:ascii="Arial"/>
                <w:sz w:val="21"/>
              </w:rPr>
            </w:pPr>
            <w:r/>
          </w:p>
          <w:p>
            <w:pPr>
              <w:pStyle w:val="TableText"/>
              <w:ind w:left="379"/>
              <w:spacing w:before="86" w:line="188" w:lineRule="auto"/>
              <w:rPr/>
            </w:pPr>
            <w:r>
              <w:rPr/>
              <w:t>ST</w:t>
            </w:r>
            <w:r>
              <w:rPr>
                <w:spacing w:val="7"/>
              </w:rPr>
              <w:t>九芝</w:t>
            </w:r>
          </w:p>
        </w:tc>
        <w:tc>
          <w:tcPr>
            <w:shd w:val="clear" w:fill="B8CCE4"/>
            <w:tcW w:w="6261" w:type="dxa"/>
            <w:vAlign w:val="top"/>
          </w:tcPr>
          <w:p>
            <w:pPr>
              <w:spacing w:line="311" w:lineRule="auto"/>
              <w:rPr>
                <w:rFonts w:ascii="Arial"/>
                <w:sz w:val="21"/>
              </w:rPr>
            </w:pPr>
            <w:r/>
          </w:p>
          <w:p>
            <w:pPr>
              <w:pStyle w:val="TableText"/>
              <w:ind w:left="100" w:right="199"/>
              <w:spacing w:before="86" w:line="250" w:lineRule="auto"/>
              <w:rPr/>
            </w:pPr>
            <w:r>
              <w:rPr>
                <w:spacing w:val="7"/>
              </w:rPr>
              <w:t>使用非公司银行账户收取销售代理权保证金， 2022年年报信息披</w:t>
            </w:r>
            <w:r>
              <w:rPr/>
              <w:t xml:space="preserve"> </w:t>
            </w:r>
            <w:r>
              <w:rPr>
                <w:spacing w:val="6"/>
              </w:rPr>
              <w:t>露不准确； 控股股东非经营性占用上市公司资金。</w:t>
            </w:r>
          </w:p>
        </w:tc>
      </w:tr>
      <w:tr>
        <w:trPr>
          <w:trHeight w:val="1193" w:hRule="atLeast"/>
        </w:trPr>
        <w:tc>
          <w:tcPr>
            <w:tcW w:w="9043" w:type="dxa"/>
            <w:vAlign w:val="top"/>
            <w:gridSpan w:val="3"/>
          </w:tcPr>
          <w:p>
            <w:pPr>
              <w:pStyle w:val="TableText"/>
              <w:ind w:left="105" w:right="103" w:firstLine="17"/>
              <w:spacing w:before="102" w:line="252" w:lineRule="auto"/>
              <w:jc w:val="both"/>
              <w:rPr/>
            </w:pPr>
            <w:r>
              <w:rPr>
                <w:b/>
                <w:bCs/>
                <w:spacing w:val="9"/>
              </w:rPr>
              <w:t>【行政监管措施】</w:t>
            </w:r>
            <w:r>
              <w:rPr>
                <w:b/>
                <w:bCs/>
                <w:spacing w:val="-34"/>
              </w:rPr>
              <w:t xml:space="preserve"> </w:t>
            </w:r>
            <w:r>
              <w:rPr>
                <w:spacing w:val="9"/>
              </w:rPr>
              <w:t>中国证券监督管理委员会湖南监管局决定对九芝堂股份有限公司及董事</w:t>
            </w:r>
            <w:r>
              <w:rPr>
                <w:spacing w:val="8"/>
              </w:rPr>
              <w:t>长李某</w:t>
            </w:r>
            <w:r>
              <w:rPr/>
              <w:t xml:space="preserve"> </w:t>
            </w:r>
            <w:r>
              <w:rPr>
                <w:spacing w:val="8"/>
              </w:rPr>
              <w:t>国、总经理徐某平、董事会秘书韩某骁、财务总监张某彬采取出具警示函的行政监管措施， 并记</w:t>
            </w:r>
            <w:r>
              <w:rPr>
                <w:spacing w:val="15"/>
              </w:rPr>
              <w:t xml:space="preserve"> </w:t>
            </w:r>
            <w:r>
              <w:rPr>
                <w:spacing w:val="8"/>
              </w:rPr>
              <w:t>入证券期货市场诚信档案。</w:t>
            </w:r>
          </w:p>
        </w:tc>
      </w:tr>
      <w:tr>
        <w:trPr>
          <w:trHeight w:val="416" w:hRule="atLeast"/>
        </w:trPr>
        <w:tc>
          <w:tcPr>
            <w:shd w:val="clear" w:fill="B8CCE4"/>
            <w:tcW w:w="1366" w:type="dxa"/>
            <w:vAlign w:val="top"/>
          </w:tcPr>
          <w:p>
            <w:pPr>
              <w:pStyle w:val="TableText"/>
              <w:ind w:left="313"/>
              <w:spacing w:before="134" w:line="178" w:lineRule="auto"/>
              <w:rPr/>
            </w:pPr>
            <w:r>
              <w:rPr>
                <w:spacing w:val="3"/>
              </w:rPr>
              <w:t>002943</w:t>
            </w:r>
          </w:p>
        </w:tc>
        <w:tc>
          <w:tcPr>
            <w:shd w:val="clear" w:fill="B8CCE4"/>
            <w:tcW w:w="1416" w:type="dxa"/>
            <w:vAlign w:val="top"/>
          </w:tcPr>
          <w:p>
            <w:pPr>
              <w:pStyle w:val="TableText"/>
              <w:ind w:left="282"/>
              <w:spacing w:before="119" w:line="189" w:lineRule="auto"/>
              <w:rPr/>
            </w:pPr>
            <w:r>
              <w:rPr>
                <w:spacing w:val="8"/>
              </w:rPr>
              <w:t>宇晶股份</w:t>
            </w:r>
          </w:p>
        </w:tc>
        <w:tc>
          <w:tcPr>
            <w:shd w:val="clear" w:fill="B8CCE4"/>
            <w:tcW w:w="6261" w:type="dxa"/>
            <w:vAlign w:val="top"/>
          </w:tcPr>
          <w:p>
            <w:pPr>
              <w:pStyle w:val="TableText"/>
              <w:ind w:left="108"/>
              <w:spacing w:before="119" w:line="189" w:lineRule="auto"/>
              <w:rPr/>
            </w:pPr>
            <w:r>
              <w:rPr>
                <w:spacing w:val="7"/>
              </w:rPr>
              <w:t>时任独董配偶</w:t>
            </w:r>
            <w:r>
              <w:rPr>
                <w:b/>
                <w:bCs/>
                <w:spacing w:val="7"/>
              </w:rPr>
              <w:t>短线交易</w:t>
            </w:r>
            <w:r>
              <w:rPr>
                <w:spacing w:val="7"/>
              </w:rPr>
              <w:t>。</w:t>
            </w:r>
          </w:p>
        </w:tc>
      </w:tr>
      <w:tr>
        <w:trPr>
          <w:trHeight w:val="804" w:hRule="atLeast"/>
        </w:trPr>
        <w:tc>
          <w:tcPr>
            <w:tcW w:w="9043" w:type="dxa"/>
            <w:vAlign w:val="top"/>
            <w:gridSpan w:val="3"/>
          </w:tcPr>
          <w:p>
            <w:pPr>
              <w:pStyle w:val="TableText"/>
              <w:ind w:left="105" w:right="103" w:firstLine="16"/>
              <w:spacing w:before="87" w:line="247" w:lineRule="auto"/>
              <w:rPr/>
            </w:pPr>
            <w:r>
              <w:rPr>
                <w:b/>
                <w:bCs/>
                <w:spacing w:val="9"/>
              </w:rPr>
              <w:t>【行政监管措施】</w:t>
            </w:r>
            <w:r>
              <w:rPr>
                <w:b/>
                <w:bCs/>
                <w:spacing w:val="-34"/>
              </w:rPr>
              <w:t xml:space="preserve"> </w:t>
            </w:r>
            <w:r>
              <w:rPr>
                <w:spacing w:val="9"/>
              </w:rPr>
              <w:t>中国证券监督管理委员会湖南监管局决定对时任独董江某辉采取出具警</w:t>
            </w:r>
            <w:r>
              <w:rPr>
                <w:spacing w:val="8"/>
              </w:rPr>
              <w:t>示函的</w:t>
            </w:r>
            <w:r>
              <w:rPr/>
              <w:t xml:space="preserve"> </w:t>
            </w:r>
            <w:r>
              <w:rPr>
                <w:spacing w:val="7"/>
              </w:rPr>
              <w:t>行政监管措施。</w:t>
            </w:r>
          </w:p>
        </w:tc>
      </w:tr>
      <w:tr>
        <w:trPr>
          <w:trHeight w:val="1200" w:hRule="atLeast"/>
        </w:trPr>
        <w:tc>
          <w:tcPr>
            <w:shd w:val="clear" w:fill="B8CCE4"/>
            <w:tcW w:w="1366" w:type="dxa"/>
            <w:vAlign w:val="top"/>
          </w:tcPr>
          <w:p>
            <w:pPr>
              <w:spacing w:line="433" w:lineRule="auto"/>
              <w:rPr>
                <w:rFonts w:ascii="Arial"/>
                <w:sz w:val="21"/>
              </w:rPr>
            </w:pPr>
            <w:r/>
          </w:p>
          <w:p>
            <w:pPr>
              <w:pStyle w:val="TableText"/>
              <w:ind w:left="316"/>
              <w:spacing w:before="86" w:line="179" w:lineRule="auto"/>
              <w:rPr/>
            </w:pPr>
            <w:r>
              <w:rPr>
                <w:spacing w:val="3"/>
              </w:rPr>
              <w:t>601066</w:t>
            </w:r>
          </w:p>
        </w:tc>
        <w:tc>
          <w:tcPr>
            <w:shd w:val="clear" w:fill="B8CCE4"/>
            <w:tcW w:w="1416" w:type="dxa"/>
            <w:vAlign w:val="top"/>
          </w:tcPr>
          <w:p>
            <w:pPr>
              <w:spacing w:line="420" w:lineRule="auto"/>
              <w:rPr>
                <w:rFonts w:ascii="Arial"/>
                <w:sz w:val="21"/>
              </w:rPr>
            </w:pPr>
            <w:r/>
          </w:p>
          <w:p>
            <w:pPr>
              <w:pStyle w:val="TableText"/>
              <w:ind w:left="294"/>
              <w:spacing w:before="86" w:line="189" w:lineRule="auto"/>
              <w:rPr/>
            </w:pPr>
            <w:r>
              <w:rPr>
                <w:spacing w:val="5"/>
              </w:rPr>
              <w:t>中信建投</w:t>
            </w:r>
          </w:p>
        </w:tc>
        <w:tc>
          <w:tcPr>
            <w:shd w:val="clear" w:fill="B8CCE4"/>
            <w:tcW w:w="6261" w:type="dxa"/>
            <w:vAlign w:val="top"/>
          </w:tcPr>
          <w:p>
            <w:pPr>
              <w:rPr>
                <w:rFonts w:ascii="Arial"/>
                <w:sz w:val="21"/>
              </w:rPr>
            </w:pPr>
            <w:r/>
          </w:p>
          <w:p>
            <w:pPr>
              <w:pStyle w:val="TableText"/>
              <w:ind w:left="100" w:right="103"/>
              <w:spacing w:before="86" w:line="250" w:lineRule="auto"/>
              <w:rPr/>
            </w:pPr>
            <w:r>
              <w:rPr>
                <w:spacing w:val="16"/>
              </w:rPr>
              <w:t>证券经纪人在中信建投证券股份有限公司北京望</w:t>
            </w:r>
            <w:r>
              <w:rPr>
                <w:spacing w:val="15"/>
              </w:rPr>
              <w:t>京证券营业部从</w:t>
            </w:r>
            <w:r>
              <w:rPr/>
              <w:t xml:space="preserve"> </w:t>
            </w:r>
            <w:r>
              <w:rPr>
                <w:spacing w:val="8"/>
              </w:rPr>
              <w:t>业期间,存在替客户办理账户开立的情况。</w:t>
            </w:r>
          </w:p>
        </w:tc>
      </w:tr>
    </w:tbl>
    <w:p>
      <w:pPr>
        <w:pStyle w:val="BodyText"/>
        <w:spacing w:line="213" w:lineRule="exact"/>
        <w:rPr>
          <w:sz w:val="18"/>
        </w:rPr>
      </w:pPr>
      <w:r/>
    </w:p>
    <w:p>
      <w:pPr>
        <w:spacing w:line="213" w:lineRule="exact"/>
        <w:sectPr>
          <w:pgSz w:w="11910" w:h="16840"/>
          <w:pgMar w:top="400" w:right="1560" w:bottom="400" w:left="1291" w:header="0" w:footer="0" w:gutter="0"/>
        </w:sectPr>
        <w:rPr>
          <w:sz w:val="18"/>
          <w:szCs w:val="18"/>
        </w:rPr>
      </w:pPr>
    </w:p>
    <w:tbl>
      <w:tblPr>
        <w:tblStyle w:val="TableNormal"/>
        <w:tblW w:w="9043" w:type="dxa"/>
        <w:tblInd w:w="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366"/>
        <w:gridCol w:w="1416"/>
        <w:gridCol w:w="6261"/>
      </w:tblGrid>
      <w:tr>
        <w:trPr>
          <w:trHeight w:val="824" w:hRule="atLeast"/>
        </w:trPr>
        <w:tc>
          <w:tcPr>
            <w:tcW w:w="9043" w:type="dxa"/>
            <w:vAlign w:val="top"/>
            <w:gridSpan w:val="3"/>
            <w:tcBorders>
              <w:top w:val="single" w:color="FFFFFF" w:sz="2" w:space="0"/>
            </w:tcBorders>
          </w:tcPr>
          <w:p>
            <w:pPr>
              <w:pStyle w:val="TableText"/>
              <w:ind w:left="117" w:right="103" w:firstLine="4"/>
              <w:spacing w:before="97" w:line="248" w:lineRule="auto"/>
              <w:rPr/>
            </w:pPr>
            <w:r>
              <w:rPr>
                <w:b/>
                <w:bCs/>
                <w:spacing w:val="9"/>
              </w:rPr>
              <w:t>【行政监管措施】</w:t>
            </w:r>
            <w:r>
              <w:rPr>
                <w:b/>
                <w:bCs/>
                <w:spacing w:val="-34"/>
              </w:rPr>
              <w:t xml:space="preserve"> </w:t>
            </w:r>
            <w:r>
              <w:rPr>
                <w:spacing w:val="9"/>
              </w:rPr>
              <w:t>中国证券监督管理委员会北京监管局决定对证券从业人员刘某蛟采取出</w:t>
            </w:r>
            <w:r>
              <w:rPr>
                <w:spacing w:val="8"/>
              </w:rPr>
              <w:t>具警示</w:t>
            </w:r>
            <w:r>
              <w:rPr/>
              <w:t xml:space="preserve"> </w:t>
            </w:r>
            <w:r>
              <w:rPr>
                <w:spacing w:val="6"/>
              </w:rPr>
              <w:t>函的监督管理措施。</w:t>
            </w:r>
          </w:p>
        </w:tc>
      </w:tr>
      <w:tr>
        <w:trPr>
          <w:trHeight w:val="1583" w:hRule="atLeast"/>
        </w:trPr>
        <w:tc>
          <w:tcPr>
            <w:shd w:val="clear" w:fill="B8CCE4"/>
            <w:tcW w:w="1366" w:type="dxa"/>
            <w:vAlign w:val="top"/>
          </w:tcPr>
          <w:p>
            <w:pPr>
              <w:spacing w:line="308" w:lineRule="auto"/>
              <w:rPr>
                <w:rFonts w:ascii="Arial"/>
                <w:sz w:val="21"/>
              </w:rPr>
            </w:pPr>
            <w:r/>
          </w:p>
          <w:p>
            <w:pPr>
              <w:spacing w:line="308" w:lineRule="auto"/>
              <w:rPr>
                <w:rFonts w:ascii="Arial"/>
                <w:sz w:val="21"/>
              </w:rPr>
            </w:pPr>
            <w:r/>
          </w:p>
          <w:p>
            <w:pPr>
              <w:pStyle w:val="TableText"/>
              <w:ind w:left="316"/>
              <w:spacing w:before="86" w:line="178" w:lineRule="auto"/>
              <w:rPr/>
            </w:pPr>
            <w:r>
              <w:rPr>
                <w:spacing w:val="3"/>
              </w:rPr>
              <w:t>600837</w:t>
            </w:r>
          </w:p>
        </w:tc>
        <w:tc>
          <w:tcPr>
            <w:shd w:val="clear" w:fill="B8CCE4"/>
            <w:tcW w:w="1416" w:type="dxa"/>
            <w:vAlign w:val="top"/>
          </w:tcPr>
          <w:p>
            <w:pPr>
              <w:spacing w:line="301" w:lineRule="auto"/>
              <w:rPr>
                <w:rFonts w:ascii="Arial"/>
                <w:sz w:val="21"/>
              </w:rPr>
            </w:pPr>
            <w:r/>
          </w:p>
          <w:p>
            <w:pPr>
              <w:spacing w:line="301" w:lineRule="auto"/>
              <w:rPr>
                <w:rFonts w:ascii="Arial"/>
                <w:sz w:val="21"/>
              </w:rPr>
            </w:pPr>
            <w:r/>
          </w:p>
          <w:p>
            <w:pPr>
              <w:pStyle w:val="TableText"/>
              <w:ind w:left="280"/>
              <w:spacing w:before="86" w:line="189" w:lineRule="auto"/>
              <w:rPr/>
            </w:pPr>
            <w:r>
              <w:rPr>
                <w:spacing w:val="8"/>
              </w:rPr>
              <w:t>海通证券</w:t>
            </w:r>
          </w:p>
        </w:tc>
        <w:tc>
          <w:tcPr>
            <w:shd w:val="clear" w:fill="B8CCE4"/>
            <w:tcW w:w="6261" w:type="dxa"/>
            <w:vAlign w:val="top"/>
          </w:tcPr>
          <w:p>
            <w:pPr>
              <w:pStyle w:val="TableText"/>
              <w:ind w:left="99" w:right="103"/>
              <w:spacing w:before="148" w:line="249" w:lineRule="auto"/>
              <w:jc w:val="both"/>
              <w:rPr/>
            </w:pPr>
            <w:r>
              <w:rPr>
                <w:spacing w:val="16"/>
              </w:rPr>
              <w:t>海通证券股份有限公司乌鲁木齐友好北路证券营</w:t>
            </w:r>
            <w:r>
              <w:rPr>
                <w:spacing w:val="15"/>
              </w:rPr>
              <w:t>业部存在为他人</w:t>
            </w:r>
            <w:r>
              <w:rPr/>
              <w:t xml:space="preserve"> </w:t>
            </w:r>
            <w:r>
              <w:rPr>
                <w:spacing w:val="13"/>
              </w:rPr>
              <w:t>使用客户相关证券账户提供了便利； 未及时重新评估客户风险承</w:t>
            </w:r>
            <w:r>
              <w:rPr>
                <w:spacing w:val="6"/>
              </w:rPr>
              <w:t xml:space="preserve"> </w:t>
            </w:r>
            <w:r>
              <w:rPr>
                <w:spacing w:val="13"/>
              </w:rPr>
              <w:t>受能力， 提供与投资者当时风险承受能力不匹配的融资展期服务</w:t>
            </w:r>
            <w:r>
              <w:rPr>
                <w:spacing w:val="6"/>
              </w:rPr>
              <w:t xml:space="preserve"> </w:t>
            </w:r>
            <w:r>
              <w:rPr>
                <w:spacing w:val="6"/>
              </w:rPr>
              <w:t>等情形。</w:t>
            </w:r>
          </w:p>
        </w:tc>
      </w:tr>
      <w:tr>
        <w:trPr>
          <w:trHeight w:val="804" w:hRule="atLeast"/>
        </w:trPr>
        <w:tc>
          <w:tcPr>
            <w:tcW w:w="9043" w:type="dxa"/>
            <w:vAlign w:val="top"/>
            <w:gridSpan w:val="3"/>
          </w:tcPr>
          <w:p>
            <w:pPr>
              <w:pStyle w:val="TableText"/>
              <w:ind w:left="106" w:right="103" w:firstLine="16"/>
              <w:spacing w:before="79" w:line="248" w:lineRule="auto"/>
              <w:rPr/>
            </w:pPr>
            <w:r>
              <w:rPr>
                <w:b/>
                <w:bCs/>
                <w:spacing w:val="9"/>
              </w:rPr>
              <w:t>【行政监管措施】</w:t>
            </w:r>
            <w:r>
              <w:rPr>
                <w:b/>
                <w:bCs/>
                <w:spacing w:val="-34"/>
              </w:rPr>
              <w:t xml:space="preserve"> </w:t>
            </w:r>
            <w:r>
              <w:rPr>
                <w:spacing w:val="9"/>
              </w:rPr>
              <w:t>中国证券监督管理委员会新疆监管局决定对海通证券股份有限公司乌鲁</w:t>
            </w:r>
            <w:r>
              <w:rPr>
                <w:spacing w:val="8"/>
              </w:rPr>
              <w:t>木齐友</w:t>
            </w:r>
            <w:r>
              <w:rPr/>
              <w:t xml:space="preserve"> </w:t>
            </w:r>
            <w:r>
              <w:rPr>
                <w:spacing w:val="8"/>
              </w:rPr>
              <w:t>好北路证券营业部、苗苗采取出具警示函的行政监管措施， 并记入证券期货市场诚</w:t>
            </w:r>
            <w:r>
              <w:rPr>
                <w:spacing w:val="7"/>
              </w:rPr>
              <w:t>信档案。</w:t>
            </w:r>
          </w:p>
        </w:tc>
      </w:tr>
      <w:tr>
        <w:trPr>
          <w:trHeight w:val="2362" w:hRule="atLeast"/>
        </w:trPr>
        <w:tc>
          <w:tcPr>
            <w:shd w:val="clear" w:fill="B8CCE4"/>
            <w:tcW w:w="1366" w:type="dxa"/>
            <w:vAlign w:val="top"/>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pStyle w:val="TableText"/>
              <w:ind w:left="313"/>
              <w:spacing w:before="86" w:line="178" w:lineRule="auto"/>
              <w:rPr/>
            </w:pPr>
            <w:r>
              <w:rPr>
                <w:spacing w:val="3"/>
              </w:rPr>
              <w:t>002503</w:t>
            </w:r>
          </w:p>
        </w:tc>
        <w:tc>
          <w:tcPr>
            <w:shd w:val="clear" w:fill="B8CCE4"/>
            <w:tcW w:w="1416" w:type="dxa"/>
            <w:vAlign w:val="top"/>
          </w:tcPr>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326"/>
              <w:spacing w:before="86" w:line="189" w:lineRule="auto"/>
              <w:rPr/>
            </w:pPr>
            <w:r>
              <w:rPr>
                <w:spacing w:val="8"/>
              </w:rPr>
              <w:t>*</w:t>
            </w:r>
            <w:r>
              <w:rPr/>
              <w:t>ST</w:t>
            </w:r>
            <w:r>
              <w:rPr>
                <w:spacing w:val="8"/>
              </w:rPr>
              <w:t>搜特</w:t>
            </w:r>
          </w:p>
        </w:tc>
        <w:tc>
          <w:tcPr>
            <w:shd w:val="clear" w:fill="B8CCE4"/>
            <w:tcW w:w="6261" w:type="dxa"/>
            <w:vAlign w:val="top"/>
          </w:tcPr>
          <w:p>
            <w:pPr>
              <w:spacing w:line="273" w:lineRule="auto"/>
              <w:rPr>
                <w:rFonts w:ascii="Arial"/>
                <w:sz w:val="21"/>
              </w:rPr>
            </w:pPr>
            <w:r/>
          </w:p>
          <w:p>
            <w:pPr>
              <w:pStyle w:val="TableText"/>
              <w:ind w:left="99" w:right="103" w:firstLine="1"/>
              <w:spacing w:before="86" w:line="251" w:lineRule="auto"/>
              <w:jc w:val="both"/>
              <w:rPr/>
            </w:pPr>
            <w:r>
              <w:rPr>
                <w:spacing w:val="11"/>
              </w:rPr>
              <w:t>华英证券有限责任公司作为搜于特集团股份有限公司</w:t>
            </w:r>
            <w:r>
              <w:rPr>
                <w:b/>
                <w:bCs/>
                <w:spacing w:val="11"/>
              </w:rPr>
              <w:t>2020年公开</w:t>
            </w:r>
            <w:r>
              <w:rPr>
                <w:b/>
                <w:bCs/>
                <w:spacing w:val="14"/>
              </w:rPr>
              <w:t xml:space="preserve"> </w:t>
            </w:r>
            <w:r>
              <w:rPr>
                <w:b/>
                <w:bCs/>
                <w:spacing w:val="13"/>
              </w:rPr>
              <w:t>发行可转换公司债券保荐机构</w:t>
            </w:r>
            <w:r>
              <w:rPr>
                <w:spacing w:val="13"/>
              </w:rPr>
              <w:t>在履行持续督导职责期间， 存在未</w:t>
            </w:r>
            <w:r>
              <w:rPr>
                <w:spacing w:val="5"/>
              </w:rPr>
              <w:t xml:space="preserve"> </w:t>
            </w:r>
            <w:r>
              <w:rPr>
                <w:spacing w:val="14"/>
              </w:rPr>
              <w:t>制定持续督导现场检查工作计划、</w:t>
            </w:r>
            <w:r>
              <w:rPr>
                <w:spacing w:val="-10"/>
              </w:rPr>
              <w:t xml:space="preserve"> </w:t>
            </w:r>
            <w:r>
              <w:rPr>
                <w:spacing w:val="14"/>
              </w:rPr>
              <w:t>内部质量控制不完善、未对搜</w:t>
            </w:r>
            <w:r>
              <w:rPr/>
              <w:t xml:space="preserve"> </w:t>
            </w:r>
            <w:r>
              <w:rPr>
                <w:spacing w:val="16"/>
              </w:rPr>
              <w:t>于特大额资金往来交易真实性审慎核查、未能有效</w:t>
            </w:r>
            <w:r>
              <w:rPr>
                <w:spacing w:val="15"/>
              </w:rPr>
              <w:t>识别出搜于特</w:t>
            </w:r>
            <w:r>
              <w:rPr/>
              <w:t xml:space="preserve"> </w:t>
            </w:r>
            <w:r>
              <w:rPr>
                <w:spacing w:val="8"/>
              </w:rPr>
              <w:t>关联交易情况等问题。</w:t>
            </w:r>
          </w:p>
        </w:tc>
      </w:tr>
      <w:tr>
        <w:trPr>
          <w:trHeight w:val="804" w:hRule="atLeast"/>
        </w:trPr>
        <w:tc>
          <w:tcPr>
            <w:tcW w:w="9043" w:type="dxa"/>
            <w:vAlign w:val="top"/>
            <w:gridSpan w:val="3"/>
          </w:tcPr>
          <w:p>
            <w:pPr>
              <w:pStyle w:val="TableText"/>
              <w:ind w:left="105" w:right="103" w:firstLine="17"/>
              <w:spacing w:before="83" w:line="248" w:lineRule="auto"/>
              <w:rPr/>
            </w:pPr>
            <w:r>
              <w:rPr>
                <w:b/>
                <w:bCs/>
                <w:spacing w:val="9"/>
              </w:rPr>
              <w:t>【行政监管措施】</w:t>
            </w:r>
            <w:r>
              <w:rPr>
                <w:b/>
                <w:bCs/>
                <w:spacing w:val="-34"/>
              </w:rPr>
              <w:t xml:space="preserve"> </w:t>
            </w:r>
            <w:r>
              <w:rPr>
                <w:spacing w:val="9"/>
              </w:rPr>
              <w:t>中国证券监督管理委员会广东监管局决定对证券从业人员采取出具警示</w:t>
            </w:r>
            <w:r>
              <w:rPr>
                <w:spacing w:val="8"/>
              </w:rPr>
              <w:t>函的行</w:t>
            </w:r>
            <w:r>
              <w:rPr/>
              <w:t xml:space="preserve"> </w:t>
            </w:r>
            <w:r>
              <w:rPr>
                <w:spacing w:val="7"/>
              </w:rPr>
              <w:t>政监管措施。</w:t>
            </w:r>
          </w:p>
        </w:tc>
      </w:tr>
      <w:tr>
        <w:trPr>
          <w:trHeight w:val="2050" w:hRule="atLeast"/>
        </w:trPr>
        <w:tc>
          <w:tcPr>
            <w:shd w:val="clear" w:fill="B8CCE4"/>
            <w:tcW w:w="1366" w:type="dxa"/>
            <w:vAlign w:val="top"/>
          </w:tcPr>
          <w:p>
            <w:pPr>
              <w:spacing w:line="284" w:lineRule="auto"/>
              <w:rPr>
                <w:rFonts w:ascii="Arial"/>
                <w:sz w:val="21"/>
              </w:rPr>
            </w:pPr>
            <w:r/>
          </w:p>
          <w:p>
            <w:pPr>
              <w:spacing w:line="284" w:lineRule="auto"/>
              <w:rPr>
                <w:rFonts w:ascii="Arial"/>
                <w:sz w:val="21"/>
              </w:rPr>
            </w:pPr>
            <w:r/>
          </w:p>
          <w:p>
            <w:pPr>
              <w:spacing w:line="284" w:lineRule="auto"/>
              <w:rPr>
                <w:rFonts w:ascii="Arial"/>
                <w:sz w:val="21"/>
              </w:rPr>
            </w:pPr>
            <w:r/>
          </w:p>
          <w:p>
            <w:pPr>
              <w:pStyle w:val="TableText"/>
              <w:ind w:left="316"/>
              <w:spacing w:before="85" w:line="179" w:lineRule="auto"/>
              <w:rPr/>
            </w:pPr>
            <w:r>
              <w:rPr>
                <w:spacing w:val="3"/>
              </w:rPr>
              <w:t>601066</w:t>
            </w:r>
          </w:p>
        </w:tc>
        <w:tc>
          <w:tcPr>
            <w:shd w:val="clear" w:fill="B8CCE4"/>
            <w:tcW w:w="1416" w:type="dxa"/>
            <w:vAlign w:val="top"/>
          </w:tcPr>
          <w:p>
            <w:pPr>
              <w:spacing w:line="279" w:lineRule="auto"/>
              <w:rPr>
                <w:rFonts w:ascii="Arial"/>
                <w:sz w:val="21"/>
              </w:rPr>
            </w:pPr>
            <w:r/>
          </w:p>
          <w:p>
            <w:pPr>
              <w:spacing w:line="279" w:lineRule="auto"/>
              <w:rPr>
                <w:rFonts w:ascii="Arial"/>
                <w:sz w:val="21"/>
              </w:rPr>
            </w:pPr>
            <w:r/>
          </w:p>
          <w:p>
            <w:pPr>
              <w:spacing w:line="280" w:lineRule="auto"/>
              <w:rPr>
                <w:rFonts w:ascii="Arial"/>
                <w:sz w:val="21"/>
              </w:rPr>
            </w:pPr>
            <w:r/>
          </w:p>
          <w:p>
            <w:pPr>
              <w:pStyle w:val="TableText"/>
              <w:ind w:left="294"/>
              <w:spacing w:before="86" w:line="189" w:lineRule="auto"/>
              <w:rPr/>
            </w:pPr>
            <w:r>
              <w:rPr>
                <w:spacing w:val="5"/>
              </w:rPr>
              <w:t>中信建投</w:t>
            </w:r>
          </w:p>
        </w:tc>
        <w:tc>
          <w:tcPr>
            <w:shd w:val="clear" w:fill="B8CCE4"/>
            <w:tcW w:w="6261" w:type="dxa"/>
            <w:vAlign w:val="top"/>
          </w:tcPr>
          <w:p>
            <w:pPr>
              <w:spacing w:line="336" w:lineRule="auto"/>
              <w:rPr>
                <w:rFonts w:ascii="Arial"/>
                <w:sz w:val="21"/>
              </w:rPr>
            </w:pPr>
            <w:r/>
          </w:p>
          <w:p>
            <w:pPr>
              <w:pStyle w:val="TableText"/>
              <w:ind w:left="98" w:right="232" w:firstLine="15"/>
              <w:spacing w:before="85" w:line="251" w:lineRule="auto"/>
              <w:jc w:val="both"/>
              <w:rPr/>
            </w:pPr>
            <w:r>
              <w:rPr>
                <w:spacing w:val="9"/>
              </w:rPr>
              <w:t>中信建投证券股份有限公司作为格力地产股份有限公司债券“23</w:t>
            </w:r>
            <w:r>
              <w:rPr>
                <w:spacing w:val="2"/>
              </w:rPr>
              <w:t xml:space="preserve"> </w:t>
            </w:r>
            <w:r>
              <w:rPr>
                <w:spacing w:val="7"/>
              </w:rPr>
              <w:t>格地01”的</w:t>
            </w:r>
            <w:r>
              <w:rPr>
                <w:b/>
                <w:bCs/>
                <w:spacing w:val="7"/>
              </w:rPr>
              <w:t>主承销商和受托管理人</w:t>
            </w:r>
            <w:r>
              <w:rPr>
                <w:spacing w:val="7"/>
              </w:rPr>
              <w:t>， 咨询审计机构工作底稿留痕</w:t>
            </w:r>
            <w:r>
              <w:rPr>
                <w:spacing w:val="10"/>
              </w:rPr>
              <w:t xml:space="preserve"> </w:t>
            </w:r>
            <w:r>
              <w:rPr>
                <w:spacing w:val="5"/>
              </w:rPr>
              <w:t>不足， 未对发行人管理层制作访谈记录， 未对发行人重大损失披</w:t>
            </w:r>
            <w:r>
              <w:rPr>
                <w:spacing w:val="6"/>
              </w:rPr>
              <w:t xml:space="preserve"> </w:t>
            </w:r>
            <w:r>
              <w:rPr>
                <w:spacing w:val="8"/>
              </w:rPr>
              <w:t>露临时受托管理事务报告。</w:t>
            </w:r>
          </w:p>
        </w:tc>
      </w:tr>
      <w:tr>
        <w:trPr>
          <w:trHeight w:val="804" w:hRule="atLeast"/>
        </w:trPr>
        <w:tc>
          <w:tcPr>
            <w:tcW w:w="9043" w:type="dxa"/>
            <w:vAlign w:val="top"/>
            <w:gridSpan w:val="3"/>
          </w:tcPr>
          <w:p>
            <w:pPr>
              <w:pStyle w:val="TableText"/>
              <w:ind w:left="105" w:right="103" w:firstLine="16"/>
              <w:spacing w:before="84" w:line="248" w:lineRule="auto"/>
              <w:rPr/>
            </w:pPr>
            <w:r>
              <w:rPr>
                <w:b/>
                <w:bCs/>
                <w:spacing w:val="9"/>
              </w:rPr>
              <w:t>【行政监管措施】</w:t>
            </w:r>
            <w:r>
              <w:rPr>
                <w:b/>
                <w:bCs/>
                <w:spacing w:val="-34"/>
              </w:rPr>
              <w:t xml:space="preserve"> </w:t>
            </w:r>
            <w:r>
              <w:rPr>
                <w:spacing w:val="9"/>
              </w:rPr>
              <w:t>中国证券监督管理委员会广东监管局决定对中信建投证券股份有限公司</w:t>
            </w:r>
            <w:r>
              <w:rPr>
                <w:spacing w:val="8"/>
              </w:rPr>
              <w:t>采取出</w:t>
            </w:r>
            <w:r>
              <w:rPr/>
              <w:t xml:space="preserve"> </w:t>
            </w:r>
            <w:r>
              <w:rPr>
                <w:spacing w:val="8"/>
              </w:rPr>
              <w:t>具警示函的行政监管措施。</w:t>
            </w:r>
          </w:p>
        </w:tc>
      </w:tr>
      <w:tr>
        <w:trPr>
          <w:trHeight w:val="804" w:hRule="atLeast"/>
        </w:trPr>
        <w:tc>
          <w:tcPr>
            <w:shd w:val="clear" w:fill="B8CCE4"/>
            <w:tcW w:w="1366" w:type="dxa"/>
            <w:vAlign w:val="top"/>
          </w:tcPr>
          <w:p>
            <w:pPr>
              <w:pStyle w:val="TableText"/>
              <w:ind w:left="316"/>
              <w:spacing w:before="323" w:line="178" w:lineRule="auto"/>
              <w:rPr/>
            </w:pPr>
            <w:r>
              <w:rPr>
                <w:spacing w:val="3"/>
              </w:rPr>
              <w:t>600837</w:t>
            </w:r>
          </w:p>
        </w:tc>
        <w:tc>
          <w:tcPr>
            <w:shd w:val="clear" w:fill="B8CCE4"/>
            <w:tcW w:w="1416" w:type="dxa"/>
            <w:vAlign w:val="top"/>
          </w:tcPr>
          <w:p>
            <w:pPr>
              <w:pStyle w:val="TableText"/>
              <w:ind w:left="280"/>
              <w:spacing w:before="309" w:line="189" w:lineRule="auto"/>
              <w:rPr/>
            </w:pPr>
            <w:r>
              <w:rPr>
                <w:spacing w:val="8"/>
              </w:rPr>
              <w:t>海通证券</w:t>
            </w:r>
          </w:p>
        </w:tc>
        <w:tc>
          <w:tcPr>
            <w:shd w:val="clear" w:fill="B8CCE4"/>
            <w:tcW w:w="6261" w:type="dxa"/>
            <w:vAlign w:val="top"/>
          </w:tcPr>
          <w:p>
            <w:pPr>
              <w:pStyle w:val="TableText"/>
              <w:ind w:left="101" w:right="103" w:hanging="1"/>
              <w:spacing w:before="127" w:line="233" w:lineRule="auto"/>
              <w:rPr/>
            </w:pPr>
            <w:r>
              <w:rPr>
                <w:spacing w:val="16"/>
              </w:rPr>
              <w:t>另类投资子公司投资的个别私募基金实际投资标</w:t>
            </w:r>
            <w:r>
              <w:rPr>
                <w:spacing w:val="15"/>
              </w:rPr>
              <w:t>的超出另类投资</w:t>
            </w:r>
            <w:r>
              <w:rPr/>
              <w:t xml:space="preserve"> </w:t>
            </w:r>
            <w:r>
              <w:rPr>
                <w:spacing w:val="8"/>
              </w:rPr>
              <w:t>子公司业务范围。</w:t>
            </w:r>
          </w:p>
        </w:tc>
      </w:tr>
      <w:tr>
        <w:trPr>
          <w:trHeight w:val="804" w:hRule="atLeast"/>
        </w:trPr>
        <w:tc>
          <w:tcPr>
            <w:tcW w:w="9043" w:type="dxa"/>
            <w:vAlign w:val="top"/>
            <w:gridSpan w:val="3"/>
          </w:tcPr>
          <w:p>
            <w:pPr>
              <w:pStyle w:val="TableText"/>
              <w:ind w:left="105" w:right="103" w:firstLine="16"/>
              <w:spacing w:before="87" w:line="247" w:lineRule="auto"/>
              <w:rPr/>
            </w:pPr>
            <w:r>
              <w:rPr>
                <w:b/>
                <w:bCs/>
                <w:spacing w:val="9"/>
              </w:rPr>
              <w:t>【行政监管措施】</w:t>
            </w:r>
            <w:r>
              <w:rPr>
                <w:b/>
                <w:bCs/>
                <w:spacing w:val="-34"/>
              </w:rPr>
              <w:t xml:space="preserve"> </w:t>
            </w:r>
            <w:r>
              <w:rPr>
                <w:spacing w:val="9"/>
              </w:rPr>
              <w:t>中国证券监督管理委员会上海监管局决定对从业人员时某龙采取出具警</w:t>
            </w:r>
            <w:r>
              <w:rPr>
                <w:spacing w:val="8"/>
              </w:rPr>
              <w:t>示函的</w:t>
            </w:r>
            <w:r>
              <w:rPr/>
              <w:t xml:space="preserve"> </w:t>
            </w:r>
            <w:r>
              <w:rPr>
                <w:spacing w:val="7"/>
              </w:rPr>
              <w:t>行政监管措施。</w:t>
            </w:r>
          </w:p>
        </w:tc>
      </w:tr>
      <w:tr>
        <w:trPr>
          <w:trHeight w:val="804" w:hRule="atLeast"/>
        </w:trPr>
        <w:tc>
          <w:tcPr>
            <w:shd w:val="clear" w:fill="B8CCE4"/>
            <w:tcW w:w="1366" w:type="dxa"/>
            <w:vAlign w:val="top"/>
          </w:tcPr>
          <w:p>
            <w:pPr>
              <w:rPr>
                <w:rFonts w:ascii="Arial"/>
                <w:sz w:val="21"/>
              </w:rPr>
            </w:pPr>
            <w:r/>
          </w:p>
          <w:p>
            <w:pPr>
              <w:pStyle w:val="TableText"/>
              <w:ind w:left="316"/>
              <w:spacing w:before="85" w:line="178" w:lineRule="auto"/>
              <w:rPr/>
            </w:pPr>
            <w:r>
              <w:rPr>
                <w:spacing w:val="3"/>
              </w:rPr>
              <w:t>600837</w:t>
            </w:r>
          </w:p>
        </w:tc>
        <w:tc>
          <w:tcPr>
            <w:shd w:val="clear" w:fill="B8CCE4"/>
            <w:tcW w:w="1416" w:type="dxa"/>
            <w:vAlign w:val="top"/>
          </w:tcPr>
          <w:p>
            <w:pPr>
              <w:pStyle w:val="TableText"/>
              <w:ind w:left="280"/>
              <w:spacing w:before="312" w:line="189" w:lineRule="auto"/>
              <w:rPr/>
            </w:pPr>
            <w:r>
              <w:rPr>
                <w:spacing w:val="8"/>
              </w:rPr>
              <w:t>海通证券</w:t>
            </w:r>
          </w:p>
        </w:tc>
        <w:tc>
          <w:tcPr>
            <w:shd w:val="clear" w:fill="B8CCE4"/>
            <w:tcW w:w="6261" w:type="dxa"/>
            <w:vAlign w:val="top"/>
          </w:tcPr>
          <w:p>
            <w:pPr>
              <w:pStyle w:val="TableText"/>
              <w:ind w:left="101" w:right="103" w:hanging="1"/>
              <w:spacing w:before="130" w:line="232" w:lineRule="auto"/>
              <w:rPr/>
            </w:pPr>
            <w:r>
              <w:rPr>
                <w:spacing w:val="16"/>
              </w:rPr>
              <w:t>另类投资子公司投资的个别私募基金实际投资标</w:t>
            </w:r>
            <w:r>
              <w:rPr>
                <w:spacing w:val="15"/>
              </w:rPr>
              <w:t>的超出另类投资</w:t>
            </w:r>
            <w:r>
              <w:rPr/>
              <w:t xml:space="preserve"> </w:t>
            </w:r>
            <w:r>
              <w:rPr>
                <w:spacing w:val="8"/>
              </w:rPr>
              <w:t>子公司业务范围。</w:t>
            </w:r>
          </w:p>
        </w:tc>
      </w:tr>
      <w:tr>
        <w:trPr>
          <w:trHeight w:val="804" w:hRule="atLeast"/>
        </w:trPr>
        <w:tc>
          <w:tcPr>
            <w:tcW w:w="9043" w:type="dxa"/>
            <w:vAlign w:val="top"/>
            <w:gridSpan w:val="3"/>
          </w:tcPr>
          <w:p>
            <w:pPr>
              <w:pStyle w:val="TableText"/>
              <w:ind w:left="105" w:right="103" w:firstLine="16"/>
              <w:spacing w:before="87" w:line="247" w:lineRule="auto"/>
              <w:rPr/>
            </w:pPr>
            <w:r>
              <w:rPr>
                <w:b/>
                <w:bCs/>
                <w:spacing w:val="9"/>
              </w:rPr>
              <w:t>【行政监管措施】</w:t>
            </w:r>
            <w:r>
              <w:rPr>
                <w:b/>
                <w:bCs/>
                <w:spacing w:val="-34"/>
              </w:rPr>
              <w:t xml:space="preserve"> </w:t>
            </w:r>
            <w:r>
              <w:rPr>
                <w:spacing w:val="9"/>
              </w:rPr>
              <w:t>中国证券监督管理委员会上海监管局决定对从业人员余某庭采取出具警</w:t>
            </w:r>
            <w:r>
              <w:rPr>
                <w:spacing w:val="8"/>
              </w:rPr>
              <w:t>示函的</w:t>
            </w:r>
            <w:r>
              <w:rPr/>
              <w:t xml:space="preserve"> </w:t>
            </w:r>
            <w:r>
              <w:rPr>
                <w:spacing w:val="7"/>
              </w:rPr>
              <w:t>行政监管措施。</w:t>
            </w:r>
          </w:p>
        </w:tc>
      </w:tr>
      <w:tr>
        <w:trPr>
          <w:trHeight w:val="416" w:hRule="atLeast"/>
        </w:trPr>
        <w:tc>
          <w:tcPr>
            <w:shd w:val="clear" w:fill="B8CCE4"/>
            <w:tcW w:w="1366" w:type="dxa"/>
            <w:vAlign w:val="top"/>
          </w:tcPr>
          <w:p>
            <w:pPr>
              <w:pStyle w:val="TableText"/>
              <w:ind w:left="318"/>
              <w:spacing w:before="132" w:line="179" w:lineRule="auto"/>
              <w:rPr/>
            </w:pPr>
            <w:r>
              <w:rPr>
                <w:spacing w:val="3"/>
              </w:rPr>
              <w:t>300125</w:t>
            </w:r>
          </w:p>
        </w:tc>
        <w:tc>
          <w:tcPr>
            <w:shd w:val="clear" w:fill="B8CCE4"/>
            <w:tcW w:w="1416" w:type="dxa"/>
            <w:vAlign w:val="top"/>
          </w:tcPr>
          <w:p>
            <w:pPr>
              <w:pStyle w:val="TableText"/>
              <w:ind w:left="379"/>
              <w:spacing w:before="122" w:line="187" w:lineRule="auto"/>
              <w:rPr/>
            </w:pPr>
            <w:r>
              <w:rPr/>
              <w:t>ST</w:t>
            </w:r>
            <w:r>
              <w:rPr>
                <w:spacing w:val="7"/>
              </w:rPr>
              <w:t>聆达</w:t>
            </w:r>
          </w:p>
        </w:tc>
        <w:tc>
          <w:tcPr>
            <w:shd w:val="clear" w:fill="B8CCE4"/>
            <w:tcW w:w="6261" w:type="dxa"/>
            <w:vAlign w:val="top"/>
          </w:tcPr>
          <w:p>
            <w:pPr>
              <w:pStyle w:val="TableText"/>
              <w:ind w:left="101"/>
              <w:spacing w:before="119" w:line="189" w:lineRule="auto"/>
              <w:rPr/>
            </w:pPr>
            <w:r>
              <w:rPr>
                <w:spacing w:val="8"/>
              </w:rPr>
              <w:t>关联方</w:t>
            </w:r>
            <w:r>
              <w:rPr>
                <w:b/>
                <w:bCs/>
                <w:spacing w:val="8"/>
              </w:rPr>
              <w:t>非经营性资金占用</w:t>
            </w:r>
            <w:r>
              <w:rPr>
                <w:spacing w:val="8"/>
              </w:rPr>
              <w:t>。</w:t>
            </w:r>
          </w:p>
        </w:tc>
      </w:tr>
      <w:tr>
        <w:trPr>
          <w:trHeight w:val="804" w:hRule="atLeast"/>
        </w:trPr>
        <w:tc>
          <w:tcPr>
            <w:tcW w:w="9043" w:type="dxa"/>
            <w:vAlign w:val="top"/>
            <w:gridSpan w:val="3"/>
          </w:tcPr>
          <w:p>
            <w:pPr>
              <w:pStyle w:val="TableText"/>
              <w:ind w:left="133" w:right="103" w:hanging="11"/>
              <w:spacing w:before="87" w:line="247" w:lineRule="auto"/>
              <w:rPr/>
            </w:pPr>
            <w:r>
              <w:rPr>
                <w:b/>
                <w:bCs/>
                <w:spacing w:val="9"/>
              </w:rPr>
              <w:t>【行政监管措施】</w:t>
            </w:r>
            <w:r>
              <w:rPr>
                <w:b/>
                <w:bCs/>
                <w:spacing w:val="-34"/>
              </w:rPr>
              <w:t xml:space="preserve"> </w:t>
            </w:r>
            <w:r>
              <w:rPr>
                <w:spacing w:val="9"/>
              </w:rPr>
              <w:t>中国证券监督管理委员会大连监管局决定对聆达股份采取责令改正的监</w:t>
            </w:r>
            <w:r>
              <w:rPr>
                <w:spacing w:val="8"/>
              </w:rPr>
              <w:t>管措施</w:t>
            </w:r>
            <w:r>
              <w:rPr/>
              <w:t xml:space="preserve"> </w:t>
            </w:r>
            <w:r>
              <w:rPr>
                <w:spacing w:val="7"/>
              </w:rPr>
              <w:t>,</w:t>
            </w:r>
            <w:r>
              <w:rPr>
                <w:spacing w:val="16"/>
                <w:w w:val="101"/>
              </w:rPr>
              <w:t xml:space="preserve">  </w:t>
            </w:r>
            <w:r>
              <w:rPr>
                <w:spacing w:val="7"/>
              </w:rPr>
              <w:t>并记入证券期货市场诚信档案。</w:t>
            </w:r>
          </w:p>
        </w:tc>
      </w:tr>
      <w:tr>
        <w:trPr>
          <w:trHeight w:val="416" w:hRule="atLeast"/>
        </w:trPr>
        <w:tc>
          <w:tcPr>
            <w:shd w:val="clear" w:fill="B8CCE4"/>
            <w:tcW w:w="1366" w:type="dxa"/>
            <w:vAlign w:val="top"/>
          </w:tcPr>
          <w:p>
            <w:pPr>
              <w:pStyle w:val="TableText"/>
              <w:ind w:left="318"/>
              <w:spacing w:before="134" w:line="178" w:lineRule="auto"/>
              <w:rPr/>
            </w:pPr>
            <w:r>
              <w:rPr>
                <w:spacing w:val="3"/>
              </w:rPr>
              <w:t>300379</w:t>
            </w:r>
          </w:p>
        </w:tc>
        <w:tc>
          <w:tcPr>
            <w:shd w:val="clear" w:fill="B8CCE4"/>
            <w:tcW w:w="1416" w:type="dxa"/>
            <w:vAlign w:val="top"/>
          </w:tcPr>
          <w:p>
            <w:pPr>
              <w:pStyle w:val="TableText"/>
              <w:ind w:left="382"/>
              <w:spacing w:before="119" w:line="189" w:lineRule="auto"/>
              <w:rPr/>
            </w:pPr>
            <w:r>
              <w:rPr>
                <w:spacing w:val="9"/>
              </w:rPr>
              <w:t>东方通</w:t>
            </w:r>
          </w:p>
        </w:tc>
        <w:tc>
          <w:tcPr>
            <w:shd w:val="clear" w:fill="B8CCE4"/>
            <w:tcW w:w="6261" w:type="dxa"/>
            <w:vAlign w:val="top"/>
          </w:tcPr>
          <w:p>
            <w:pPr>
              <w:pStyle w:val="TableText"/>
              <w:ind w:left="108"/>
              <w:spacing w:before="118" w:line="190" w:lineRule="auto"/>
              <w:rPr/>
            </w:pPr>
            <w:r>
              <w:rPr>
                <w:b/>
                <w:bCs/>
                <w:spacing w:val="7"/>
              </w:rPr>
              <w:t>2022年年度报告</w:t>
            </w:r>
            <w:r>
              <w:rPr>
                <w:spacing w:val="7"/>
              </w:rPr>
              <w:t>信息披露不准确。</w:t>
            </w:r>
          </w:p>
        </w:tc>
      </w:tr>
      <w:tr>
        <w:trPr>
          <w:trHeight w:val="1200" w:hRule="atLeast"/>
        </w:trPr>
        <w:tc>
          <w:tcPr>
            <w:tcW w:w="9043" w:type="dxa"/>
            <w:vAlign w:val="top"/>
            <w:gridSpan w:val="3"/>
          </w:tcPr>
          <w:p>
            <w:pPr>
              <w:pStyle w:val="TableText"/>
              <w:ind w:left="105" w:right="103" w:firstLine="16"/>
              <w:spacing w:before="285" w:line="248" w:lineRule="auto"/>
              <w:rPr/>
            </w:pPr>
            <w:r>
              <w:rPr>
                <w:b/>
                <w:bCs/>
                <w:spacing w:val="9"/>
              </w:rPr>
              <w:t>【行政监管措施】</w:t>
            </w:r>
            <w:r>
              <w:rPr>
                <w:b/>
                <w:bCs/>
                <w:spacing w:val="-34"/>
              </w:rPr>
              <w:t xml:space="preserve"> </w:t>
            </w:r>
            <w:r>
              <w:rPr>
                <w:spacing w:val="9"/>
              </w:rPr>
              <w:t>中国证券监督管理委员会北京监管局决定对北京东方通科技股份有限公</w:t>
            </w:r>
            <w:r>
              <w:rPr>
                <w:spacing w:val="8"/>
              </w:rPr>
              <w:t>司采取</w:t>
            </w:r>
            <w:r>
              <w:rPr/>
              <w:t xml:space="preserve"> </w:t>
            </w:r>
            <w:r>
              <w:rPr>
                <w:spacing w:val="9"/>
              </w:rPr>
              <w:t>责令改正的行政监管措施,并记入证券期货市场诚信档案。</w:t>
            </w:r>
          </w:p>
        </w:tc>
      </w:tr>
    </w:tbl>
    <w:p>
      <w:pPr>
        <w:pStyle w:val="BodyText"/>
        <w:rPr/>
      </w:pPr>
      <w:r/>
    </w:p>
    <w:p>
      <w:pPr>
        <w:sectPr>
          <w:pgSz w:w="11910" w:h="16840"/>
          <w:pgMar w:top="400" w:right="1560" w:bottom="400" w:left="1291" w:header="0" w:footer="0" w:gutter="0"/>
        </w:sectPr>
        <w:rPr/>
      </w:pPr>
    </w:p>
    <w:tbl>
      <w:tblPr>
        <w:tblStyle w:val="TableNormal"/>
        <w:tblW w:w="9043" w:type="dxa"/>
        <w:tblInd w:w="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366"/>
        <w:gridCol w:w="1416"/>
        <w:gridCol w:w="6261"/>
      </w:tblGrid>
      <w:tr>
        <w:trPr>
          <w:trHeight w:val="3626" w:hRule="atLeast"/>
        </w:trPr>
        <w:tc>
          <w:tcPr>
            <w:shd w:val="clear" w:fill="B8CCE4"/>
            <w:tcW w:w="1366" w:type="dxa"/>
            <w:vAlign w:val="top"/>
            <w:tcBorders>
              <w:top w:val="single" w:color="FFFFFF" w:sz="2" w:space="0"/>
            </w:tcBorders>
          </w:tcPr>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pStyle w:val="TableText"/>
              <w:ind w:left="316"/>
              <w:spacing w:before="86" w:line="178" w:lineRule="auto"/>
              <w:rPr/>
            </w:pPr>
            <w:r>
              <w:rPr>
                <w:spacing w:val="3"/>
              </w:rPr>
              <w:t>600837</w:t>
            </w:r>
          </w:p>
        </w:tc>
        <w:tc>
          <w:tcPr>
            <w:shd w:val="clear" w:fill="B8CCE4"/>
            <w:tcW w:w="1416" w:type="dxa"/>
            <w:vAlign w:val="top"/>
            <w:tcBorders>
              <w:top w:val="single" w:color="FFFFFF" w:sz="2" w:space="0"/>
            </w:tcBorders>
          </w:tcPr>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pStyle w:val="TableText"/>
              <w:ind w:left="280"/>
              <w:spacing w:before="86" w:line="189" w:lineRule="auto"/>
              <w:rPr/>
            </w:pPr>
            <w:r>
              <w:rPr>
                <w:spacing w:val="8"/>
              </w:rPr>
              <w:t>海通证券</w:t>
            </w:r>
          </w:p>
        </w:tc>
        <w:tc>
          <w:tcPr>
            <w:shd w:val="clear" w:fill="B8CCE4"/>
            <w:tcW w:w="6261" w:type="dxa"/>
            <w:vAlign w:val="top"/>
            <w:tcBorders>
              <w:top w:val="single" w:color="FFFFFF" w:sz="2" w:space="0"/>
            </w:tcBorders>
          </w:tcPr>
          <w:p>
            <w:pPr>
              <w:spacing w:line="294" w:lineRule="auto"/>
              <w:rPr>
                <w:rFonts w:ascii="Arial"/>
                <w:sz w:val="21"/>
              </w:rPr>
            </w:pPr>
            <w:r/>
          </w:p>
          <w:p>
            <w:pPr>
              <w:spacing w:line="295" w:lineRule="auto"/>
              <w:rPr>
                <w:rFonts w:ascii="Arial"/>
                <w:sz w:val="21"/>
              </w:rPr>
            </w:pPr>
            <w:r/>
          </w:p>
          <w:p>
            <w:pPr>
              <w:pStyle w:val="TableText"/>
              <w:ind w:left="100" w:right="163"/>
              <w:spacing w:before="86" w:line="251" w:lineRule="auto"/>
              <w:rPr/>
            </w:pPr>
            <w:r>
              <w:rPr>
                <w:spacing w:val="9"/>
              </w:rPr>
              <w:t>海通证券股份有限公司作为格力地产股份有限公司债券“21格地</w:t>
            </w:r>
            <w:r>
              <w:rPr>
                <w:spacing w:val="7"/>
              </w:rPr>
              <w:t xml:space="preserve">  </w:t>
            </w:r>
            <w:r>
              <w:rPr>
                <w:spacing w:val="7"/>
              </w:rPr>
              <w:t>02”“22格地02”的主承销商和受托管理人， 未对</w:t>
            </w:r>
            <w:r>
              <w:rPr>
                <w:spacing w:val="6"/>
              </w:rPr>
              <w:t>个别存货周边</w:t>
            </w:r>
            <w:r>
              <w:rPr/>
              <w:t xml:space="preserve"> </w:t>
            </w:r>
            <w:r>
              <w:rPr>
                <w:spacing w:val="7"/>
              </w:rPr>
              <w:t>楼盘开盘价格低于项目楼面价的情况予以审慎分析核查； 在“22</w:t>
            </w:r>
            <w:r>
              <w:rPr>
                <w:spacing w:val="4"/>
              </w:rPr>
              <w:t xml:space="preserve">  </w:t>
            </w:r>
            <w:r>
              <w:rPr>
                <w:spacing w:val="7"/>
              </w:rPr>
              <w:t>格地02”期后事项核查中， 未对存货可变现净值的评估进行持续</w:t>
            </w:r>
            <w:r>
              <w:rPr>
                <w:spacing w:val="2"/>
              </w:rPr>
              <w:t xml:space="preserve">  </w:t>
            </w:r>
            <w:r>
              <w:rPr>
                <w:spacing w:val="5"/>
              </w:rPr>
              <w:t>关注和尽职调查； 未制作咨询审计机构工作底稿； 未对发行人重</w:t>
            </w:r>
            <w:r>
              <w:rPr>
                <w:spacing w:val="1"/>
              </w:rPr>
              <w:t xml:space="preserve">   </w:t>
            </w:r>
            <w:r>
              <w:rPr>
                <w:spacing w:val="7"/>
              </w:rPr>
              <w:t>大损失披露临时受托管理事务报告； 对发行人差错更正事项披露</w:t>
            </w:r>
            <w:r>
              <w:rPr>
                <w:spacing w:val="3"/>
              </w:rPr>
              <w:t xml:space="preserve">   </w:t>
            </w:r>
            <w:r>
              <w:rPr>
                <w:spacing w:val="8"/>
              </w:rPr>
              <w:t>临时受托管理事务报告不及时。</w:t>
            </w:r>
          </w:p>
        </w:tc>
      </w:tr>
      <w:tr>
        <w:trPr>
          <w:trHeight w:val="804" w:hRule="atLeast"/>
        </w:trPr>
        <w:tc>
          <w:tcPr>
            <w:tcW w:w="9043" w:type="dxa"/>
            <w:vAlign w:val="top"/>
            <w:gridSpan w:val="3"/>
          </w:tcPr>
          <w:p>
            <w:pPr>
              <w:pStyle w:val="TableText"/>
              <w:ind w:left="105" w:right="103" w:firstLine="17"/>
              <w:spacing w:before="80" w:line="248" w:lineRule="auto"/>
              <w:rPr/>
            </w:pPr>
            <w:r>
              <w:rPr>
                <w:b/>
                <w:bCs/>
                <w:spacing w:val="9"/>
              </w:rPr>
              <w:t>【行政监管措施】</w:t>
            </w:r>
            <w:r>
              <w:rPr>
                <w:b/>
                <w:bCs/>
                <w:spacing w:val="-34"/>
              </w:rPr>
              <w:t xml:space="preserve"> </w:t>
            </w:r>
            <w:r>
              <w:rPr>
                <w:spacing w:val="9"/>
              </w:rPr>
              <w:t>中国证券监督管理委员会广东监管局决定对海通证券股份有限公司采取</w:t>
            </w:r>
            <w:r>
              <w:rPr>
                <w:spacing w:val="8"/>
              </w:rPr>
              <w:t>责令改</w:t>
            </w:r>
            <w:r>
              <w:rPr/>
              <w:t xml:space="preserve"> </w:t>
            </w:r>
            <w:r>
              <w:rPr>
                <w:spacing w:val="8"/>
              </w:rPr>
              <w:t>正的行政监管措施。</w:t>
            </w:r>
          </w:p>
        </w:tc>
      </w:tr>
      <w:tr>
        <w:trPr>
          <w:trHeight w:val="2164" w:hRule="atLeast"/>
        </w:trPr>
        <w:tc>
          <w:tcPr>
            <w:shd w:val="clear" w:fill="B8CCE4"/>
            <w:tcW w:w="1366" w:type="dxa"/>
            <w:vAlign w:val="top"/>
          </w:tcPr>
          <w:p>
            <w:pPr>
              <w:spacing w:line="303" w:lineRule="auto"/>
              <w:rPr>
                <w:rFonts w:ascii="Arial"/>
                <w:sz w:val="21"/>
              </w:rPr>
            </w:pPr>
            <w:r/>
          </w:p>
          <w:p>
            <w:pPr>
              <w:spacing w:line="303" w:lineRule="auto"/>
              <w:rPr>
                <w:rFonts w:ascii="Arial"/>
                <w:sz w:val="21"/>
              </w:rPr>
            </w:pPr>
            <w:r/>
          </w:p>
          <w:p>
            <w:pPr>
              <w:spacing w:line="303" w:lineRule="auto"/>
              <w:rPr>
                <w:rFonts w:ascii="Arial"/>
                <w:sz w:val="21"/>
              </w:rPr>
            </w:pPr>
            <w:r/>
          </w:p>
          <w:p>
            <w:pPr>
              <w:pStyle w:val="TableText"/>
              <w:ind w:left="316"/>
              <w:spacing w:before="86" w:line="179" w:lineRule="auto"/>
              <w:rPr/>
            </w:pPr>
            <w:r>
              <w:rPr>
                <w:spacing w:val="3"/>
              </w:rPr>
              <w:t>600918</w:t>
            </w:r>
          </w:p>
        </w:tc>
        <w:tc>
          <w:tcPr>
            <w:shd w:val="clear" w:fill="B8CCE4"/>
            <w:tcW w:w="1416" w:type="dxa"/>
            <w:vAlign w:val="top"/>
          </w:tcPr>
          <w:p>
            <w:pPr>
              <w:spacing w:line="298" w:lineRule="auto"/>
              <w:rPr>
                <w:rFonts w:ascii="Arial"/>
                <w:sz w:val="21"/>
              </w:rPr>
            </w:pPr>
            <w:r/>
          </w:p>
          <w:p>
            <w:pPr>
              <w:spacing w:line="299" w:lineRule="auto"/>
              <w:rPr>
                <w:rFonts w:ascii="Arial"/>
                <w:sz w:val="21"/>
              </w:rPr>
            </w:pPr>
            <w:r/>
          </w:p>
          <w:p>
            <w:pPr>
              <w:spacing w:line="299" w:lineRule="auto"/>
              <w:rPr>
                <w:rFonts w:ascii="Arial"/>
                <w:sz w:val="21"/>
              </w:rPr>
            </w:pPr>
            <w:r/>
          </w:p>
          <w:p>
            <w:pPr>
              <w:pStyle w:val="TableText"/>
              <w:ind w:left="294"/>
              <w:spacing w:before="86" w:line="189" w:lineRule="auto"/>
              <w:rPr/>
            </w:pPr>
            <w:r>
              <w:rPr>
                <w:spacing w:val="5"/>
              </w:rPr>
              <w:t>中泰证券</w:t>
            </w:r>
          </w:p>
        </w:tc>
        <w:tc>
          <w:tcPr>
            <w:shd w:val="clear" w:fill="B8CCE4"/>
            <w:tcW w:w="6261" w:type="dxa"/>
            <w:vAlign w:val="top"/>
          </w:tcPr>
          <w:p>
            <w:pPr>
              <w:pStyle w:val="TableText"/>
              <w:ind w:left="98" w:right="103" w:firstLine="16"/>
              <w:spacing w:before="86" w:line="241" w:lineRule="auto"/>
              <w:jc w:val="both"/>
              <w:rPr/>
            </w:pPr>
            <w:r>
              <w:rPr>
                <w:spacing w:val="12"/>
              </w:rPr>
              <w:t>中泰证券股份有限公司作为格力地产股份有限公司债券“</w:t>
            </w:r>
            <w:r>
              <w:rPr>
                <w:spacing w:val="-15"/>
              </w:rPr>
              <w:t xml:space="preserve"> </w:t>
            </w:r>
            <w:r>
              <w:rPr>
                <w:spacing w:val="12"/>
              </w:rPr>
              <w:t>18格地</w:t>
            </w:r>
            <w:r>
              <w:rPr/>
              <w:t xml:space="preserve"> </w:t>
            </w:r>
            <w:r>
              <w:rPr>
                <w:spacing w:val="7"/>
              </w:rPr>
              <w:t>01</w:t>
            </w:r>
            <w:r>
              <w:rPr>
                <w:spacing w:val="-38"/>
              </w:rPr>
              <w:t xml:space="preserve"> </w:t>
            </w:r>
            <w:r>
              <w:rPr>
                <w:spacing w:val="7"/>
              </w:rPr>
              <w:t>”“</w:t>
            </w:r>
            <w:r>
              <w:rPr>
                <w:spacing w:val="-30"/>
              </w:rPr>
              <w:t xml:space="preserve"> </w:t>
            </w:r>
            <w:r>
              <w:rPr>
                <w:spacing w:val="7"/>
              </w:rPr>
              <w:t>18格地02</w:t>
            </w:r>
            <w:r>
              <w:rPr>
                <w:spacing w:val="-42"/>
              </w:rPr>
              <w:t xml:space="preserve"> </w:t>
            </w:r>
            <w:r>
              <w:rPr>
                <w:spacing w:val="7"/>
              </w:rPr>
              <w:t>”“</w:t>
            </w:r>
            <w:r>
              <w:rPr>
                <w:spacing w:val="-28"/>
              </w:rPr>
              <w:t xml:space="preserve"> </w:t>
            </w:r>
            <w:r>
              <w:rPr>
                <w:spacing w:val="7"/>
              </w:rPr>
              <w:t>18格地03</w:t>
            </w:r>
            <w:r>
              <w:rPr>
                <w:spacing w:val="-43"/>
              </w:rPr>
              <w:t xml:space="preserve"> </w:t>
            </w:r>
            <w:r>
              <w:rPr>
                <w:spacing w:val="7"/>
              </w:rPr>
              <w:t>”“</w:t>
            </w:r>
            <w:r>
              <w:rPr>
                <w:spacing w:val="-30"/>
              </w:rPr>
              <w:t xml:space="preserve"> </w:t>
            </w:r>
            <w:r>
              <w:rPr>
                <w:spacing w:val="7"/>
              </w:rPr>
              <w:t>19格地01</w:t>
            </w:r>
            <w:r>
              <w:rPr>
                <w:spacing w:val="-40"/>
              </w:rPr>
              <w:t xml:space="preserve"> </w:t>
            </w:r>
            <w:r>
              <w:rPr>
                <w:spacing w:val="7"/>
              </w:rPr>
              <w:t>”的主承销商和受</w:t>
            </w:r>
            <w:r>
              <w:rPr/>
              <w:t xml:space="preserve"> </w:t>
            </w:r>
            <w:r>
              <w:rPr>
                <w:spacing w:val="11"/>
              </w:rPr>
              <w:t>托管理人， 对存货不存在跌价情况的分析核查不严谨，</w:t>
            </w:r>
            <w:r>
              <w:rPr>
                <w:spacing w:val="10"/>
              </w:rPr>
              <w:t xml:space="preserve"> 未制作咨</w:t>
            </w:r>
            <w:r>
              <w:rPr/>
              <w:t xml:space="preserve"> </w:t>
            </w:r>
            <w:r>
              <w:rPr>
                <w:spacing w:val="13"/>
              </w:rPr>
              <w:t>询审计机构工作底稿， 未对发行人重大损失披露临时受托管理事</w:t>
            </w:r>
            <w:r>
              <w:rPr>
                <w:spacing w:val="7"/>
              </w:rPr>
              <w:t xml:space="preserve"> </w:t>
            </w:r>
            <w:r>
              <w:rPr>
                <w:spacing w:val="13"/>
              </w:rPr>
              <w:t>务报告， 对发行人立案调查事项披露临时受托管理事务报告不及</w:t>
            </w:r>
            <w:r>
              <w:rPr>
                <w:spacing w:val="7"/>
              </w:rPr>
              <w:t xml:space="preserve"> </w:t>
            </w:r>
            <w:r>
              <w:rPr>
                <w:spacing w:val="3"/>
              </w:rPr>
              <w:t>时。</w:t>
            </w:r>
          </w:p>
        </w:tc>
      </w:tr>
      <w:tr>
        <w:trPr>
          <w:trHeight w:val="804" w:hRule="atLeast"/>
        </w:trPr>
        <w:tc>
          <w:tcPr>
            <w:tcW w:w="9043" w:type="dxa"/>
            <w:vAlign w:val="top"/>
            <w:gridSpan w:val="3"/>
          </w:tcPr>
          <w:p>
            <w:pPr>
              <w:pStyle w:val="TableText"/>
              <w:ind w:left="105" w:right="103" w:firstLine="17"/>
              <w:spacing w:before="84" w:line="248" w:lineRule="auto"/>
              <w:rPr/>
            </w:pPr>
            <w:r>
              <w:rPr>
                <w:b/>
                <w:bCs/>
                <w:spacing w:val="9"/>
              </w:rPr>
              <w:t>【行政监管措施】</w:t>
            </w:r>
            <w:r>
              <w:rPr>
                <w:b/>
                <w:bCs/>
                <w:spacing w:val="-34"/>
              </w:rPr>
              <w:t xml:space="preserve"> </w:t>
            </w:r>
            <w:r>
              <w:rPr>
                <w:spacing w:val="9"/>
              </w:rPr>
              <w:t>中国证券监督管理委员会广东监管局决定对中泰证券股份有限公司采取</w:t>
            </w:r>
            <w:r>
              <w:rPr>
                <w:spacing w:val="8"/>
              </w:rPr>
              <w:t>责令改</w:t>
            </w:r>
            <w:r>
              <w:rPr/>
              <w:t xml:space="preserve"> </w:t>
            </w:r>
            <w:r>
              <w:rPr>
                <w:spacing w:val="8"/>
              </w:rPr>
              <w:t>正的行政监管措施。</w:t>
            </w:r>
          </w:p>
        </w:tc>
      </w:tr>
      <w:tr>
        <w:trPr>
          <w:trHeight w:val="2361" w:hRule="atLeast"/>
        </w:trPr>
        <w:tc>
          <w:tcPr>
            <w:shd w:val="clear" w:fill="B8CCE4"/>
            <w:tcW w:w="1366" w:type="dxa"/>
            <w:vAlign w:val="top"/>
          </w:tcPr>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pStyle w:val="TableText"/>
              <w:ind w:left="316"/>
              <w:spacing w:before="86" w:line="178" w:lineRule="auto"/>
              <w:rPr/>
            </w:pPr>
            <w:r>
              <w:rPr>
                <w:spacing w:val="3"/>
              </w:rPr>
              <w:t>600837</w:t>
            </w:r>
          </w:p>
        </w:tc>
        <w:tc>
          <w:tcPr>
            <w:shd w:val="clear" w:fill="B8CCE4"/>
            <w:tcW w:w="1416" w:type="dxa"/>
            <w:vAlign w:val="top"/>
          </w:tcPr>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pStyle w:val="TableText"/>
              <w:ind w:left="280"/>
              <w:spacing w:before="86" w:line="189" w:lineRule="auto"/>
              <w:rPr/>
            </w:pPr>
            <w:r>
              <w:rPr>
                <w:spacing w:val="8"/>
              </w:rPr>
              <w:t>海通证券</w:t>
            </w:r>
          </w:p>
        </w:tc>
        <w:tc>
          <w:tcPr>
            <w:shd w:val="clear" w:fill="B8CCE4"/>
            <w:tcW w:w="6261" w:type="dxa"/>
            <w:vAlign w:val="top"/>
          </w:tcPr>
          <w:p>
            <w:pPr>
              <w:spacing w:line="278" w:lineRule="auto"/>
              <w:rPr>
                <w:rFonts w:ascii="Arial"/>
                <w:sz w:val="21"/>
              </w:rPr>
            </w:pPr>
            <w:r/>
          </w:p>
          <w:p>
            <w:pPr>
              <w:pStyle w:val="TableText"/>
              <w:ind w:left="100" w:right="103" w:hanging="1"/>
              <w:spacing w:before="86" w:line="251" w:lineRule="auto"/>
              <w:jc w:val="both"/>
              <w:rPr/>
            </w:pPr>
            <w:r>
              <w:rPr>
                <w:spacing w:val="13"/>
              </w:rPr>
              <w:t>未审慎评估个别股票质押合约标的证券的风险， 股票质押业务风</w:t>
            </w:r>
            <w:r>
              <w:rPr>
                <w:spacing w:val="5"/>
              </w:rPr>
              <w:t xml:space="preserve"> </w:t>
            </w:r>
            <w:r>
              <w:rPr>
                <w:spacing w:val="11"/>
              </w:rPr>
              <w:t>险管理不审慎， 未审慎评估个别股票质押合约融</w:t>
            </w:r>
            <w:r>
              <w:rPr>
                <w:spacing w:val="10"/>
              </w:rPr>
              <w:t>资资金用途； 未</w:t>
            </w:r>
            <w:r>
              <w:rPr/>
              <w:t xml:space="preserve"> </w:t>
            </w:r>
            <w:r>
              <w:rPr>
                <w:spacing w:val="13"/>
              </w:rPr>
              <w:t>审慎开展收益互换业务； 个别风险债券投资内部控制程序不健全</w:t>
            </w:r>
            <w:r>
              <w:rPr>
                <w:spacing w:val="4"/>
              </w:rPr>
              <w:t xml:space="preserve"> </w:t>
            </w:r>
            <w:r>
              <w:rPr>
                <w:spacing w:val="16"/>
              </w:rPr>
              <w:t>;  另类投资子公司投资的个别私募基金实际投资标</w:t>
            </w:r>
            <w:r>
              <w:rPr>
                <w:spacing w:val="15"/>
              </w:rPr>
              <w:t>的超出另类投</w:t>
            </w:r>
            <w:r>
              <w:rPr/>
              <w:t xml:space="preserve"> </w:t>
            </w:r>
            <w:r>
              <w:rPr>
                <w:spacing w:val="8"/>
              </w:rPr>
              <w:t>资子公司业务范围。</w:t>
            </w:r>
          </w:p>
        </w:tc>
      </w:tr>
      <w:tr>
        <w:trPr>
          <w:trHeight w:val="804" w:hRule="atLeast"/>
        </w:trPr>
        <w:tc>
          <w:tcPr>
            <w:tcW w:w="9043" w:type="dxa"/>
            <w:vAlign w:val="top"/>
            <w:gridSpan w:val="3"/>
          </w:tcPr>
          <w:p>
            <w:pPr>
              <w:pStyle w:val="TableText"/>
              <w:ind w:left="105" w:right="103" w:firstLine="17"/>
              <w:spacing w:before="87" w:line="247" w:lineRule="auto"/>
              <w:rPr/>
            </w:pPr>
            <w:r>
              <w:rPr>
                <w:b/>
                <w:bCs/>
                <w:spacing w:val="9"/>
              </w:rPr>
              <w:t>【行政监管措施】</w:t>
            </w:r>
            <w:r>
              <w:rPr>
                <w:b/>
                <w:bCs/>
                <w:spacing w:val="-34"/>
              </w:rPr>
              <w:t xml:space="preserve"> </w:t>
            </w:r>
            <w:r>
              <w:rPr>
                <w:spacing w:val="9"/>
              </w:rPr>
              <w:t>中国证券监督管理委员会上海监管局决定对海通证券股份有限公司采取</w:t>
            </w:r>
            <w:r>
              <w:rPr>
                <w:spacing w:val="8"/>
              </w:rPr>
              <w:t>责令改</w:t>
            </w:r>
            <w:r>
              <w:rPr/>
              <w:t xml:space="preserve"> </w:t>
            </w:r>
            <w:r>
              <w:rPr>
                <w:spacing w:val="8"/>
              </w:rPr>
              <w:t>正的监督管理措施。</w:t>
            </w:r>
          </w:p>
        </w:tc>
      </w:tr>
      <w:tr>
        <w:trPr>
          <w:trHeight w:val="1582" w:hRule="atLeast"/>
        </w:trPr>
        <w:tc>
          <w:tcPr>
            <w:shd w:val="clear" w:fill="B8CCE4"/>
            <w:tcW w:w="1366" w:type="dxa"/>
            <w:vAlign w:val="top"/>
          </w:tcPr>
          <w:p>
            <w:pPr>
              <w:spacing w:line="313" w:lineRule="auto"/>
              <w:rPr>
                <w:rFonts w:ascii="Arial"/>
                <w:sz w:val="21"/>
              </w:rPr>
            </w:pPr>
            <w:r/>
          </w:p>
          <w:p>
            <w:pPr>
              <w:spacing w:line="313" w:lineRule="auto"/>
              <w:rPr>
                <w:rFonts w:ascii="Arial"/>
                <w:sz w:val="21"/>
              </w:rPr>
            </w:pPr>
            <w:r/>
          </w:p>
          <w:p>
            <w:pPr>
              <w:pStyle w:val="TableText"/>
              <w:ind w:left="316"/>
              <w:spacing w:before="86" w:line="179" w:lineRule="auto"/>
              <w:rPr/>
            </w:pPr>
            <w:r>
              <w:rPr>
                <w:spacing w:val="3"/>
              </w:rPr>
              <w:t>600186</w:t>
            </w:r>
          </w:p>
        </w:tc>
        <w:tc>
          <w:tcPr>
            <w:shd w:val="clear" w:fill="B8CCE4"/>
            <w:tcW w:w="1416" w:type="dxa"/>
            <w:vAlign w:val="top"/>
          </w:tcPr>
          <w:p>
            <w:pPr>
              <w:spacing w:line="306" w:lineRule="auto"/>
              <w:rPr>
                <w:rFonts w:ascii="Arial"/>
                <w:sz w:val="21"/>
              </w:rPr>
            </w:pPr>
            <w:r/>
          </w:p>
          <w:p>
            <w:pPr>
              <w:spacing w:line="307" w:lineRule="auto"/>
              <w:rPr>
                <w:rFonts w:ascii="Arial"/>
                <w:sz w:val="21"/>
              </w:rPr>
            </w:pPr>
            <w:r/>
          </w:p>
          <w:p>
            <w:pPr>
              <w:pStyle w:val="TableText"/>
              <w:ind w:left="281"/>
              <w:spacing w:before="86" w:line="189" w:lineRule="auto"/>
              <w:rPr/>
            </w:pPr>
            <w:r>
              <w:rPr>
                <w:spacing w:val="8"/>
              </w:rPr>
              <w:t>莲花健康</w:t>
            </w:r>
          </w:p>
        </w:tc>
        <w:tc>
          <w:tcPr>
            <w:shd w:val="clear" w:fill="B8CCE4"/>
            <w:tcW w:w="6261" w:type="dxa"/>
            <w:vAlign w:val="top"/>
          </w:tcPr>
          <w:p>
            <w:pPr>
              <w:spacing w:line="255" w:lineRule="auto"/>
              <w:rPr>
                <w:rFonts w:ascii="Arial"/>
                <w:sz w:val="21"/>
              </w:rPr>
            </w:pPr>
            <w:r/>
          </w:p>
          <w:p>
            <w:pPr>
              <w:pStyle w:val="TableText"/>
              <w:ind w:left="99" w:right="103" w:firstLine="9"/>
              <w:spacing w:before="86" w:line="250" w:lineRule="auto"/>
              <w:jc w:val="both"/>
              <w:rPr/>
            </w:pPr>
            <w:r>
              <w:rPr>
                <w:spacing w:val="8"/>
              </w:rPr>
              <w:t>2023年8月至2024年1月， 公司使用2亿元闲置募集资金暂时补充 </w:t>
            </w:r>
            <w:r>
              <w:rPr>
                <w:spacing w:val="7"/>
              </w:rPr>
              <w:t>流动资金， </w:t>
            </w:r>
            <w:r>
              <w:rPr>
                <w:b/>
                <w:bCs/>
                <w:spacing w:val="7"/>
              </w:rPr>
              <w:t>其中将2,134万元用作对下属子公司杭州莲花科技创新</w:t>
            </w:r>
            <w:r>
              <w:rPr>
                <w:b/>
                <w:bCs/>
                <w:spacing w:val="8"/>
              </w:rPr>
              <w:t xml:space="preserve"> </w:t>
            </w:r>
            <w:r>
              <w:rPr>
                <w:b/>
                <w:bCs/>
                <w:spacing w:val="9"/>
              </w:rPr>
              <w:t>有限公司的长期股权投资款</w:t>
            </w:r>
            <w:r>
              <w:rPr>
                <w:spacing w:val="9"/>
              </w:rPr>
              <w:t>且未进行披露。</w:t>
            </w:r>
          </w:p>
        </w:tc>
      </w:tr>
      <w:tr>
        <w:trPr>
          <w:trHeight w:val="1590" w:hRule="atLeast"/>
        </w:trPr>
        <w:tc>
          <w:tcPr>
            <w:tcW w:w="9043" w:type="dxa"/>
            <w:vAlign w:val="top"/>
            <w:gridSpan w:val="3"/>
          </w:tcPr>
          <w:p>
            <w:pPr>
              <w:pStyle w:val="TableText"/>
              <w:ind w:left="105" w:right="103" w:firstLine="17"/>
              <w:spacing w:before="300" w:line="255" w:lineRule="auto"/>
              <w:jc w:val="both"/>
              <w:rPr/>
            </w:pPr>
            <w:r>
              <w:rPr>
                <w:b/>
                <w:bCs/>
                <w:spacing w:val="9"/>
              </w:rPr>
              <w:t>【行政监管措施】</w:t>
            </w:r>
            <w:r>
              <w:rPr>
                <w:b/>
                <w:bCs/>
                <w:spacing w:val="-34"/>
              </w:rPr>
              <w:t xml:space="preserve"> </w:t>
            </w:r>
            <w:r>
              <w:rPr>
                <w:spacing w:val="9"/>
              </w:rPr>
              <w:t>中国证券监督管理委员会河南监管局决定对莲花健康产业集团股份有限</w:t>
            </w:r>
            <w:r>
              <w:rPr>
                <w:spacing w:val="8"/>
              </w:rPr>
              <w:t>公司采</w:t>
            </w:r>
            <w:r>
              <w:rPr/>
              <w:t xml:space="preserve"> </w:t>
            </w:r>
            <w:r>
              <w:rPr>
                <w:spacing w:val="10"/>
              </w:rPr>
              <w:t>取责令改正的行政监管措施， 对董事长,时任董秘李某文、总经理李某、</w:t>
            </w:r>
            <w:r>
              <w:rPr>
                <w:spacing w:val="-37"/>
              </w:rPr>
              <w:t xml:space="preserve"> </w:t>
            </w:r>
            <w:r>
              <w:rPr>
                <w:spacing w:val="10"/>
              </w:rPr>
              <w:t>时任董秘,时任总经</w:t>
            </w:r>
            <w:r>
              <w:rPr>
                <w:spacing w:val="9"/>
              </w:rPr>
              <w:t>理曹</w:t>
            </w:r>
            <w:r>
              <w:rPr/>
              <w:t xml:space="preserve"> </w:t>
            </w:r>
            <w:r>
              <w:rPr>
                <w:spacing w:val="8"/>
              </w:rPr>
              <w:t>某胜、财务总监于某采取出具警示函的行政监管措施， 并记入证券期货</w:t>
            </w:r>
            <w:r>
              <w:rPr>
                <w:spacing w:val="7"/>
              </w:rPr>
              <w:t>市场诚信档案。</w:t>
            </w:r>
          </w:p>
        </w:tc>
      </w:tr>
    </w:tbl>
    <w:p>
      <w:pPr>
        <w:pStyle w:val="BodyText"/>
        <w:rPr/>
      </w:pPr>
      <w:r/>
    </w:p>
    <w:p>
      <w:pPr>
        <w:sectPr>
          <w:pgSz w:w="11910" w:h="16840"/>
          <w:pgMar w:top="400" w:right="1560" w:bottom="400" w:left="1291" w:header="0" w:footer="0" w:gutter="0"/>
        </w:sectPr>
        <w:rPr/>
      </w:pPr>
    </w:p>
    <w:tbl>
      <w:tblPr>
        <w:tblStyle w:val="TableNormal"/>
        <w:tblW w:w="9043" w:type="dxa"/>
        <w:tblInd w:w="820"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366"/>
        <w:gridCol w:w="1416"/>
        <w:gridCol w:w="6261"/>
      </w:tblGrid>
      <w:tr>
        <w:trPr>
          <w:trHeight w:val="3547" w:hRule="atLeast"/>
        </w:trPr>
        <w:tc>
          <w:tcPr>
            <w:shd w:val="clear" w:fill="B8CCE4"/>
            <w:tcW w:w="1366" w:type="dxa"/>
            <w:vAlign w:val="top"/>
            <w:tcBorders>
              <w:top w:val="single" w:color="FFFFFF" w:sz="2" w:space="0"/>
            </w:tcBorders>
          </w:tcPr>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8" w:lineRule="auto"/>
              <w:rPr>
                <w:rFonts w:ascii="Arial"/>
                <w:sz w:val="21"/>
              </w:rPr>
            </w:pPr>
            <w:r/>
          </w:p>
          <w:p>
            <w:pPr>
              <w:pStyle w:val="TableText"/>
              <w:ind w:left="316"/>
              <w:spacing w:before="86" w:line="178" w:lineRule="auto"/>
              <w:rPr/>
            </w:pPr>
            <w:r>
              <w:rPr>
                <w:spacing w:val="3"/>
              </w:rPr>
              <w:t>600603</w:t>
            </w:r>
          </w:p>
        </w:tc>
        <w:tc>
          <w:tcPr>
            <w:shd w:val="clear" w:fill="B8CCE4"/>
            <w:tcW w:w="1416" w:type="dxa"/>
            <w:vAlign w:val="top"/>
            <w:tcBorders>
              <w:top w:val="single" w:color="FFFFFF" w:sz="2" w:space="0"/>
            </w:tcBorders>
          </w:tcPr>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spacing w:line="265" w:lineRule="auto"/>
              <w:rPr>
                <w:rFonts w:ascii="Arial"/>
                <w:sz w:val="21"/>
              </w:rPr>
            </w:pPr>
            <w:r/>
          </w:p>
          <w:p>
            <w:pPr>
              <w:pStyle w:val="TableText"/>
              <w:ind w:left="279"/>
              <w:spacing w:before="86" w:line="191" w:lineRule="auto"/>
              <w:rPr/>
            </w:pPr>
            <w:r>
              <w:rPr>
                <w:spacing w:val="8"/>
              </w:rPr>
              <w:t>广汇物流</w:t>
            </w:r>
          </w:p>
        </w:tc>
        <w:tc>
          <w:tcPr>
            <w:shd w:val="clear" w:fill="B8CCE4"/>
            <w:tcW w:w="6261" w:type="dxa"/>
            <w:vAlign w:val="top"/>
            <w:tcBorders>
              <w:top w:val="single" w:color="FFFFFF" w:sz="2" w:space="0"/>
            </w:tcBorders>
          </w:tcPr>
          <w:p>
            <w:pPr>
              <w:rPr>
                <w:rFonts w:ascii="Arial"/>
                <w:sz w:val="21"/>
              </w:rPr>
            </w:pPr>
            <w:r/>
          </w:p>
          <w:p>
            <w:pPr>
              <w:rPr>
                <w:rFonts w:ascii="Arial"/>
                <w:sz w:val="21"/>
              </w:rPr>
            </w:pPr>
            <w:r/>
          </w:p>
          <w:p>
            <w:pPr>
              <w:pStyle w:val="TableText"/>
              <w:ind w:left="98" w:right="103" w:firstLine="1"/>
              <w:spacing w:before="86" w:line="253" w:lineRule="auto"/>
              <w:rPr/>
            </w:pPr>
            <w:r>
              <w:rPr>
                <w:spacing w:val="13"/>
              </w:rPr>
              <w:t>公司未按照《企业会计准则第14号——收入》第四条、第五</w:t>
            </w:r>
            <w:r>
              <w:rPr>
                <w:spacing w:val="12"/>
              </w:rPr>
              <w:t>条规</w:t>
            </w:r>
            <w:r>
              <w:rPr/>
              <w:t xml:space="preserve"> </w:t>
            </w:r>
            <w:r>
              <w:rPr>
                <w:spacing w:val="10"/>
              </w:rPr>
              <w:t>定确认房地产项目收入， 2022年对部分房地产项目提前确认收入</w:t>
            </w:r>
            <w:r>
              <w:rPr>
                <w:spacing w:val="4"/>
              </w:rPr>
              <w:t xml:space="preserve"> </w:t>
            </w:r>
            <w:r>
              <w:rPr>
                <w:spacing w:val="10"/>
              </w:rPr>
              <w:t>,  导致2022年年度报告相关</w:t>
            </w:r>
            <w:r>
              <w:rPr>
                <w:b/>
                <w:bCs/>
                <w:spacing w:val="10"/>
              </w:rPr>
              <w:t>财务信息不准确</w:t>
            </w:r>
            <w:r>
              <w:rPr>
                <w:spacing w:val="10"/>
              </w:rPr>
              <w:t>； 公司未披露控股股</w:t>
            </w:r>
            <w:r>
              <w:rPr>
                <w:spacing w:val="16"/>
              </w:rPr>
              <w:t xml:space="preserve"> </w:t>
            </w:r>
            <w:r>
              <w:rPr>
                <w:spacing w:val="8"/>
              </w:rPr>
              <w:t>东新疆广汇实业投资 （集团） 有限责任公司及其关联方2020年、</w:t>
            </w:r>
            <w:r>
              <w:rPr/>
              <w:t xml:space="preserve"> </w:t>
            </w:r>
            <w:r>
              <w:rPr>
                <w:spacing w:val="12"/>
              </w:rPr>
              <w:t>2022年</w:t>
            </w:r>
            <w:r>
              <w:rPr>
                <w:b/>
                <w:bCs/>
                <w:spacing w:val="12"/>
              </w:rPr>
              <w:t>非经营性占用</w:t>
            </w:r>
            <w:r>
              <w:rPr>
                <w:spacing w:val="12"/>
              </w:rPr>
              <w:t>上市公司资金及后续年度归还占用资金情况</w:t>
            </w:r>
            <w:r>
              <w:rPr>
                <w:spacing w:val="14"/>
              </w:rPr>
              <w:t xml:space="preserve"> </w:t>
            </w:r>
            <w:r>
              <w:rPr>
                <w:spacing w:val="12"/>
              </w:rPr>
              <w:t>;  公司</w:t>
            </w:r>
            <w:r>
              <w:rPr>
                <w:b/>
                <w:bCs/>
                <w:spacing w:val="12"/>
              </w:rPr>
              <w:t>内幕信息知情人登记</w:t>
            </w:r>
            <w:r>
              <w:rPr>
                <w:spacing w:val="12"/>
              </w:rPr>
              <w:t>存在不规范情况， 原子公司汇融通  (</w:t>
            </w:r>
            <w:r>
              <w:rPr>
                <w:spacing w:val="17"/>
                <w:w w:val="101"/>
              </w:rPr>
              <w:t xml:space="preserve"> </w:t>
            </w:r>
            <w:r>
              <w:rPr>
                <w:spacing w:val="7"/>
              </w:rPr>
              <w:t>成都） 供应链管理有限责任公司未按要求建立</w:t>
            </w:r>
            <w:r>
              <w:rPr>
                <w:b/>
                <w:bCs/>
                <w:spacing w:val="7"/>
              </w:rPr>
              <w:t>印章管理台账</w:t>
            </w:r>
            <w:r>
              <w:rPr>
                <w:spacing w:val="7"/>
              </w:rPr>
              <w:t>。</w:t>
            </w:r>
          </w:p>
        </w:tc>
      </w:tr>
      <w:tr>
        <w:trPr>
          <w:trHeight w:val="1582" w:hRule="atLeast"/>
        </w:trPr>
        <w:tc>
          <w:tcPr>
            <w:tcW w:w="9043" w:type="dxa"/>
            <w:vAlign w:val="top"/>
            <w:gridSpan w:val="3"/>
          </w:tcPr>
          <w:p>
            <w:pPr>
              <w:pStyle w:val="TableText"/>
              <w:ind w:left="105" w:right="103" w:firstLine="17"/>
              <w:spacing w:before="290" w:line="255" w:lineRule="auto"/>
              <w:jc w:val="both"/>
              <w:rPr/>
            </w:pPr>
            <w:r>
              <w:rPr>
                <w:b/>
                <w:bCs/>
                <w:spacing w:val="9"/>
              </w:rPr>
              <w:t>【行政监管措施】</w:t>
            </w:r>
            <w:r>
              <w:rPr>
                <w:b/>
                <w:bCs/>
                <w:spacing w:val="-34"/>
              </w:rPr>
              <w:t xml:space="preserve"> </w:t>
            </w:r>
            <w:r>
              <w:rPr>
                <w:spacing w:val="9"/>
              </w:rPr>
              <w:t>中国证券监督管理委员会四川监管局决定对广汇物流采取责令改正的行</w:t>
            </w:r>
            <w:r>
              <w:rPr>
                <w:spacing w:val="8"/>
              </w:rPr>
              <w:t>政监管</w:t>
            </w:r>
            <w:r>
              <w:rPr/>
              <w:t xml:space="preserve"> </w:t>
            </w:r>
            <w:r>
              <w:rPr>
                <w:spacing w:val="8"/>
              </w:rPr>
              <w:t>措施， 对广汇集团、广汇集团总裁宋某升、时任董事长杨某军、董事长赵某、财务总监高某、董</w:t>
            </w:r>
            <w:r>
              <w:rPr>
                <w:spacing w:val="15"/>
              </w:rPr>
              <w:t xml:space="preserve"> </w:t>
            </w:r>
            <w:r>
              <w:rPr>
                <w:spacing w:val="8"/>
              </w:rPr>
              <w:t>事会秘书康某东分别采取出具警示函的行政监管措施， 并记入证券期货</w:t>
            </w:r>
            <w:r>
              <w:rPr>
                <w:spacing w:val="7"/>
              </w:rPr>
              <w:t>市场诚信档案。</w:t>
            </w:r>
          </w:p>
        </w:tc>
      </w:tr>
      <w:tr>
        <w:trPr>
          <w:trHeight w:val="2050" w:hRule="atLeast"/>
        </w:trPr>
        <w:tc>
          <w:tcPr>
            <w:shd w:val="clear" w:fill="B8CCE4"/>
            <w:tcW w:w="1366" w:type="dxa"/>
            <w:vAlign w:val="top"/>
          </w:tcPr>
          <w:p>
            <w:pPr>
              <w:spacing w:line="284" w:lineRule="auto"/>
              <w:rPr>
                <w:rFonts w:ascii="Arial"/>
                <w:sz w:val="21"/>
              </w:rPr>
            </w:pPr>
            <w:r/>
          </w:p>
          <w:p>
            <w:pPr>
              <w:spacing w:line="284" w:lineRule="auto"/>
              <w:rPr>
                <w:rFonts w:ascii="Arial"/>
                <w:sz w:val="21"/>
              </w:rPr>
            </w:pPr>
            <w:r/>
          </w:p>
          <w:p>
            <w:pPr>
              <w:spacing w:line="285" w:lineRule="auto"/>
              <w:rPr>
                <w:rFonts w:ascii="Arial"/>
                <w:sz w:val="21"/>
              </w:rPr>
            </w:pPr>
            <w:r/>
          </w:p>
          <w:p>
            <w:pPr>
              <w:pStyle w:val="TableText"/>
              <w:ind w:left="316"/>
              <w:spacing w:before="86" w:line="179" w:lineRule="auto"/>
              <w:rPr/>
            </w:pPr>
            <w:r>
              <w:rPr>
                <w:spacing w:val="3"/>
              </w:rPr>
              <w:t>601995</w:t>
            </w:r>
          </w:p>
        </w:tc>
        <w:tc>
          <w:tcPr>
            <w:shd w:val="clear" w:fill="B8CCE4"/>
            <w:tcW w:w="1416" w:type="dxa"/>
            <w:vAlign w:val="top"/>
          </w:tcPr>
          <w:p>
            <w:pPr>
              <w:spacing w:line="280" w:lineRule="auto"/>
              <w:rPr>
                <w:rFonts w:ascii="Arial"/>
                <w:sz w:val="21"/>
              </w:rPr>
            </w:pPr>
            <w:r/>
          </w:p>
          <w:p>
            <w:pPr>
              <w:spacing w:line="280" w:lineRule="auto"/>
              <w:rPr>
                <w:rFonts w:ascii="Arial"/>
                <w:sz w:val="21"/>
              </w:rPr>
            </w:pPr>
            <w:r/>
          </w:p>
          <w:p>
            <w:pPr>
              <w:spacing w:line="280" w:lineRule="auto"/>
              <w:rPr>
                <w:rFonts w:ascii="Arial"/>
                <w:sz w:val="21"/>
              </w:rPr>
            </w:pPr>
            <w:r/>
          </w:p>
          <w:p>
            <w:pPr>
              <w:pStyle w:val="TableText"/>
              <w:ind w:left="294"/>
              <w:spacing w:before="86" w:line="189" w:lineRule="auto"/>
              <w:rPr/>
            </w:pPr>
            <w:r>
              <w:rPr>
                <w:spacing w:val="5"/>
              </w:rPr>
              <w:t>中金公司</w:t>
            </w:r>
          </w:p>
        </w:tc>
        <w:tc>
          <w:tcPr>
            <w:shd w:val="clear" w:fill="B8CCE4"/>
            <w:tcW w:w="6261" w:type="dxa"/>
            <w:vAlign w:val="top"/>
          </w:tcPr>
          <w:p>
            <w:pPr>
              <w:spacing w:line="336" w:lineRule="auto"/>
              <w:rPr>
                <w:rFonts w:ascii="Arial"/>
                <w:sz w:val="21"/>
              </w:rPr>
            </w:pPr>
            <w:r/>
          </w:p>
          <w:p>
            <w:pPr>
              <w:pStyle w:val="TableText"/>
              <w:ind w:left="100" w:right="170" w:firstLine="14"/>
              <w:spacing w:before="86" w:line="251" w:lineRule="auto"/>
              <w:jc w:val="both"/>
              <w:rPr/>
            </w:pPr>
            <w:r>
              <w:rPr>
                <w:spacing w:val="9"/>
              </w:rPr>
              <w:t>中国国际金融股份有限公司存在自营和投顾账户间发生交易,利益</w:t>
            </w:r>
            <w:r>
              <w:rPr/>
              <w:t xml:space="preserve">  </w:t>
            </w:r>
            <w:r>
              <w:rPr>
                <w:spacing w:val="9"/>
              </w:rPr>
              <w:t>冲突管理不到位,开展场外期权业务不审慎,对子公司业务和投资行</w:t>
            </w:r>
            <w:r>
              <w:rPr>
                <w:spacing w:val="8"/>
              </w:rPr>
              <w:t xml:space="preserve"> </w:t>
            </w:r>
            <w:r>
              <w:rPr>
                <w:spacing w:val="9"/>
              </w:rPr>
              <w:t>为管理不到位,公司治理不规范的情况,反映出公司未能有效实施合</w:t>
            </w:r>
            <w:r>
              <w:rPr>
                <w:spacing w:val="8"/>
              </w:rPr>
              <w:t xml:space="preserve"> </w:t>
            </w:r>
            <w:r>
              <w:rPr>
                <w:spacing w:val="8"/>
              </w:rPr>
              <w:t>规管理,内部控制不完善。</w:t>
            </w:r>
          </w:p>
        </w:tc>
      </w:tr>
      <w:tr>
        <w:trPr>
          <w:trHeight w:val="1444" w:hRule="atLeast"/>
        </w:trPr>
        <w:tc>
          <w:tcPr>
            <w:tcW w:w="9043" w:type="dxa"/>
            <w:vAlign w:val="top"/>
            <w:gridSpan w:val="3"/>
          </w:tcPr>
          <w:p>
            <w:pPr>
              <w:pStyle w:val="TableText"/>
              <w:ind w:left="105" w:right="103" w:firstLine="16"/>
              <w:spacing w:before="44" w:line="243" w:lineRule="auto"/>
              <w:jc w:val="both"/>
              <w:rPr/>
            </w:pPr>
            <w:r>
              <w:rPr>
                <w:b/>
                <w:bCs/>
                <w:spacing w:val="9"/>
              </w:rPr>
              <w:t>【行政监管措施】</w:t>
            </w:r>
            <w:r>
              <w:rPr>
                <w:b/>
                <w:bCs/>
                <w:spacing w:val="-34"/>
              </w:rPr>
              <w:t xml:space="preserve"> </w:t>
            </w:r>
            <w:r>
              <w:rPr>
                <w:spacing w:val="9"/>
              </w:rPr>
              <w:t>中国证券监督管理委员会北京监管局决定对中国国际金融股份有限公司</w:t>
            </w:r>
            <w:r>
              <w:rPr>
                <w:spacing w:val="8"/>
              </w:rPr>
              <w:t>采取如</w:t>
            </w:r>
            <w:r>
              <w:rPr/>
              <w:t xml:space="preserve"> </w:t>
            </w:r>
            <w:r>
              <w:rPr>
                <w:spacing w:val="12"/>
              </w:rPr>
              <w:t>下监督管理措施:责令中国国际金融股份有限公司就上述问题认真整改,并自监督管理措施决定作</w:t>
            </w:r>
            <w:r>
              <w:rPr>
                <w:spacing w:val="5"/>
              </w:rPr>
              <w:t xml:space="preserve"> </w:t>
            </w:r>
            <w:r>
              <w:rPr>
                <w:spacing w:val="14"/>
              </w:rPr>
              <w:t>出之日起1年内,每3个月开展一次内部合</w:t>
            </w:r>
            <w:r>
              <w:rPr>
                <w:spacing w:val="13"/>
              </w:rPr>
              <w:t>规检查,并在每次检查后10个工作日内,向中国证券监督</w:t>
            </w:r>
            <w:r>
              <w:rPr/>
              <w:t xml:space="preserve"> </w:t>
            </w:r>
            <w:r>
              <w:rPr>
                <w:spacing w:val="9"/>
              </w:rPr>
              <w:t>管理委员会北京监管局报送合规检查报告。</w:t>
            </w:r>
          </w:p>
        </w:tc>
      </w:tr>
      <w:tr>
        <w:trPr>
          <w:trHeight w:val="1582" w:hRule="atLeast"/>
        </w:trPr>
        <w:tc>
          <w:tcPr>
            <w:shd w:val="clear" w:fill="B8CCE4"/>
            <w:tcW w:w="1366" w:type="dxa"/>
            <w:vAlign w:val="top"/>
          </w:tcPr>
          <w:p>
            <w:pPr>
              <w:spacing w:line="312" w:lineRule="auto"/>
              <w:rPr>
                <w:rFonts w:ascii="Arial"/>
                <w:sz w:val="21"/>
              </w:rPr>
            </w:pPr>
            <w:r/>
          </w:p>
          <w:p>
            <w:pPr>
              <w:spacing w:line="312" w:lineRule="auto"/>
              <w:rPr>
                <w:rFonts w:ascii="Arial"/>
                <w:sz w:val="21"/>
              </w:rPr>
            </w:pPr>
            <w:r/>
          </w:p>
          <w:p>
            <w:pPr>
              <w:pStyle w:val="TableText"/>
              <w:ind w:left="316"/>
              <w:spacing w:before="85" w:line="179" w:lineRule="auto"/>
              <w:rPr/>
            </w:pPr>
            <w:r>
              <w:rPr>
                <w:spacing w:val="3"/>
              </w:rPr>
              <w:t>601066</w:t>
            </w:r>
          </w:p>
        </w:tc>
        <w:tc>
          <w:tcPr>
            <w:shd w:val="clear" w:fill="B8CCE4"/>
            <w:tcW w:w="1416" w:type="dxa"/>
            <w:vAlign w:val="top"/>
          </w:tcPr>
          <w:p>
            <w:pPr>
              <w:spacing w:line="305" w:lineRule="auto"/>
              <w:rPr>
                <w:rFonts w:ascii="Arial"/>
                <w:sz w:val="21"/>
              </w:rPr>
            </w:pPr>
            <w:r/>
          </w:p>
          <w:p>
            <w:pPr>
              <w:spacing w:line="305" w:lineRule="auto"/>
              <w:rPr>
                <w:rFonts w:ascii="Arial"/>
                <w:sz w:val="21"/>
              </w:rPr>
            </w:pPr>
            <w:r/>
          </w:p>
          <w:p>
            <w:pPr>
              <w:pStyle w:val="TableText"/>
              <w:ind w:left="294"/>
              <w:spacing w:before="86" w:line="189" w:lineRule="auto"/>
              <w:rPr/>
            </w:pPr>
            <w:r>
              <w:rPr>
                <w:spacing w:val="5"/>
              </w:rPr>
              <w:t>中信建投</w:t>
            </w:r>
          </w:p>
        </w:tc>
        <w:tc>
          <w:tcPr>
            <w:shd w:val="clear" w:fill="B8CCE4"/>
            <w:tcW w:w="6261" w:type="dxa"/>
            <w:vAlign w:val="top"/>
          </w:tcPr>
          <w:p>
            <w:pPr>
              <w:spacing w:line="253" w:lineRule="auto"/>
              <w:rPr>
                <w:rFonts w:ascii="Arial"/>
                <w:sz w:val="21"/>
              </w:rPr>
            </w:pPr>
            <w:r/>
          </w:p>
          <w:p>
            <w:pPr>
              <w:pStyle w:val="TableText"/>
              <w:ind w:left="98" w:right="105" w:firstLine="16"/>
              <w:spacing w:before="86" w:line="250" w:lineRule="auto"/>
              <w:jc w:val="both"/>
              <w:rPr/>
            </w:pPr>
            <w:r>
              <w:rPr>
                <w:spacing w:val="13"/>
              </w:rPr>
              <w:t>中信建投证券股份有限公司存在以下问题:开展场外期权及自营业</w:t>
            </w:r>
            <w:r>
              <w:rPr/>
              <w:t xml:space="preserve"> </w:t>
            </w:r>
            <w:r>
              <w:rPr>
                <w:spacing w:val="9"/>
              </w:rPr>
              <w:t>务不审慎,对从业人员管理不到位的情况,公司治理不规范,反映出公</w:t>
            </w:r>
            <w:r>
              <w:rPr>
                <w:spacing w:val="17"/>
                <w:w w:val="101"/>
              </w:rPr>
              <w:t xml:space="preserve"> </w:t>
            </w:r>
            <w:r>
              <w:rPr>
                <w:spacing w:val="9"/>
              </w:rPr>
              <w:t>司未能有效实施合规管理、风险管理和内部控制。</w:t>
            </w:r>
          </w:p>
        </w:tc>
      </w:tr>
      <w:tr>
        <w:trPr>
          <w:trHeight w:val="2392" w:hRule="atLeast"/>
        </w:trPr>
        <w:tc>
          <w:tcPr>
            <w:tcW w:w="9043" w:type="dxa"/>
            <w:vAlign w:val="top"/>
            <w:gridSpan w:val="3"/>
          </w:tcPr>
          <w:p>
            <w:pPr>
              <w:spacing w:line="253" w:lineRule="auto"/>
              <w:rPr>
                <w:rFonts w:ascii="Arial"/>
                <w:sz w:val="21"/>
              </w:rPr>
            </w:pPr>
            <w:r/>
          </w:p>
          <w:p>
            <w:pPr>
              <w:pStyle w:val="TableText"/>
              <w:ind w:left="105" w:right="103" w:firstLine="17"/>
              <w:spacing w:before="85" w:line="255" w:lineRule="auto"/>
              <w:jc w:val="both"/>
              <w:rPr/>
            </w:pPr>
            <w:r>
              <w:rPr>
                <w:b/>
                <w:bCs/>
                <w:spacing w:val="9"/>
              </w:rPr>
              <w:t>【行政监管措施】</w:t>
            </w:r>
            <w:r>
              <w:rPr>
                <w:b/>
                <w:bCs/>
                <w:spacing w:val="-34"/>
              </w:rPr>
              <w:t xml:space="preserve"> </w:t>
            </w:r>
            <w:r>
              <w:rPr>
                <w:spacing w:val="9"/>
              </w:rPr>
              <w:t>中国证券监督管理委员会北京监管局决定对中信建投证券股份有限公司</w:t>
            </w:r>
            <w:r>
              <w:rPr>
                <w:spacing w:val="8"/>
              </w:rPr>
              <w:t>采取如</w:t>
            </w:r>
            <w:r>
              <w:rPr/>
              <w:t xml:space="preserve"> </w:t>
            </w:r>
            <w:r>
              <w:rPr>
                <w:spacing w:val="12"/>
              </w:rPr>
              <w:t>下监督管理措施:责令中信建投证券股份有限公司就上述问题认真整改,并在监管措施决定下发之</w:t>
            </w:r>
            <w:r>
              <w:rPr>
                <w:spacing w:val="6"/>
              </w:rPr>
              <w:t xml:space="preserve"> </w:t>
            </w:r>
            <w:r>
              <w:rPr>
                <w:spacing w:val="13"/>
              </w:rPr>
              <w:t>日起一年内,每3个月开展一次内部合规检查,根据检查情</w:t>
            </w:r>
            <w:r>
              <w:rPr>
                <w:spacing w:val="12"/>
              </w:rPr>
              <w:t>况不断完善管理制度和内部控制措施,加</w:t>
            </w:r>
            <w:r>
              <w:rPr/>
              <w:t xml:space="preserve"> </w:t>
            </w:r>
            <w:r>
              <w:rPr>
                <w:spacing w:val="11"/>
              </w:rPr>
              <w:t>强对业务和人员管理,防范和控制风险,并在每次检查后10个工作日内向中国证券监督管理委员会</w:t>
            </w:r>
            <w:r>
              <w:rPr>
                <w:spacing w:val="3"/>
              </w:rPr>
              <w:t xml:space="preserve"> </w:t>
            </w:r>
            <w:r>
              <w:rPr>
                <w:spacing w:val="9"/>
              </w:rPr>
              <w:t>北京监管局报送合规检查报告。</w:t>
            </w:r>
          </w:p>
        </w:tc>
      </w:tr>
    </w:tbl>
    <w:p>
      <w:pPr>
        <w:pStyle w:val="BodyText"/>
        <w:spacing w:line="344" w:lineRule="auto"/>
        <w:rPr/>
      </w:pPr>
      <w:r/>
    </w:p>
    <w:p>
      <w:pPr>
        <w:pStyle w:val="BodyText"/>
        <w:spacing w:line="344" w:lineRule="auto"/>
        <w:rPr/>
      </w:pPr>
      <w:r/>
    </w:p>
    <w:p>
      <w:pPr>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w:t>
      </w:r>
      <w:r>
        <w:rPr>
          <w:rFonts w:ascii="Microsoft YaHei" w:hAnsi="Microsoft YaHei" w:eastAsia="Microsoft YaHei" w:cs="Microsoft YaHei"/>
          <w:sz w:val="24"/>
          <w:szCs w:val="24"/>
          <w:b/>
          <w:bCs/>
          <w:color w:val="333333"/>
          <w:spacing w:val="18"/>
        </w:rPr>
        <w:t xml:space="preserve"> </w:t>
      </w:r>
      <w:r>
        <w:rPr>
          <w:rFonts w:ascii="Microsoft YaHei" w:hAnsi="Microsoft YaHei" w:eastAsia="Microsoft YaHei" w:cs="Microsoft YaHei"/>
          <w:sz w:val="24"/>
          <w:szCs w:val="24"/>
          <w:b/>
          <w:bCs/>
          <w:color w:val="333333"/>
          <w:spacing w:val="-3"/>
        </w:rPr>
        <w:t>4 ）</w:t>
      </w:r>
      <w:r>
        <w:rPr>
          <w:rFonts w:ascii="Microsoft YaHei" w:hAnsi="Microsoft YaHei" w:eastAsia="Microsoft YaHei" w:cs="Microsoft YaHei"/>
          <w:sz w:val="24"/>
          <w:szCs w:val="24"/>
          <w:b/>
          <w:bCs/>
          <w:color w:val="333333"/>
          <w:spacing w:val="-6"/>
        </w:rPr>
        <w:t xml:space="preserve"> </w:t>
      </w:r>
      <w:r>
        <w:rPr>
          <w:rFonts w:ascii="Microsoft YaHei" w:hAnsi="Microsoft YaHei" w:eastAsia="Microsoft YaHei" w:cs="Microsoft YaHei"/>
          <w:sz w:val="24"/>
          <w:szCs w:val="24"/>
          <w:b/>
          <w:bCs/>
          <w:color w:val="333333"/>
          <w:spacing w:val="-3"/>
        </w:rPr>
        <w:t>立案调查</w:t>
      </w:r>
    </w:p>
    <w:p>
      <w:pPr>
        <w:spacing w:before="181"/>
        <w:rPr/>
      </w:pPr>
      <w:r/>
    </w:p>
    <w:tbl>
      <w:tblPr>
        <w:tblStyle w:val="TableNormal"/>
        <w:tblW w:w="8863" w:type="dxa"/>
        <w:tblInd w:w="91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6306"/>
      </w:tblGrid>
      <w:tr>
        <w:trPr>
          <w:trHeight w:val="382" w:hRule="atLeast"/>
        </w:trPr>
        <w:tc>
          <w:tcPr>
            <w:shd w:val="clear" w:fill="4F81BD"/>
            <w:tcW w:w="1214" w:type="dxa"/>
            <w:vAlign w:val="top"/>
            <w:tcBorders>
              <w:bottom w:val="single" w:color="FFFFFF" w:sz="2" w:space="0"/>
            </w:tcBorders>
          </w:tcPr>
          <w:p>
            <w:pPr>
              <w:pStyle w:val="TableText"/>
              <w:ind w:left="182"/>
              <w:spacing w:before="108" w:line="184" w:lineRule="auto"/>
              <w:rPr/>
            </w:pPr>
            <w:r>
              <w:rPr>
                <w:b/>
                <w:bCs/>
                <w:color w:val="FFFFFF"/>
                <w:spacing w:val="8"/>
              </w:rPr>
              <w:t>公司代码</w:t>
            </w:r>
          </w:p>
        </w:tc>
        <w:tc>
          <w:tcPr>
            <w:shd w:val="clear" w:fill="4F81BD"/>
            <w:tcW w:w="1343" w:type="dxa"/>
            <w:vAlign w:val="top"/>
            <w:tcBorders>
              <w:bottom w:val="single" w:color="FFFFFF" w:sz="2" w:space="0"/>
            </w:tcBorders>
          </w:tcPr>
          <w:p>
            <w:pPr>
              <w:pStyle w:val="TableText"/>
              <w:ind w:left="242"/>
              <w:spacing w:before="108" w:line="184" w:lineRule="auto"/>
              <w:rPr/>
            </w:pPr>
            <w:r>
              <w:rPr>
                <w:b/>
                <w:bCs/>
                <w:color w:val="FFFFFF"/>
                <w:spacing w:val="8"/>
              </w:rPr>
              <w:t>公司简称</w:t>
            </w:r>
          </w:p>
        </w:tc>
        <w:tc>
          <w:tcPr>
            <w:shd w:val="clear" w:fill="4F81BD"/>
            <w:tcW w:w="6306" w:type="dxa"/>
            <w:vAlign w:val="top"/>
            <w:tcBorders>
              <w:bottom w:val="single" w:color="FFFFFF" w:sz="2" w:space="0"/>
            </w:tcBorders>
          </w:tcPr>
          <w:p>
            <w:pPr>
              <w:pStyle w:val="TableText"/>
              <w:ind w:left="2726"/>
              <w:spacing w:before="108" w:line="184" w:lineRule="auto"/>
              <w:rPr/>
            </w:pPr>
            <w:r>
              <w:rPr>
                <w:b/>
                <w:bCs/>
                <w:color w:val="FFFFFF"/>
                <w:spacing w:val="8"/>
              </w:rPr>
              <w:t>违规行为</w:t>
            </w:r>
          </w:p>
        </w:tc>
      </w:tr>
      <w:tr>
        <w:trPr>
          <w:trHeight w:val="1075" w:hRule="atLeast"/>
        </w:trPr>
        <w:tc>
          <w:tcPr>
            <w:shd w:val="clear" w:fill="B8CCE4"/>
            <w:tcW w:w="1214" w:type="dxa"/>
            <w:vAlign w:val="top"/>
            <w:tcBorders>
              <w:top w:val="single" w:color="FFFFFF" w:sz="2" w:space="0"/>
            </w:tcBorders>
          </w:tcPr>
          <w:p>
            <w:pPr>
              <w:spacing w:line="372" w:lineRule="auto"/>
              <w:rPr>
                <w:rFonts w:ascii="Arial"/>
                <w:sz w:val="21"/>
              </w:rPr>
            </w:pPr>
            <w:r/>
          </w:p>
          <w:p>
            <w:pPr>
              <w:pStyle w:val="TableText"/>
              <w:ind w:left="240"/>
              <w:spacing w:before="86" w:line="178" w:lineRule="auto"/>
              <w:rPr/>
            </w:pPr>
            <w:r>
              <w:rPr>
                <w:spacing w:val="3"/>
              </w:rPr>
              <w:t>603879</w:t>
            </w:r>
          </w:p>
        </w:tc>
        <w:tc>
          <w:tcPr>
            <w:shd w:val="clear" w:fill="B8CCE4"/>
            <w:tcW w:w="1343" w:type="dxa"/>
            <w:vAlign w:val="top"/>
            <w:tcBorders>
              <w:top w:val="single" w:color="FFFFFF" w:sz="2" w:space="0"/>
            </w:tcBorders>
          </w:tcPr>
          <w:p>
            <w:pPr>
              <w:spacing w:line="358" w:lineRule="auto"/>
              <w:rPr>
                <w:rFonts w:ascii="Arial"/>
                <w:sz w:val="21"/>
              </w:rPr>
            </w:pPr>
            <w:r/>
          </w:p>
          <w:p>
            <w:pPr>
              <w:pStyle w:val="TableText"/>
              <w:ind w:left="240"/>
              <w:spacing w:before="86" w:line="188" w:lineRule="auto"/>
              <w:rPr/>
            </w:pPr>
            <w:r>
              <w:rPr>
                <w:spacing w:val="8"/>
              </w:rPr>
              <w:t>永悦科技</w:t>
            </w:r>
          </w:p>
        </w:tc>
        <w:tc>
          <w:tcPr>
            <w:shd w:val="clear" w:fill="B8CCE4"/>
            <w:tcW w:w="6306" w:type="dxa"/>
            <w:vAlign w:val="top"/>
            <w:tcBorders>
              <w:top w:val="single" w:color="FFFFFF" w:sz="2" w:space="0"/>
            </w:tcBorders>
          </w:tcPr>
          <w:p>
            <w:pPr>
              <w:pStyle w:val="TableText"/>
              <w:ind w:left="100" w:right="104" w:firstLine="14"/>
              <w:spacing w:before="48" w:line="237" w:lineRule="auto"/>
              <w:jc w:val="both"/>
              <w:rPr/>
            </w:pPr>
            <w:r>
              <w:rPr>
                <w:spacing w:val="7"/>
              </w:rPr>
              <w:t>因董事长、实际控制人</w:t>
            </w:r>
            <w:r>
              <w:rPr>
                <w:b/>
                <w:bCs/>
                <w:spacing w:val="7"/>
              </w:rPr>
              <w:t>涉嫌证券市场内幕交易</w:t>
            </w:r>
            <w:r>
              <w:rPr>
                <w:spacing w:val="7"/>
              </w:rPr>
              <w:t>， 根据《中华人民共</w:t>
            </w:r>
            <w:r>
              <w:rPr>
                <w:spacing w:val="1"/>
              </w:rPr>
              <w:t xml:space="preserve"> </w:t>
            </w:r>
            <w:r>
              <w:rPr>
                <w:spacing w:val="7"/>
              </w:rPr>
              <w:t>和国证券法》《中华人民共和国行政处罚法》等法律法规， 中国证</w:t>
            </w:r>
            <w:r>
              <w:rPr>
                <w:spacing w:val="16"/>
              </w:rPr>
              <w:t xml:space="preserve"> </w:t>
            </w:r>
            <w:r>
              <w:rPr>
                <w:spacing w:val="8"/>
              </w:rPr>
              <w:t>监会决定对陈某立案。</w:t>
            </w:r>
          </w:p>
        </w:tc>
      </w:tr>
      <w:tr>
        <w:trPr>
          <w:trHeight w:val="367" w:hRule="atLeast"/>
        </w:trPr>
        <w:tc>
          <w:tcPr>
            <w:tcW w:w="1214" w:type="dxa"/>
            <w:vAlign w:val="top"/>
          </w:tcPr>
          <w:p>
            <w:pPr>
              <w:pStyle w:val="TableText"/>
              <w:ind w:left="237"/>
              <w:spacing w:before="108" w:line="174" w:lineRule="auto"/>
              <w:rPr/>
            </w:pPr>
            <w:r>
              <w:rPr>
                <w:spacing w:val="3"/>
              </w:rPr>
              <w:t>002435</w:t>
            </w:r>
          </w:p>
        </w:tc>
        <w:tc>
          <w:tcPr>
            <w:tcW w:w="1343" w:type="dxa"/>
            <w:vAlign w:val="top"/>
          </w:tcPr>
          <w:p>
            <w:pPr>
              <w:pStyle w:val="TableText"/>
              <w:ind w:left="244"/>
              <w:spacing w:before="93" w:line="184" w:lineRule="auto"/>
              <w:rPr/>
            </w:pPr>
            <w:r>
              <w:rPr>
                <w:spacing w:val="8"/>
              </w:rPr>
              <w:t>长江健康</w:t>
            </w:r>
          </w:p>
        </w:tc>
        <w:tc>
          <w:tcPr>
            <w:tcW w:w="6306" w:type="dxa"/>
            <w:vAlign w:val="top"/>
          </w:tcPr>
          <w:p>
            <w:pPr>
              <w:pStyle w:val="TableText"/>
              <w:ind w:left="115"/>
              <w:spacing w:before="55" w:line="211" w:lineRule="auto"/>
              <w:rPr/>
            </w:pPr>
            <w:r>
              <w:rPr>
                <w:spacing w:val="7"/>
              </w:rPr>
              <w:t>因公司、控股股东</w:t>
            </w:r>
            <w:r>
              <w:rPr>
                <w:b/>
                <w:bCs/>
                <w:spacing w:val="7"/>
              </w:rPr>
              <w:t>涉嫌信息披露违法违规</w:t>
            </w:r>
            <w:r>
              <w:rPr>
                <w:spacing w:val="7"/>
              </w:rPr>
              <w:t>， 根据《中华人民共和国</w:t>
            </w:r>
          </w:p>
        </w:tc>
      </w:tr>
    </w:tbl>
    <w:p>
      <w:pPr>
        <w:pStyle w:val="BodyText"/>
        <w:spacing w:line="14" w:lineRule="auto"/>
        <w:rPr>
          <w:sz w:val="2"/>
        </w:rPr>
      </w:pPr>
      <w:r/>
    </w:p>
    <w:p>
      <w:pPr>
        <w:spacing w:line="14" w:lineRule="auto"/>
        <w:sectPr>
          <w:pgSz w:w="11910" w:h="16840"/>
          <w:pgMar w:top="400" w:right="1560" w:bottom="256" w:left="478" w:header="0" w:footer="0" w:gutter="0"/>
        </w:sectPr>
        <w:rPr>
          <w:sz w:val="2"/>
          <w:szCs w:val="2"/>
        </w:rPr>
      </w:pPr>
    </w:p>
    <w:tbl>
      <w:tblPr>
        <w:tblStyle w:val="TableNormal"/>
        <w:tblW w:w="8863" w:type="dxa"/>
        <w:tblInd w:w="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6306"/>
      </w:tblGrid>
      <w:tr>
        <w:trPr>
          <w:trHeight w:val="742" w:hRule="atLeast"/>
        </w:trPr>
        <w:tc>
          <w:tcPr>
            <w:tcW w:w="1214" w:type="dxa"/>
            <w:vAlign w:val="top"/>
            <w:tcBorders>
              <w:top w:val="single" w:color="FFFFFF" w:sz="2" w:space="0"/>
            </w:tcBorders>
          </w:tcPr>
          <w:p>
            <w:pPr>
              <w:rPr>
                <w:rFonts w:ascii="Arial"/>
                <w:sz w:val="21"/>
              </w:rPr>
            </w:pPr>
            <w:r/>
          </w:p>
        </w:tc>
        <w:tc>
          <w:tcPr>
            <w:tcW w:w="1343" w:type="dxa"/>
            <w:vAlign w:val="top"/>
            <w:tcBorders>
              <w:top w:val="single" w:color="FFFFFF" w:sz="2" w:space="0"/>
            </w:tcBorders>
          </w:tcPr>
          <w:p>
            <w:pPr>
              <w:rPr>
                <w:rFonts w:ascii="Arial"/>
                <w:sz w:val="21"/>
              </w:rPr>
            </w:pPr>
            <w:r/>
          </w:p>
        </w:tc>
        <w:tc>
          <w:tcPr>
            <w:tcW w:w="6306" w:type="dxa"/>
            <w:vAlign w:val="top"/>
            <w:tcBorders>
              <w:top w:val="single" w:color="FFFFFF" w:sz="2" w:space="0"/>
            </w:tcBorders>
          </w:tcPr>
          <w:p>
            <w:pPr>
              <w:pStyle w:val="TableText"/>
              <w:ind w:left="100" w:right="104"/>
              <w:spacing w:before="62" w:line="234" w:lineRule="auto"/>
              <w:rPr/>
            </w:pPr>
            <w:r>
              <w:rPr>
                <w:spacing w:val="7"/>
              </w:rPr>
              <w:t>证券法》《中华人民共和国行政处罚法》等法律法规， 证监会决定</w:t>
            </w:r>
            <w:r>
              <w:rPr>
                <w:spacing w:val="15"/>
              </w:rPr>
              <w:t xml:space="preserve"> </w:t>
            </w:r>
            <w:r>
              <w:rPr>
                <w:spacing w:val="8"/>
              </w:rPr>
              <w:t>对公司及控股股东立案。</w:t>
            </w:r>
          </w:p>
        </w:tc>
      </w:tr>
      <w:tr>
        <w:trPr>
          <w:trHeight w:val="1083" w:hRule="atLeast"/>
        </w:trPr>
        <w:tc>
          <w:tcPr>
            <w:shd w:val="clear" w:fill="B8CCE4"/>
            <w:tcW w:w="1214" w:type="dxa"/>
            <w:vAlign w:val="top"/>
          </w:tcPr>
          <w:p>
            <w:pPr>
              <w:spacing w:line="369" w:lineRule="auto"/>
              <w:rPr>
                <w:rFonts w:ascii="Arial"/>
                <w:sz w:val="21"/>
              </w:rPr>
            </w:pPr>
            <w:r/>
          </w:p>
          <w:p>
            <w:pPr>
              <w:pStyle w:val="TableText"/>
              <w:ind w:left="240"/>
              <w:spacing w:before="85" w:line="178" w:lineRule="auto"/>
              <w:rPr/>
            </w:pPr>
            <w:r>
              <w:rPr>
                <w:spacing w:val="3"/>
              </w:rPr>
              <w:t>600603</w:t>
            </w:r>
          </w:p>
        </w:tc>
        <w:tc>
          <w:tcPr>
            <w:shd w:val="clear" w:fill="B8CCE4"/>
            <w:tcW w:w="1343" w:type="dxa"/>
            <w:vAlign w:val="top"/>
          </w:tcPr>
          <w:p>
            <w:pPr>
              <w:spacing w:line="351" w:lineRule="auto"/>
              <w:rPr>
                <w:rFonts w:ascii="Arial"/>
                <w:sz w:val="21"/>
              </w:rPr>
            </w:pPr>
            <w:r/>
          </w:p>
          <w:p>
            <w:pPr>
              <w:pStyle w:val="TableText"/>
              <w:ind w:left="240"/>
              <w:spacing w:before="86" w:line="191" w:lineRule="auto"/>
              <w:rPr/>
            </w:pPr>
            <w:r>
              <w:rPr>
                <w:spacing w:val="8"/>
              </w:rPr>
              <w:t>广汇物流</w:t>
            </w:r>
          </w:p>
        </w:tc>
        <w:tc>
          <w:tcPr>
            <w:shd w:val="clear" w:fill="B8CCE4"/>
            <w:tcW w:w="6306" w:type="dxa"/>
            <w:vAlign w:val="top"/>
          </w:tcPr>
          <w:p>
            <w:pPr>
              <w:pStyle w:val="TableText"/>
              <w:ind w:left="100" w:right="104" w:firstLine="14"/>
              <w:spacing w:before="43"/>
              <w:jc w:val="both"/>
              <w:rPr/>
            </w:pPr>
            <w:r>
              <w:rPr>
                <w:spacing w:val="7"/>
              </w:rPr>
              <w:t>因</w:t>
            </w:r>
            <w:r>
              <w:rPr>
                <w:b/>
                <w:bCs/>
                <w:spacing w:val="7"/>
              </w:rPr>
              <w:t>涉嫌信息披露违法违规</w:t>
            </w:r>
            <w:r>
              <w:rPr>
                <w:spacing w:val="7"/>
              </w:rPr>
              <w:t>， 根据《中华人民共和国证券法》《中华</w:t>
            </w:r>
            <w:r>
              <w:rPr/>
              <w:t xml:space="preserve"> </w:t>
            </w:r>
            <w:r>
              <w:rPr>
                <w:spacing w:val="7"/>
              </w:rPr>
              <w:t>人民共和国行政处罚法》等法律法规， 中国证监会决定对广汇物流</w:t>
            </w:r>
            <w:r>
              <w:rPr>
                <w:spacing w:val="16"/>
              </w:rPr>
              <w:t xml:space="preserve"> </w:t>
            </w:r>
            <w:r>
              <w:rPr>
                <w:spacing w:val="8"/>
              </w:rPr>
              <w:t>股份有限公司立案。</w:t>
            </w:r>
          </w:p>
        </w:tc>
      </w:tr>
      <w:tr>
        <w:trPr>
          <w:trHeight w:val="1083" w:hRule="atLeast"/>
        </w:trPr>
        <w:tc>
          <w:tcPr>
            <w:tcW w:w="1214" w:type="dxa"/>
            <w:vAlign w:val="top"/>
          </w:tcPr>
          <w:p>
            <w:pPr>
              <w:spacing w:line="372" w:lineRule="auto"/>
              <w:rPr>
                <w:rFonts w:ascii="Arial"/>
                <w:sz w:val="21"/>
              </w:rPr>
            </w:pPr>
            <w:r/>
          </w:p>
          <w:p>
            <w:pPr>
              <w:pStyle w:val="TableText"/>
              <w:ind w:left="237"/>
              <w:spacing w:before="86" w:line="178" w:lineRule="auto"/>
              <w:rPr/>
            </w:pPr>
            <w:r>
              <w:rPr>
                <w:spacing w:val="3"/>
              </w:rPr>
              <w:t>002689</w:t>
            </w:r>
          </w:p>
        </w:tc>
        <w:tc>
          <w:tcPr>
            <w:tcW w:w="1343" w:type="dxa"/>
            <w:vAlign w:val="top"/>
          </w:tcPr>
          <w:p>
            <w:pPr>
              <w:spacing w:line="356" w:lineRule="auto"/>
              <w:rPr>
                <w:rFonts w:ascii="Arial"/>
                <w:sz w:val="21"/>
              </w:rPr>
            </w:pPr>
            <w:r/>
          </w:p>
          <w:p>
            <w:pPr>
              <w:pStyle w:val="TableText"/>
              <w:ind w:left="241"/>
              <w:spacing w:before="86" w:line="190" w:lineRule="auto"/>
              <w:rPr/>
            </w:pPr>
            <w:r>
              <w:rPr>
                <w:spacing w:val="8"/>
              </w:rPr>
              <w:t>远大智能</w:t>
            </w:r>
          </w:p>
        </w:tc>
        <w:tc>
          <w:tcPr>
            <w:tcW w:w="6306" w:type="dxa"/>
            <w:vAlign w:val="top"/>
          </w:tcPr>
          <w:p>
            <w:pPr>
              <w:pStyle w:val="TableText"/>
              <w:ind w:left="103" w:right="104" w:firstLine="11"/>
              <w:spacing w:before="47" w:line="239" w:lineRule="auto"/>
              <w:jc w:val="both"/>
              <w:rPr/>
            </w:pPr>
            <w:r>
              <w:rPr>
                <w:spacing w:val="6"/>
              </w:rPr>
              <w:t>因</w:t>
            </w:r>
            <w:r>
              <w:rPr>
                <w:b/>
                <w:bCs/>
                <w:spacing w:val="6"/>
              </w:rPr>
              <w:t>公司涉嫌信息披露违法违规</w:t>
            </w:r>
            <w:r>
              <w:rPr>
                <w:spacing w:val="6"/>
              </w:rPr>
              <w:t>， 根据《中华人民共和国证券法》《</w:t>
            </w:r>
            <w:r>
              <w:rPr>
                <w:spacing w:val="14"/>
              </w:rPr>
              <w:t xml:space="preserve"> </w:t>
            </w:r>
            <w:r>
              <w:rPr>
                <w:spacing w:val="7"/>
              </w:rPr>
              <w:t>中华人民共和国行政处罚法》等法律法规， 中国证监会决定对公司</w:t>
            </w:r>
            <w:r>
              <w:rPr>
                <w:spacing w:val="12"/>
              </w:rPr>
              <w:t xml:space="preserve"> </w:t>
            </w:r>
            <w:r>
              <w:rPr>
                <w:spacing w:val="3"/>
              </w:rPr>
              <w:t>立案。</w:t>
            </w:r>
          </w:p>
        </w:tc>
      </w:tr>
      <w:tr>
        <w:trPr>
          <w:trHeight w:val="1082" w:hRule="atLeast"/>
        </w:trPr>
        <w:tc>
          <w:tcPr>
            <w:shd w:val="clear" w:fill="B8CCE4"/>
            <w:tcW w:w="1214" w:type="dxa"/>
            <w:vAlign w:val="top"/>
          </w:tcPr>
          <w:p>
            <w:pPr>
              <w:spacing w:line="376" w:lineRule="auto"/>
              <w:rPr>
                <w:rFonts w:ascii="Arial"/>
                <w:sz w:val="21"/>
              </w:rPr>
            </w:pPr>
            <w:r/>
          </w:p>
          <w:p>
            <w:pPr>
              <w:pStyle w:val="TableText"/>
              <w:ind w:left="240"/>
              <w:spacing w:before="86" w:line="178" w:lineRule="auto"/>
              <w:rPr/>
            </w:pPr>
            <w:r>
              <w:rPr>
                <w:spacing w:val="3"/>
              </w:rPr>
              <w:t>603797</w:t>
            </w:r>
          </w:p>
        </w:tc>
        <w:tc>
          <w:tcPr>
            <w:shd w:val="clear" w:fill="B8CCE4"/>
            <w:tcW w:w="1343" w:type="dxa"/>
            <w:vAlign w:val="top"/>
          </w:tcPr>
          <w:p>
            <w:pPr>
              <w:spacing w:line="361" w:lineRule="auto"/>
              <w:rPr>
                <w:rFonts w:ascii="Arial"/>
                <w:sz w:val="21"/>
              </w:rPr>
            </w:pPr>
            <w:r/>
          </w:p>
          <w:p>
            <w:pPr>
              <w:pStyle w:val="TableText"/>
              <w:ind w:left="241"/>
              <w:spacing w:before="86" w:line="189" w:lineRule="auto"/>
              <w:rPr/>
            </w:pPr>
            <w:r>
              <w:rPr>
                <w:spacing w:val="8"/>
              </w:rPr>
              <w:t>联泰环保</w:t>
            </w:r>
          </w:p>
        </w:tc>
        <w:tc>
          <w:tcPr>
            <w:shd w:val="clear" w:fill="B8CCE4"/>
            <w:tcW w:w="6306" w:type="dxa"/>
            <w:vAlign w:val="top"/>
          </w:tcPr>
          <w:p>
            <w:pPr>
              <w:pStyle w:val="TableText"/>
              <w:ind w:left="100" w:right="104" w:firstLine="14"/>
              <w:spacing w:before="51" w:line="238" w:lineRule="auto"/>
              <w:jc w:val="both"/>
              <w:rPr/>
            </w:pPr>
            <w:r>
              <w:rPr>
                <w:spacing w:val="7"/>
              </w:rPr>
              <w:t>因</w:t>
            </w:r>
            <w:r>
              <w:rPr>
                <w:b/>
                <w:bCs/>
                <w:spacing w:val="7"/>
              </w:rPr>
              <w:t>实际控制人涉嫌信息披露违法违规</w:t>
            </w:r>
            <w:r>
              <w:rPr>
                <w:spacing w:val="7"/>
              </w:rPr>
              <w:t>， 根据《中华人民共和国证券</w:t>
            </w:r>
            <w:r>
              <w:rPr>
                <w:spacing w:val="1"/>
              </w:rPr>
              <w:t xml:space="preserve"> </w:t>
            </w:r>
            <w:r>
              <w:rPr>
                <w:spacing w:val="7"/>
              </w:rPr>
              <w:t>法》《中华人民共和国行政处罚法》等法律法规， 中国证监会决定</w:t>
            </w:r>
            <w:r>
              <w:rPr>
                <w:spacing w:val="15"/>
                <w:w w:val="101"/>
              </w:rPr>
              <w:t xml:space="preserve"> </w:t>
            </w:r>
            <w:r>
              <w:rPr>
                <w:spacing w:val="7"/>
              </w:rPr>
              <w:t>对其立案。</w:t>
            </w:r>
          </w:p>
        </w:tc>
      </w:tr>
      <w:tr>
        <w:trPr>
          <w:trHeight w:val="1092" w:hRule="atLeast"/>
        </w:trPr>
        <w:tc>
          <w:tcPr>
            <w:tcW w:w="1214" w:type="dxa"/>
            <w:vAlign w:val="top"/>
          </w:tcPr>
          <w:p>
            <w:pPr>
              <w:spacing w:line="378" w:lineRule="auto"/>
              <w:rPr>
                <w:rFonts w:ascii="Arial"/>
                <w:sz w:val="21"/>
              </w:rPr>
            </w:pPr>
            <w:r/>
          </w:p>
          <w:p>
            <w:pPr>
              <w:pStyle w:val="TableText"/>
              <w:ind w:left="240"/>
              <w:spacing w:before="86" w:line="178" w:lineRule="auto"/>
              <w:rPr/>
            </w:pPr>
            <w:r>
              <w:rPr>
                <w:spacing w:val="3"/>
              </w:rPr>
              <w:t>603985</w:t>
            </w:r>
          </w:p>
        </w:tc>
        <w:tc>
          <w:tcPr>
            <w:tcW w:w="1343" w:type="dxa"/>
            <w:vAlign w:val="top"/>
          </w:tcPr>
          <w:p>
            <w:pPr>
              <w:spacing w:line="365" w:lineRule="auto"/>
              <w:rPr>
                <w:rFonts w:ascii="Arial"/>
                <w:sz w:val="21"/>
              </w:rPr>
            </w:pPr>
            <w:r/>
          </w:p>
          <w:p>
            <w:pPr>
              <w:pStyle w:val="TableText"/>
              <w:ind w:left="241"/>
              <w:spacing w:before="85" w:line="188" w:lineRule="auto"/>
              <w:rPr/>
            </w:pPr>
            <w:r>
              <w:rPr>
                <w:spacing w:val="8"/>
              </w:rPr>
              <w:t>恒润股份</w:t>
            </w:r>
          </w:p>
        </w:tc>
        <w:tc>
          <w:tcPr>
            <w:tcW w:w="6306" w:type="dxa"/>
            <w:vAlign w:val="top"/>
          </w:tcPr>
          <w:p>
            <w:pPr>
              <w:pStyle w:val="TableText"/>
              <w:ind w:left="102" w:right="104" w:firstLine="12"/>
              <w:spacing w:before="56" w:line="239" w:lineRule="auto"/>
              <w:jc w:val="both"/>
              <w:rPr/>
            </w:pPr>
            <w:r>
              <w:rPr>
                <w:spacing w:val="6"/>
              </w:rPr>
              <w:t>因前董事长、第二大股东</w:t>
            </w:r>
            <w:r>
              <w:rPr>
                <w:b/>
                <w:bCs/>
                <w:spacing w:val="6"/>
              </w:rPr>
              <w:t>涉嫌操纵市场、</w:t>
            </w:r>
            <w:r>
              <w:rPr>
                <w:b/>
                <w:bCs/>
                <w:spacing w:val="-28"/>
              </w:rPr>
              <w:t xml:space="preserve"> </w:t>
            </w:r>
            <w:r>
              <w:rPr>
                <w:b/>
                <w:bCs/>
                <w:spacing w:val="6"/>
              </w:rPr>
              <w:t>内幕信息交易</w:t>
            </w:r>
            <w:r>
              <w:rPr>
                <w:spacing w:val="6"/>
              </w:rPr>
              <w:t>， 根据《中</w:t>
            </w:r>
            <w:r>
              <w:rPr/>
              <w:t xml:space="preserve"> </w:t>
            </w:r>
            <w:r>
              <w:rPr>
                <w:spacing w:val="10"/>
              </w:rPr>
              <w:t>华人民共和国证券法》《中华人民共和国行政处罚</w:t>
            </w:r>
            <w:r>
              <w:rPr>
                <w:spacing w:val="9"/>
              </w:rPr>
              <w:t>法》等法律法规</w:t>
            </w:r>
            <w:r>
              <w:rPr/>
              <w:t xml:space="preserve"> </w:t>
            </w:r>
            <w:r>
              <w:rPr>
                <w:spacing w:val="7"/>
              </w:rPr>
              <w:t>,</w:t>
            </w:r>
            <w:r>
              <w:rPr>
                <w:spacing w:val="27"/>
              </w:rPr>
              <w:t xml:space="preserve">  </w:t>
            </w:r>
            <w:r>
              <w:rPr>
                <w:spacing w:val="7"/>
              </w:rPr>
              <w:t>中国证监会决定对其立案。</w:t>
            </w:r>
          </w:p>
        </w:tc>
      </w:tr>
    </w:tbl>
    <w:p>
      <w:pPr>
        <w:pStyle w:val="BodyText"/>
        <w:rPr/>
      </w:pPr>
      <w:r/>
    </w:p>
    <w:p>
      <w:pPr>
        <w:sectPr>
          <w:pgSz w:w="11910" w:h="16840"/>
          <w:pgMar w:top="400" w:right="1643" w:bottom="400" w:left="1388" w:header="0" w:footer="0" w:gutter="0"/>
        </w:sectPr>
        <w:rPr/>
      </w:pPr>
    </w:p>
    <w:p>
      <w:pPr>
        <w:spacing w:line="924" w:lineRule="exact"/>
        <w:rPr/>
      </w:pPr>
      <w:r>
        <w:rPr>
          <w:position w:val="-18"/>
        </w:rPr>
        <w:pict>
          <v:group id="_x0000_s36" style="mso-position-vertical-relative:line;mso-position-horizontal-relative:char;width:134.8pt;height:46.25pt;" filled="false" stroked="false" coordsize="2696,925" coordorigin="0,0">
            <v:shape id="_x0000_s38" style="position:absolute;left:0;top:0;width:2696;height:925;" filled="false" stroked="false" type="#_x0000_t75">
              <v:imagedata o:title="" r:id="rId15"/>
            </v:shape>
            <v:shape id="_x0000_s40" style="position:absolute;left:-20;top:-20;width:2736;height:965;" filled="false" stroked="false" type="#_x0000_t202">
              <v:fill on="false"/>
              <v:stroke on="false"/>
              <v:path/>
              <v:imagedata o:title=""/>
              <o:lock v:ext="edit" aspectratio="false"/>
              <v:textbox inset="0mm,0mm,0mm,0mm">
                <w:txbxContent>
                  <w:p>
                    <w:pPr>
                      <w:ind w:left="377"/>
                      <w:spacing w:before="301"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3"/>
                      </w:rPr>
                      <w:t>上交所监管动态</w:t>
                    </w:r>
                  </w:p>
                </w:txbxContent>
              </v:textbox>
            </v:shape>
          </v:group>
        </w:pict>
      </w:r>
    </w:p>
    <w:p>
      <w:pPr>
        <w:pStyle w:val="BodyText"/>
        <w:spacing w:line="280" w:lineRule="auto"/>
        <w:rPr/>
      </w:pPr>
      <w:r/>
    </w:p>
    <w:p>
      <w:pPr>
        <w:ind w:left="938"/>
        <w:spacing w:before="103"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1、上市公司监管动态</w:t>
      </w:r>
    </w:p>
    <w:p>
      <w:pPr>
        <w:spacing w:line="183" w:lineRule="auto"/>
        <w:jc w:val="right"/>
        <w:rPr>
          <w:rFonts w:ascii="Microsoft YaHei" w:hAnsi="Microsoft YaHei" w:eastAsia="Microsoft YaHei" w:cs="Microsoft YaHei"/>
          <w:sz w:val="24"/>
          <w:szCs w:val="24"/>
        </w:rPr>
      </w:pPr>
      <w:r>
        <w:rPr>
          <w:rFonts w:ascii="Microsoft YaHei" w:hAnsi="Microsoft YaHei" w:eastAsia="Microsoft YaHei" w:cs="Microsoft YaHei"/>
          <w:sz w:val="24"/>
          <w:szCs w:val="24"/>
          <w:spacing w:val="-7"/>
        </w:rPr>
        <w:t>2024年4月29日-5月5日， 上交所公司</w:t>
      </w:r>
      <w:r>
        <w:rPr>
          <w:rFonts w:ascii="Microsoft YaHei" w:hAnsi="Microsoft YaHei" w:eastAsia="Microsoft YaHei" w:cs="Microsoft YaHei"/>
          <w:sz w:val="24"/>
          <w:szCs w:val="24"/>
          <w:spacing w:val="-8"/>
        </w:rPr>
        <w:t>监管部门作出4份监管警示函， 对4宗行为予以纪律处分。</w:t>
      </w:r>
    </w:p>
    <w:p>
      <w:pPr>
        <w:ind w:firstLine="1606"/>
        <w:spacing w:before="91" w:line="3448" w:lineRule="exact"/>
        <w:rPr/>
      </w:pPr>
      <w:r>
        <w:rPr>
          <w:position w:val="-68"/>
        </w:rPr>
        <w:drawing>
          <wp:inline distT="0" distB="0" distL="0" distR="0">
            <wp:extent cx="5039994" cy="2189479"/>
            <wp:effectExtent l="0" t="0" r="0" b="0"/>
            <wp:docPr id="22" name="IM 22"/>
            <wp:cNvGraphicFramePr/>
            <a:graphic>
              <a:graphicData uri="http://schemas.openxmlformats.org/drawingml/2006/picture">
                <pic:pic>
                  <pic:nvPicPr>
                    <pic:cNvPr id="22" name="IM 22"/>
                    <pic:cNvPicPr/>
                  </pic:nvPicPr>
                  <pic:blipFill>
                    <a:blip r:embed="rId16"/>
                    <a:stretch>
                      <a:fillRect/>
                    </a:stretch>
                  </pic:blipFill>
                  <pic:spPr>
                    <a:xfrm rot="0">
                      <a:off x="0" y="0"/>
                      <a:ext cx="5039994" cy="2189479"/>
                    </a:xfrm>
                    <a:prstGeom prst="rect">
                      <a:avLst/>
                    </a:prstGeom>
                  </pic:spPr>
                </pic:pic>
              </a:graphicData>
            </a:graphic>
          </wp:inline>
        </w:drawing>
      </w:r>
    </w:p>
    <w:p>
      <w:pPr>
        <w:pStyle w:val="BodyText"/>
        <w:rPr/>
      </w:pPr>
      <w:r/>
    </w:p>
    <w:p>
      <w:pPr>
        <w:ind w:left="430"/>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5"/>
        </w:rPr>
        <w:t>（</w:t>
      </w:r>
      <w:r>
        <w:rPr>
          <w:rFonts w:ascii="Microsoft YaHei" w:hAnsi="Microsoft YaHei" w:eastAsia="Microsoft YaHei" w:cs="Microsoft YaHei"/>
          <w:sz w:val="24"/>
          <w:szCs w:val="24"/>
          <w:b/>
          <w:bCs/>
          <w:color w:val="333333"/>
          <w:spacing w:val="43"/>
        </w:rPr>
        <w:t xml:space="preserve"> </w:t>
      </w:r>
      <w:r>
        <w:rPr>
          <w:rFonts w:ascii="Microsoft YaHei" w:hAnsi="Microsoft YaHei" w:eastAsia="Microsoft YaHei" w:cs="Microsoft YaHei"/>
          <w:sz w:val="24"/>
          <w:szCs w:val="24"/>
          <w:b/>
          <w:bCs/>
          <w:color w:val="333333"/>
          <w:spacing w:val="-5"/>
        </w:rPr>
        <w:t>1 ） 监管措施统计</w:t>
      </w:r>
    </w:p>
    <w:p>
      <w:pPr>
        <w:spacing w:before="21"/>
        <w:rPr/>
      </w:pPr>
      <w:r/>
    </w:p>
    <w:p>
      <w:pPr>
        <w:spacing w:before="20"/>
        <w:rPr/>
      </w:pPr>
      <w:r/>
    </w:p>
    <w:p>
      <w:pPr>
        <w:spacing w:before="20"/>
        <w:rPr/>
      </w:pPr>
      <w:r/>
    </w:p>
    <w:tbl>
      <w:tblPr>
        <w:tblStyle w:val="TableNormal"/>
        <w:tblW w:w="8819" w:type="dxa"/>
        <w:tblInd w:w="1191"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276"/>
        <w:gridCol w:w="1215"/>
        <w:gridCol w:w="1324"/>
        <w:gridCol w:w="5004"/>
      </w:tblGrid>
      <w:tr>
        <w:trPr>
          <w:trHeight w:val="378" w:hRule="atLeast"/>
        </w:trPr>
        <w:tc>
          <w:tcPr>
            <w:shd w:val="clear" w:fill="C0504D"/>
            <w:tcW w:w="1276" w:type="dxa"/>
            <w:vAlign w:val="top"/>
            <w:tcBorders>
              <w:bottom w:val="single" w:color="FFFFFF" w:sz="10" w:space="0"/>
            </w:tcBorders>
          </w:tcPr>
          <w:p>
            <w:pPr>
              <w:pStyle w:val="TableText"/>
              <w:ind w:left="213"/>
              <w:spacing w:before="91" w:line="189" w:lineRule="auto"/>
              <w:rPr/>
            </w:pPr>
            <w:r>
              <w:rPr>
                <w:b/>
                <w:bCs/>
                <w:color w:val="FFFFFF"/>
                <w:spacing w:val="8"/>
              </w:rPr>
              <w:t>公司代码</w:t>
            </w:r>
          </w:p>
        </w:tc>
        <w:tc>
          <w:tcPr>
            <w:shd w:val="clear" w:fill="C0504D"/>
            <w:tcW w:w="1215" w:type="dxa"/>
            <w:vAlign w:val="top"/>
            <w:tcBorders>
              <w:bottom w:val="single" w:color="FFFFFF" w:sz="10" w:space="0"/>
            </w:tcBorders>
          </w:tcPr>
          <w:p>
            <w:pPr>
              <w:pStyle w:val="TableText"/>
              <w:ind w:left="178"/>
              <w:spacing w:before="91" w:line="189" w:lineRule="auto"/>
              <w:rPr/>
            </w:pPr>
            <w:r>
              <w:rPr>
                <w:b/>
                <w:bCs/>
                <w:color w:val="FFFFFF"/>
                <w:spacing w:val="8"/>
              </w:rPr>
              <w:t>公司简称</w:t>
            </w:r>
          </w:p>
        </w:tc>
        <w:tc>
          <w:tcPr>
            <w:shd w:val="clear" w:fill="C0504D"/>
            <w:tcW w:w="1324" w:type="dxa"/>
            <w:vAlign w:val="top"/>
            <w:tcBorders>
              <w:bottom w:val="single" w:color="FFFFFF" w:sz="10" w:space="0"/>
            </w:tcBorders>
          </w:tcPr>
          <w:p>
            <w:pPr>
              <w:pStyle w:val="TableText"/>
              <w:ind w:left="245"/>
              <w:spacing w:before="92" w:line="188" w:lineRule="auto"/>
              <w:rPr/>
            </w:pPr>
            <w:r>
              <w:rPr>
                <w:b/>
                <w:bCs/>
                <w:color w:val="FFFFFF"/>
                <w:spacing w:val="5"/>
              </w:rPr>
              <w:t>函件类别</w:t>
            </w:r>
          </w:p>
        </w:tc>
        <w:tc>
          <w:tcPr>
            <w:shd w:val="clear" w:fill="C0504D"/>
            <w:tcW w:w="5004" w:type="dxa"/>
            <w:vAlign w:val="top"/>
            <w:tcBorders>
              <w:bottom w:val="single" w:color="FFFFFF" w:sz="10" w:space="0"/>
            </w:tcBorders>
          </w:tcPr>
          <w:p>
            <w:pPr>
              <w:pStyle w:val="TableText"/>
              <w:ind w:left="2076"/>
              <w:spacing w:before="92" w:line="188" w:lineRule="auto"/>
              <w:rPr/>
            </w:pPr>
            <w:r>
              <w:rPr>
                <w:b/>
                <w:bCs/>
                <w:color w:val="FFFFFF"/>
                <w:spacing w:val="8"/>
              </w:rPr>
              <w:t>违规类型</w:t>
            </w:r>
          </w:p>
        </w:tc>
      </w:tr>
      <w:tr>
        <w:trPr>
          <w:trHeight w:val="1796" w:hRule="atLeast"/>
        </w:trPr>
        <w:tc>
          <w:tcPr>
            <w:shd w:val="clear" w:fill="F2DCDC"/>
            <w:tcW w:w="1276" w:type="dxa"/>
            <w:vAlign w:val="top"/>
            <w:tcBorders>
              <w:top w:val="single" w:color="FFFFFF" w:sz="10" w:space="0"/>
            </w:tcBorders>
          </w:tcPr>
          <w:p>
            <w:pPr>
              <w:pStyle w:val="TableText"/>
              <w:ind w:left="272"/>
              <w:spacing w:before="90" w:line="179" w:lineRule="auto"/>
              <w:rPr/>
            </w:pPr>
            <w:r>
              <w:rPr>
                <w:spacing w:val="3"/>
              </w:rPr>
              <w:t>600112</w:t>
            </w:r>
          </w:p>
        </w:tc>
        <w:tc>
          <w:tcPr>
            <w:shd w:val="clear" w:fill="F2DCDC"/>
            <w:tcW w:w="1215" w:type="dxa"/>
            <w:vAlign w:val="top"/>
            <w:tcBorders>
              <w:top w:val="single" w:color="FFFFFF" w:sz="10" w:space="0"/>
            </w:tcBorders>
          </w:tcPr>
          <w:p>
            <w:pPr>
              <w:pStyle w:val="TableText"/>
              <w:ind w:left="278"/>
              <w:spacing w:before="78" w:line="188" w:lineRule="auto"/>
              <w:rPr/>
            </w:pPr>
            <w:r>
              <w:rPr/>
              <w:t>ST</w:t>
            </w:r>
            <w:r>
              <w:rPr>
                <w:spacing w:val="7"/>
              </w:rPr>
              <w:t>天成</w:t>
            </w:r>
          </w:p>
        </w:tc>
        <w:tc>
          <w:tcPr>
            <w:shd w:val="clear" w:fill="F2DCDC"/>
            <w:tcW w:w="1324" w:type="dxa"/>
            <w:vAlign w:val="top"/>
            <w:tcBorders>
              <w:top w:val="single" w:color="FFFFFF" w:sz="10" w:space="0"/>
            </w:tcBorders>
          </w:tcPr>
          <w:p>
            <w:pPr>
              <w:pStyle w:val="TableText"/>
              <w:ind w:left="235"/>
              <w:spacing w:before="76" w:line="189" w:lineRule="auto"/>
              <w:rPr/>
            </w:pPr>
            <w:r>
              <w:rPr>
                <w:spacing w:val="8"/>
              </w:rPr>
              <w:t>监管警示</w:t>
            </w:r>
          </w:p>
        </w:tc>
        <w:tc>
          <w:tcPr>
            <w:shd w:val="clear" w:fill="F2DCDC"/>
            <w:tcW w:w="5004" w:type="dxa"/>
            <w:vAlign w:val="top"/>
            <w:tcBorders>
              <w:top w:val="single" w:color="FFFFFF" w:sz="10" w:space="0"/>
            </w:tcBorders>
          </w:tcPr>
          <w:p>
            <w:pPr>
              <w:pStyle w:val="TableText"/>
              <w:ind w:left="4" w:right="70"/>
              <w:spacing w:before="34" w:line="245" w:lineRule="auto"/>
              <w:jc w:val="both"/>
              <w:rPr/>
            </w:pPr>
            <w:r>
              <w:rPr>
                <w:spacing w:val="3"/>
              </w:rPr>
              <w:t>公司提交更正公告显示， 经自查，</w:t>
            </w:r>
            <w:r>
              <w:rPr>
                <w:spacing w:val="32"/>
              </w:rPr>
              <w:t xml:space="preserve">  </w:t>
            </w:r>
            <w:r>
              <w:rPr>
                <w:spacing w:val="3"/>
              </w:rPr>
              <w:t>公司前期披露的《</w:t>
            </w:r>
            <w:r>
              <w:rPr/>
              <w:t xml:space="preserve"> </w:t>
            </w:r>
            <w:r>
              <w:rPr>
                <w:spacing w:val="8"/>
              </w:rPr>
              <w:t>关于前期会计差错更正的公告》</w:t>
            </w:r>
            <w:r>
              <w:rPr>
                <w:spacing w:val="-21"/>
              </w:rPr>
              <w:t xml:space="preserve"> </w:t>
            </w:r>
            <w:r>
              <w:rPr>
                <w:spacing w:val="8"/>
              </w:rPr>
              <w:t>中</w:t>
            </w:r>
            <w:r>
              <w:rPr>
                <w:b/>
                <w:bCs/>
                <w:spacing w:val="8"/>
              </w:rPr>
              <w:t>多处财务数据</w:t>
            </w:r>
            <w:r>
              <w:rPr>
                <w:spacing w:val="8"/>
              </w:rPr>
              <w:t>有误</w:t>
            </w:r>
            <w:r>
              <w:rPr/>
              <w:t xml:space="preserve">  </w:t>
            </w:r>
            <w:r>
              <w:rPr>
                <w:spacing w:val="7"/>
              </w:rPr>
              <w:t>。此外， 公司披露的《关于股票交易实施退市</w:t>
            </w:r>
            <w:r>
              <w:rPr>
                <w:spacing w:val="6"/>
              </w:rPr>
              <w:t>风险警</w:t>
            </w:r>
            <w:r>
              <w:rPr/>
              <w:t xml:space="preserve">  </w:t>
            </w:r>
            <w:r>
              <w:rPr>
                <w:spacing w:val="8"/>
              </w:rPr>
              <w:t>示及其他风险警示暨停牌的提示性公告》和《</w:t>
            </w:r>
            <w:r>
              <w:rPr>
                <w:spacing w:val="-30"/>
              </w:rPr>
              <w:t xml:space="preserve"> </w:t>
            </w:r>
            <w:r>
              <w:rPr>
                <w:spacing w:val="8"/>
              </w:rPr>
              <w:t>202</w:t>
            </w:r>
            <w:r>
              <w:rPr>
                <w:spacing w:val="7"/>
              </w:rPr>
              <w:t>3年</w:t>
            </w:r>
            <w:r>
              <w:rPr/>
              <w:t xml:space="preserve"> </w:t>
            </w:r>
            <w:r>
              <w:rPr>
                <w:spacing w:val="5"/>
              </w:rPr>
              <w:t>年度报告》</w:t>
            </w:r>
            <w:r>
              <w:rPr>
                <w:spacing w:val="-21"/>
              </w:rPr>
              <w:t xml:space="preserve"> </w:t>
            </w:r>
            <w:r>
              <w:rPr>
                <w:spacing w:val="5"/>
              </w:rPr>
              <w:t>中相关</w:t>
            </w:r>
            <w:r>
              <w:rPr>
                <w:b/>
                <w:bCs/>
                <w:spacing w:val="5"/>
              </w:rPr>
              <w:t>年份、</w:t>
            </w:r>
            <w:r>
              <w:rPr>
                <w:b/>
                <w:bCs/>
                <w:spacing w:val="-24"/>
              </w:rPr>
              <w:t xml:space="preserve"> </w:t>
            </w:r>
            <w:r>
              <w:rPr>
                <w:b/>
                <w:bCs/>
                <w:spacing w:val="5"/>
              </w:rPr>
              <w:t>日期出现差错。</w:t>
            </w:r>
          </w:p>
        </w:tc>
      </w:tr>
      <w:tr>
        <w:trPr>
          <w:trHeight w:val="1442" w:hRule="atLeast"/>
        </w:trPr>
        <w:tc>
          <w:tcPr>
            <w:tcW w:w="1276" w:type="dxa"/>
            <w:vAlign w:val="top"/>
          </w:tcPr>
          <w:p>
            <w:pPr>
              <w:pStyle w:val="TableText"/>
              <w:ind w:left="272"/>
              <w:spacing w:before="98" w:line="179" w:lineRule="auto"/>
              <w:rPr/>
            </w:pPr>
            <w:r>
              <w:rPr>
                <w:spacing w:val="3"/>
              </w:rPr>
              <w:t>600186</w:t>
            </w:r>
          </w:p>
        </w:tc>
        <w:tc>
          <w:tcPr>
            <w:tcW w:w="1215" w:type="dxa"/>
            <w:vAlign w:val="top"/>
          </w:tcPr>
          <w:p>
            <w:pPr>
              <w:pStyle w:val="TableText"/>
              <w:ind w:left="178"/>
              <w:spacing w:before="85" w:line="189" w:lineRule="auto"/>
              <w:rPr/>
            </w:pPr>
            <w:r>
              <w:rPr>
                <w:spacing w:val="8"/>
              </w:rPr>
              <w:t>莲花健康</w:t>
            </w:r>
          </w:p>
        </w:tc>
        <w:tc>
          <w:tcPr>
            <w:tcW w:w="1324" w:type="dxa"/>
            <w:vAlign w:val="top"/>
          </w:tcPr>
          <w:p>
            <w:pPr>
              <w:pStyle w:val="TableText"/>
              <w:ind w:left="235"/>
              <w:spacing w:before="85" w:line="189" w:lineRule="auto"/>
              <w:rPr/>
            </w:pPr>
            <w:r>
              <w:rPr>
                <w:spacing w:val="8"/>
              </w:rPr>
              <w:t>监管警示</w:t>
            </w:r>
          </w:p>
        </w:tc>
        <w:tc>
          <w:tcPr>
            <w:tcW w:w="5004" w:type="dxa"/>
            <w:vAlign w:val="top"/>
          </w:tcPr>
          <w:p>
            <w:pPr>
              <w:pStyle w:val="TableText"/>
              <w:ind w:left="3" w:right="35" w:firstLine="2"/>
              <w:spacing w:before="82" w:line="236" w:lineRule="auto"/>
              <w:rPr/>
            </w:pPr>
            <w:r>
              <w:rPr>
                <w:spacing w:val="9"/>
              </w:rPr>
              <w:t>莲花健康产业集团股份有限公司使用2亿元</w:t>
            </w:r>
            <w:r>
              <w:rPr>
                <w:b/>
                <w:bCs/>
                <w:spacing w:val="9"/>
              </w:rPr>
              <w:t>闲置募集资</w:t>
            </w:r>
            <w:r>
              <w:rPr>
                <w:b/>
                <w:bCs/>
                <w:spacing w:val="12"/>
              </w:rPr>
              <w:t xml:space="preserve"> </w:t>
            </w:r>
            <w:r>
              <w:rPr>
                <w:b/>
                <w:bCs/>
                <w:spacing w:val="6"/>
              </w:rPr>
              <w:t>金</w:t>
            </w:r>
            <w:r>
              <w:rPr>
                <w:spacing w:val="6"/>
              </w:rPr>
              <w:t>暂时补充流动资金， 其中将2,134万元用作对下属子</w:t>
            </w:r>
            <w:r>
              <w:rPr>
                <w:spacing w:val="10"/>
              </w:rPr>
              <w:t xml:space="preserve"> </w:t>
            </w:r>
            <w:r>
              <w:rPr>
                <w:spacing w:val="9"/>
              </w:rPr>
              <w:t>公司杭州莲花科技创新有限公司的</w:t>
            </w:r>
            <w:r>
              <w:rPr>
                <w:b/>
                <w:bCs/>
                <w:spacing w:val="9"/>
              </w:rPr>
              <w:t>长期股权投资款且</w:t>
            </w:r>
            <w:r>
              <w:rPr>
                <w:b/>
                <w:bCs/>
                <w:spacing w:val="5"/>
              </w:rPr>
              <w:t xml:space="preserve">   </w:t>
            </w:r>
            <w:r>
              <w:rPr>
                <w:b/>
                <w:bCs/>
                <w:spacing w:val="7"/>
              </w:rPr>
              <w:t>未进行披露。</w:t>
            </w:r>
          </w:p>
        </w:tc>
      </w:tr>
      <w:tr>
        <w:trPr>
          <w:trHeight w:val="1083" w:hRule="atLeast"/>
        </w:trPr>
        <w:tc>
          <w:tcPr>
            <w:shd w:val="clear" w:fill="F2DCDC"/>
            <w:tcW w:w="1276" w:type="dxa"/>
            <w:vAlign w:val="top"/>
          </w:tcPr>
          <w:p>
            <w:pPr>
              <w:pStyle w:val="TableText"/>
              <w:ind w:left="272"/>
              <w:spacing w:before="102" w:line="178" w:lineRule="auto"/>
              <w:rPr/>
            </w:pPr>
            <w:r>
              <w:rPr>
                <w:spacing w:val="3"/>
              </w:rPr>
              <w:t>603778</w:t>
            </w:r>
          </w:p>
        </w:tc>
        <w:tc>
          <w:tcPr>
            <w:shd w:val="clear" w:fill="F2DCDC"/>
            <w:tcW w:w="1215" w:type="dxa"/>
            <w:vAlign w:val="top"/>
          </w:tcPr>
          <w:p>
            <w:pPr>
              <w:pStyle w:val="TableText"/>
              <w:ind w:left="189"/>
              <w:spacing w:before="89" w:line="188" w:lineRule="auto"/>
              <w:rPr/>
            </w:pPr>
            <w:r>
              <w:rPr>
                <w:spacing w:val="5"/>
              </w:rPr>
              <w:t>国晟科技</w:t>
            </w:r>
          </w:p>
        </w:tc>
        <w:tc>
          <w:tcPr>
            <w:shd w:val="clear" w:fill="F2DCDC"/>
            <w:tcW w:w="1324" w:type="dxa"/>
            <w:vAlign w:val="top"/>
          </w:tcPr>
          <w:p>
            <w:pPr>
              <w:pStyle w:val="TableText"/>
              <w:ind w:left="235"/>
              <w:spacing w:before="87" w:line="189" w:lineRule="auto"/>
              <w:rPr/>
            </w:pPr>
            <w:r>
              <w:rPr>
                <w:spacing w:val="8"/>
              </w:rPr>
              <w:t>监管警示</w:t>
            </w:r>
          </w:p>
        </w:tc>
        <w:tc>
          <w:tcPr>
            <w:shd w:val="clear" w:fill="F2DCDC"/>
            <w:tcW w:w="5004" w:type="dxa"/>
            <w:vAlign w:val="top"/>
          </w:tcPr>
          <w:p>
            <w:pPr>
              <w:pStyle w:val="TableText"/>
              <w:ind w:left="6" w:right="158" w:hanging="2"/>
              <w:spacing w:before="86" w:line="230" w:lineRule="auto"/>
              <w:jc w:val="both"/>
              <w:rPr/>
            </w:pPr>
            <w:r>
              <w:rPr>
                <w:spacing w:val="9"/>
              </w:rPr>
              <w:t>公司未及时披露公司实际控制人、董事长</w:t>
            </w:r>
            <w:r>
              <w:rPr>
                <w:b/>
                <w:bCs/>
                <w:spacing w:val="9"/>
              </w:rPr>
              <w:t>被有权机关</w:t>
            </w:r>
            <w:r>
              <w:rPr>
                <w:b/>
                <w:bCs/>
                <w:spacing w:val="18"/>
              </w:rPr>
              <w:t xml:space="preserve"> </w:t>
            </w:r>
            <w:r>
              <w:rPr>
                <w:b/>
                <w:bCs/>
                <w:spacing w:val="7"/>
              </w:rPr>
              <w:t>实施留置</w:t>
            </w:r>
            <w:r>
              <w:rPr>
                <w:spacing w:val="7"/>
              </w:rPr>
              <w:t>的重大事项， 相关信息披露不及</w:t>
            </w:r>
            <w:r>
              <w:rPr>
                <w:spacing w:val="6"/>
              </w:rPr>
              <w:t>时、不准确</w:t>
            </w:r>
            <w:r>
              <w:rPr/>
              <w:t xml:space="preserve"> </w:t>
            </w:r>
            <w:r>
              <w:rPr>
                <w:spacing w:val="8"/>
              </w:rPr>
              <w:t>、风险提示不充分。</w:t>
            </w:r>
          </w:p>
        </w:tc>
      </w:tr>
      <w:tr>
        <w:trPr>
          <w:trHeight w:val="364" w:hRule="atLeast"/>
        </w:trPr>
        <w:tc>
          <w:tcPr>
            <w:tcW w:w="1276" w:type="dxa"/>
            <w:vAlign w:val="top"/>
          </w:tcPr>
          <w:p>
            <w:pPr>
              <w:pStyle w:val="TableText"/>
              <w:ind w:left="272"/>
              <w:spacing w:before="102" w:line="176" w:lineRule="auto"/>
              <w:rPr/>
            </w:pPr>
            <w:r>
              <w:rPr>
                <w:spacing w:val="3"/>
              </w:rPr>
              <w:t>600530</w:t>
            </w:r>
          </w:p>
        </w:tc>
        <w:tc>
          <w:tcPr>
            <w:tcW w:w="1215" w:type="dxa"/>
            <w:vAlign w:val="top"/>
          </w:tcPr>
          <w:p>
            <w:pPr>
              <w:pStyle w:val="TableText"/>
              <w:ind w:left="278"/>
              <w:spacing w:before="88" w:line="186" w:lineRule="auto"/>
              <w:rPr/>
            </w:pPr>
            <w:r>
              <w:rPr/>
              <w:t>ST</w:t>
            </w:r>
            <w:r>
              <w:rPr>
                <w:spacing w:val="7"/>
              </w:rPr>
              <w:t>交昂</w:t>
            </w:r>
          </w:p>
        </w:tc>
        <w:tc>
          <w:tcPr>
            <w:tcW w:w="1324" w:type="dxa"/>
            <w:vAlign w:val="top"/>
          </w:tcPr>
          <w:p>
            <w:pPr>
              <w:pStyle w:val="TableText"/>
              <w:ind w:left="235"/>
              <w:spacing w:before="88" w:line="186" w:lineRule="auto"/>
              <w:rPr/>
            </w:pPr>
            <w:r>
              <w:rPr>
                <w:spacing w:val="8"/>
              </w:rPr>
              <w:t>监管警示</w:t>
            </w:r>
          </w:p>
        </w:tc>
        <w:tc>
          <w:tcPr>
            <w:tcW w:w="5004" w:type="dxa"/>
            <w:vAlign w:val="top"/>
          </w:tcPr>
          <w:p>
            <w:pPr>
              <w:pStyle w:val="TableText"/>
              <w:ind w:left="4"/>
              <w:spacing w:before="86" w:line="187" w:lineRule="auto"/>
              <w:rPr/>
            </w:pPr>
            <w:r>
              <w:rPr>
                <w:spacing w:val="9"/>
              </w:rPr>
              <w:t>公司多期定期报告</w:t>
            </w:r>
            <w:r>
              <w:rPr>
                <w:b/>
                <w:bCs/>
                <w:spacing w:val="9"/>
              </w:rPr>
              <w:t>财务数据</w:t>
            </w:r>
            <w:r>
              <w:rPr>
                <w:spacing w:val="9"/>
              </w:rPr>
              <w:t>披露不准确。</w:t>
            </w:r>
          </w:p>
        </w:tc>
      </w:tr>
      <w:tr>
        <w:trPr>
          <w:trHeight w:val="364" w:hRule="atLeast"/>
        </w:trPr>
        <w:tc>
          <w:tcPr>
            <w:shd w:val="clear" w:fill="F2DCDC"/>
            <w:tcW w:w="1276" w:type="dxa"/>
            <w:vAlign w:val="top"/>
          </w:tcPr>
          <w:p>
            <w:pPr>
              <w:pStyle w:val="TableText"/>
              <w:ind w:left="272"/>
              <w:spacing w:before="103" w:line="175" w:lineRule="auto"/>
              <w:rPr/>
            </w:pPr>
            <w:r>
              <w:rPr>
                <w:spacing w:val="3"/>
              </w:rPr>
              <w:t>600530</w:t>
            </w:r>
          </w:p>
        </w:tc>
        <w:tc>
          <w:tcPr>
            <w:shd w:val="clear" w:fill="F2DCDC"/>
            <w:tcW w:w="1215" w:type="dxa"/>
            <w:vAlign w:val="top"/>
          </w:tcPr>
          <w:p>
            <w:pPr>
              <w:pStyle w:val="TableText"/>
              <w:ind w:left="278"/>
              <w:spacing w:before="89" w:line="185" w:lineRule="auto"/>
              <w:rPr/>
            </w:pPr>
            <w:r>
              <w:rPr/>
              <w:t>ST</w:t>
            </w:r>
            <w:r>
              <w:rPr>
                <w:spacing w:val="7"/>
              </w:rPr>
              <w:t>交昂</w:t>
            </w:r>
          </w:p>
        </w:tc>
        <w:tc>
          <w:tcPr>
            <w:shd w:val="clear" w:fill="F2DCDC"/>
            <w:tcW w:w="1324" w:type="dxa"/>
            <w:vAlign w:val="top"/>
          </w:tcPr>
          <w:p>
            <w:pPr>
              <w:pStyle w:val="TableText"/>
              <w:ind w:left="233"/>
              <w:spacing w:before="90" w:line="184" w:lineRule="auto"/>
              <w:rPr/>
            </w:pPr>
            <w:r>
              <w:rPr>
                <w:spacing w:val="8"/>
              </w:rPr>
              <w:t>通报批评</w:t>
            </w:r>
          </w:p>
        </w:tc>
        <w:tc>
          <w:tcPr>
            <w:shd w:val="clear" w:fill="F2DCDC"/>
            <w:tcW w:w="5004" w:type="dxa"/>
            <w:vAlign w:val="top"/>
          </w:tcPr>
          <w:p>
            <w:pPr>
              <w:pStyle w:val="TableText"/>
              <w:ind w:left="4"/>
              <w:spacing w:before="89" w:line="185" w:lineRule="auto"/>
              <w:rPr/>
            </w:pPr>
            <w:r>
              <w:rPr>
                <w:spacing w:val="9"/>
              </w:rPr>
              <w:t>公司多期定期报告</w:t>
            </w:r>
            <w:r>
              <w:rPr>
                <w:b/>
                <w:bCs/>
                <w:spacing w:val="9"/>
              </w:rPr>
              <w:t>财务数据</w:t>
            </w:r>
            <w:r>
              <w:rPr>
                <w:spacing w:val="9"/>
              </w:rPr>
              <w:t>披露不准确。</w:t>
            </w:r>
          </w:p>
        </w:tc>
      </w:tr>
      <w:tr>
        <w:trPr>
          <w:trHeight w:val="724" w:hRule="atLeast"/>
        </w:trPr>
        <w:tc>
          <w:tcPr>
            <w:tcW w:w="1276" w:type="dxa"/>
            <w:vAlign w:val="top"/>
          </w:tcPr>
          <w:p>
            <w:pPr>
              <w:pStyle w:val="TableText"/>
              <w:ind w:left="272"/>
              <w:spacing w:before="102" w:line="179" w:lineRule="auto"/>
              <w:rPr/>
            </w:pPr>
            <w:r>
              <w:rPr>
                <w:spacing w:val="3"/>
              </w:rPr>
              <w:t>600301</w:t>
            </w:r>
          </w:p>
        </w:tc>
        <w:tc>
          <w:tcPr>
            <w:tcW w:w="1215" w:type="dxa"/>
            <w:vAlign w:val="top"/>
          </w:tcPr>
          <w:p>
            <w:pPr>
              <w:pStyle w:val="TableText"/>
              <w:ind w:left="178"/>
              <w:spacing w:before="88" w:line="190" w:lineRule="auto"/>
              <w:rPr/>
            </w:pPr>
            <w:r>
              <w:rPr>
                <w:spacing w:val="8"/>
              </w:rPr>
              <w:t>华锡有色</w:t>
            </w:r>
          </w:p>
        </w:tc>
        <w:tc>
          <w:tcPr>
            <w:tcW w:w="1324" w:type="dxa"/>
            <w:vAlign w:val="top"/>
          </w:tcPr>
          <w:p>
            <w:pPr>
              <w:pStyle w:val="TableText"/>
              <w:ind w:left="233"/>
              <w:spacing w:before="91" w:line="188" w:lineRule="auto"/>
              <w:rPr/>
            </w:pPr>
            <w:r>
              <w:rPr>
                <w:spacing w:val="8"/>
              </w:rPr>
              <w:t>通报批评</w:t>
            </w:r>
          </w:p>
        </w:tc>
        <w:tc>
          <w:tcPr>
            <w:tcW w:w="5004" w:type="dxa"/>
            <w:vAlign w:val="top"/>
          </w:tcPr>
          <w:p>
            <w:pPr>
              <w:pStyle w:val="TableText"/>
              <w:ind w:left="3" w:right="88" w:firstLine="1"/>
              <w:spacing w:before="87" w:line="219" w:lineRule="auto"/>
              <w:rPr/>
            </w:pPr>
            <w:r>
              <w:rPr>
                <w:spacing w:val="9"/>
              </w:rPr>
              <w:t>公司披露的2023年第一季度报告、半年度报告和第三</w:t>
            </w:r>
            <w:r>
              <w:rPr/>
              <w:t xml:space="preserve"> </w:t>
            </w:r>
            <w:r>
              <w:rPr>
                <w:spacing w:val="8"/>
              </w:rPr>
              <w:t>季度报告</w:t>
            </w:r>
            <w:r>
              <w:rPr>
                <w:b/>
                <w:bCs/>
                <w:spacing w:val="8"/>
              </w:rPr>
              <w:t>财务数据</w:t>
            </w:r>
            <w:r>
              <w:rPr>
                <w:spacing w:val="8"/>
              </w:rPr>
              <w:t>不准确。</w:t>
            </w:r>
          </w:p>
        </w:tc>
      </w:tr>
      <w:tr>
        <w:trPr>
          <w:trHeight w:val="2518" w:hRule="atLeast"/>
        </w:trPr>
        <w:tc>
          <w:tcPr>
            <w:shd w:val="clear" w:fill="F2DCDC"/>
            <w:tcW w:w="1276" w:type="dxa"/>
            <w:vAlign w:val="top"/>
          </w:tcPr>
          <w:p>
            <w:pPr>
              <w:pStyle w:val="TableText"/>
              <w:ind w:left="272"/>
              <w:spacing w:before="104" w:line="179" w:lineRule="auto"/>
              <w:rPr/>
            </w:pPr>
            <w:r>
              <w:rPr>
                <w:spacing w:val="3"/>
              </w:rPr>
              <w:t>603421</w:t>
            </w:r>
          </w:p>
        </w:tc>
        <w:tc>
          <w:tcPr>
            <w:shd w:val="clear" w:fill="F2DCDC"/>
            <w:tcW w:w="1215" w:type="dxa"/>
            <w:vAlign w:val="top"/>
          </w:tcPr>
          <w:p>
            <w:pPr>
              <w:pStyle w:val="TableText"/>
              <w:ind w:left="177"/>
              <w:spacing w:before="92" w:line="188" w:lineRule="auto"/>
              <w:rPr/>
            </w:pPr>
            <w:r>
              <w:rPr>
                <w:spacing w:val="8"/>
              </w:rPr>
              <w:t>鼎信通讯</w:t>
            </w:r>
          </w:p>
        </w:tc>
        <w:tc>
          <w:tcPr>
            <w:shd w:val="clear" w:fill="F2DCDC"/>
            <w:tcW w:w="1324" w:type="dxa"/>
            <w:vAlign w:val="top"/>
          </w:tcPr>
          <w:p>
            <w:pPr>
              <w:pStyle w:val="TableText"/>
              <w:ind w:left="233"/>
              <w:spacing w:before="94" w:line="187" w:lineRule="auto"/>
              <w:rPr/>
            </w:pPr>
            <w:r>
              <w:rPr>
                <w:spacing w:val="8"/>
              </w:rPr>
              <w:t>公开谴责</w:t>
            </w:r>
          </w:p>
        </w:tc>
        <w:tc>
          <w:tcPr>
            <w:shd w:val="clear" w:fill="F2DCDC"/>
            <w:tcW w:w="5004" w:type="dxa"/>
            <w:vAlign w:val="top"/>
          </w:tcPr>
          <w:p>
            <w:pPr>
              <w:pStyle w:val="TableText"/>
              <w:ind w:left="3" w:right="99"/>
              <w:spacing w:before="85" w:line="242" w:lineRule="auto"/>
              <w:jc w:val="both"/>
              <w:rPr/>
            </w:pPr>
            <w:r>
              <w:rPr>
                <w:spacing w:val="7"/>
              </w:rPr>
              <w:t>公司被国家电网实施</w:t>
            </w:r>
            <w:r>
              <w:rPr>
                <w:b/>
                <w:bCs/>
                <w:spacing w:val="7"/>
              </w:rPr>
              <w:t>“熔断机制”， 暂停中标</w:t>
            </w:r>
            <w:r>
              <w:rPr>
                <w:b/>
                <w:bCs/>
                <w:spacing w:val="6"/>
              </w:rPr>
              <w:t>资格</w:t>
            </w:r>
            <w:r>
              <w:rPr>
                <w:spacing w:val="6"/>
              </w:rPr>
              <w:t>可</w:t>
            </w:r>
            <w:r>
              <w:rPr/>
              <w:t xml:space="preserve">  </w:t>
            </w:r>
            <w:r>
              <w:rPr>
                <w:spacing w:val="7"/>
              </w:rPr>
              <w:t>能对公司产生重大影响， 对公司股票价格和投资</w:t>
            </w:r>
            <w:r>
              <w:rPr>
                <w:spacing w:val="6"/>
              </w:rPr>
              <w:t>者决</w:t>
            </w:r>
            <w:r>
              <w:rPr/>
              <w:t xml:space="preserve">  </w:t>
            </w:r>
            <w:r>
              <w:rPr>
                <w:spacing w:val="7"/>
              </w:rPr>
              <w:t>策影响重大， 但公司未及时披露该重大风险事项</w:t>
            </w:r>
            <w:r>
              <w:rPr>
                <w:spacing w:val="6"/>
              </w:rPr>
              <w:t>及相</w:t>
            </w:r>
            <w:r>
              <w:rPr/>
              <w:t xml:space="preserve">  </w:t>
            </w:r>
            <w:r>
              <w:rPr>
                <w:spacing w:val="4"/>
              </w:rPr>
              <w:t>关影响； 公司控股股东、实际控制人， 与受让方张某</w:t>
            </w:r>
            <w:r>
              <w:rPr>
                <w:spacing w:val="3"/>
              </w:rPr>
              <w:t xml:space="preserve">  </w:t>
            </w:r>
            <w:r>
              <w:rPr>
                <w:spacing w:val="7"/>
              </w:rPr>
              <w:t>签署涉及</w:t>
            </w:r>
            <w:r>
              <w:rPr>
                <w:b/>
                <w:bCs/>
                <w:spacing w:val="7"/>
              </w:rPr>
              <w:t>股权分配的协议</w:t>
            </w:r>
            <w:r>
              <w:rPr>
                <w:spacing w:val="7"/>
              </w:rPr>
              <w:t>， 且涉及委托代为</w:t>
            </w:r>
            <w:r>
              <w:rPr>
                <w:spacing w:val="6"/>
              </w:rPr>
              <w:t>行使全部</w:t>
            </w:r>
            <w:r>
              <w:rPr/>
              <w:t xml:space="preserve">  </w:t>
            </w:r>
            <w:r>
              <w:rPr>
                <w:spacing w:val="7"/>
              </w:rPr>
              <w:t>股东权利等相关安排， 可能导致控股股东持有公</w:t>
            </w:r>
            <w:r>
              <w:rPr>
                <w:spacing w:val="6"/>
              </w:rPr>
              <w:t>司股</w:t>
            </w:r>
            <w:r>
              <w:rPr/>
              <w:t xml:space="preserve">  </w:t>
            </w:r>
            <w:r>
              <w:rPr>
                <w:spacing w:val="5"/>
              </w:rPr>
              <w:t>份发生较大变化， 其</w:t>
            </w:r>
            <w:r>
              <w:rPr>
                <w:spacing w:val="49"/>
              </w:rPr>
              <w:t xml:space="preserve"> </w:t>
            </w:r>
            <w:r>
              <w:rPr>
                <w:spacing w:val="5"/>
              </w:rPr>
              <w:t>未配合公司及时披露相关</w:t>
            </w:r>
            <w:r>
              <w:rPr>
                <w:spacing w:val="4"/>
              </w:rPr>
              <w:t>事项。</w:t>
            </w:r>
          </w:p>
        </w:tc>
      </w:tr>
      <w:tr>
        <w:trPr>
          <w:trHeight w:val="391" w:hRule="atLeast"/>
        </w:trPr>
        <w:tc>
          <w:tcPr>
            <w:tcW w:w="1276" w:type="dxa"/>
            <w:vAlign w:val="top"/>
          </w:tcPr>
          <w:p>
            <w:pPr>
              <w:pStyle w:val="TableText"/>
              <w:ind w:left="272"/>
              <w:spacing w:before="111" w:line="178" w:lineRule="auto"/>
              <w:rPr/>
            </w:pPr>
            <w:r>
              <w:rPr>
                <w:spacing w:val="3"/>
              </w:rPr>
              <w:t>600487</w:t>
            </w:r>
          </w:p>
        </w:tc>
        <w:tc>
          <w:tcPr>
            <w:tcW w:w="1215" w:type="dxa"/>
            <w:vAlign w:val="top"/>
          </w:tcPr>
          <w:p>
            <w:pPr>
              <w:pStyle w:val="TableText"/>
              <w:ind w:left="180"/>
              <w:spacing w:before="95" w:line="190" w:lineRule="auto"/>
              <w:rPr/>
            </w:pPr>
            <w:r>
              <w:rPr>
                <w:spacing w:val="7"/>
              </w:rPr>
              <w:t>亨通光电</w:t>
            </w:r>
          </w:p>
        </w:tc>
        <w:tc>
          <w:tcPr>
            <w:tcW w:w="1324" w:type="dxa"/>
            <w:vAlign w:val="top"/>
          </w:tcPr>
          <w:p>
            <w:pPr>
              <w:pStyle w:val="TableText"/>
              <w:ind w:left="233"/>
              <w:spacing w:before="98" w:line="188" w:lineRule="auto"/>
              <w:rPr/>
            </w:pPr>
            <w:r>
              <w:rPr>
                <w:spacing w:val="8"/>
              </w:rPr>
              <w:t>通报批评</w:t>
            </w:r>
          </w:p>
        </w:tc>
        <w:tc>
          <w:tcPr>
            <w:tcW w:w="5004" w:type="dxa"/>
            <w:vAlign w:val="top"/>
          </w:tcPr>
          <w:p>
            <w:pPr>
              <w:pStyle w:val="TableText"/>
              <w:ind w:left="4"/>
              <w:spacing w:before="95" w:line="190" w:lineRule="auto"/>
              <w:rPr/>
            </w:pPr>
            <w:r>
              <w:rPr>
                <w:spacing w:val="7"/>
              </w:rPr>
              <w:t>公司前期部分会计核算和会计处理存在差错， 导</w:t>
            </w:r>
            <w:r>
              <w:rPr>
                <w:spacing w:val="6"/>
              </w:rPr>
              <w:t>致多</w:t>
            </w:r>
          </w:p>
        </w:tc>
      </w:tr>
    </w:tbl>
    <w:p>
      <w:pPr>
        <w:pStyle w:val="BodyText"/>
        <w:spacing w:line="14" w:lineRule="auto"/>
        <w:rPr>
          <w:sz w:val="2"/>
        </w:rPr>
      </w:pPr>
      <w:r/>
    </w:p>
    <w:p>
      <w:pPr>
        <w:spacing w:line="14" w:lineRule="auto"/>
        <w:sectPr>
          <w:pgSz w:w="11910" w:h="16840"/>
          <w:pgMar w:top="374" w:right="714" w:bottom="239" w:left="463" w:header="0" w:footer="0" w:gutter="0"/>
        </w:sectPr>
        <w:rPr>
          <w:sz w:val="2"/>
          <w:szCs w:val="2"/>
        </w:rPr>
      </w:pPr>
    </w:p>
    <w:tbl>
      <w:tblPr>
        <w:tblStyle w:val="TableNormal"/>
        <w:tblW w:w="8819" w:type="dxa"/>
        <w:tblInd w:w="760"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276"/>
        <w:gridCol w:w="1215"/>
        <w:gridCol w:w="1324"/>
        <w:gridCol w:w="5004"/>
      </w:tblGrid>
      <w:tr>
        <w:trPr>
          <w:trHeight w:val="379" w:hRule="atLeast"/>
        </w:trPr>
        <w:tc>
          <w:tcPr>
            <w:tcW w:w="1276" w:type="dxa"/>
            <w:vAlign w:val="top"/>
            <w:tcBorders>
              <w:top w:val="single" w:color="FFFFFF" w:sz="2" w:space="0"/>
            </w:tcBorders>
          </w:tcPr>
          <w:p>
            <w:pPr>
              <w:rPr>
                <w:rFonts w:ascii="Arial"/>
                <w:sz w:val="21"/>
              </w:rPr>
            </w:pPr>
            <w:r/>
          </w:p>
        </w:tc>
        <w:tc>
          <w:tcPr>
            <w:tcW w:w="1215" w:type="dxa"/>
            <w:vAlign w:val="top"/>
            <w:tcBorders>
              <w:top w:val="single" w:color="FFFFFF" w:sz="2" w:space="0"/>
            </w:tcBorders>
          </w:tcPr>
          <w:p>
            <w:pPr>
              <w:rPr>
                <w:rFonts w:ascii="Arial"/>
                <w:sz w:val="21"/>
              </w:rPr>
            </w:pPr>
            <w:r/>
          </w:p>
        </w:tc>
        <w:tc>
          <w:tcPr>
            <w:tcW w:w="1324" w:type="dxa"/>
            <w:vAlign w:val="top"/>
            <w:tcBorders>
              <w:top w:val="single" w:color="FFFFFF" w:sz="2" w:space="0"/>
            </w:tcBorders>
          </w:tcPr>
          <w:p>
            <w:pPr>
              <w:rPr>
                <w:rFonts w:ascii="Arial"/>
                <w:sz w:val="21"/>
              </w:rPr>
            </w:pPr>
            <w:r/>
          </w:p>
        </w:tc>
        <w:tc>
          <w:tcPr>
            <w:tcW w:w="5004" w:type="dxa"/>
            <w:vAlign w:val="top"/>
            <w:tcBorders>
              <w:top w:val="single" w:color="FFFFFF" w:sz="2" w:space="0"/>
            </w:tcBorders>
          </w:tcPr>
          <w:p>
            <w:pPr>
              <w:pStyle w:val="TableText"/>
              <w:ind w:left="4"/>
              <w:spacing w:before="101" w:line="187" w:lineRule="auto"/>
              <w:rPr/>
            </w:pPr>
            <w:r>
              <w:rPr>
                <w:spacing w:val="9"/>
              </w:rPr>
              <w:t>期定期报告相关</w:t>
            </w:r>
            <w:r>
              <w:rPr>
                <w:b/>
                <w:bCs/>
                <w:spacing w:val="9"/>
              </w:rPr>
              <w:t>财务信息</w:t>
            </w:r>
            <w:r>
              <w:rPr>
                <w:spacing w:val="9"/>
              </w:rPr>
              <w:t>披露不准确。</w:t>
            </w:r>
          </w:p>
        </w:tc>
      </w:tr>
    </w:tbl>
    <w:p>
      <w:pPr>
        <w:spacing w:before="159"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4"/>
        </w:rPr>
        <w:t>（</w:t>
      </w:r>
      <w:r>
        <w:rPr>
          <w:rFonts w:ascii="Microsoft YaHei" w:hAnsi="Microsoft YaHei" w:eastAsia="Microsoft YaHei" w:cs="Microsoft YaHei"/>
          <w:sz w:val="24"/>
          <w:szCs w:val="24"/>
          <w:b/>
          <w:bCs/>
          <w:color w:val="333333"/>
          <w:spacing w:val="24"/>
        </w:rPr>
        <w:t xml:space="preserve"> </w:t>
      </w:r>
      <w:r>
        <w:rPr>
          <w:rFonts w:ascii="Microsoft YaHei" w:hAnsi="Microsoft YaHei" w:eastAsia="Microsoft YaHei" w:cs="Microsoft YaHei"/>
          <w:sz w:val="24"/>
          <w:szCs w:val="24"/>
          <w:b/>
          <w:bCs/>
          <w:color w:val="333333"/>
          <w:spacing w:val="-4"/>
        </w:rPr>
        <w:t>2 ） 函件统计</w:t>
      </w:r>
    </w:p>
    <w:p>
      <w:pPr>
        <w:ind w:left="640"/>
        <w:spacing w:before="293"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2024年4月29日-5月5日， 上交所发出6份监管问询函。</w:t>
      </w:r>
    </w:p>
    <w:p>
      <w:pPr>
        <w:spacing w:before="25"/>
        <w:rPr/>
      </w:pPr>
      <w:r/>
    </w:p>
    <w:p>
      <w:pPr>
        <w:spacing w:before="25"/>
        <w:rPr/>
      </w:pPr>
      <w:r/>
    </w:p>
    <w:tbl>
      <w:tblPr>
        <w:tblStyle w:val="TableNormal"/>
        <w:tblW w:w="8837" w:type="dxa"/>
        <w:tblInd w:w="771"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276"/>
        <w:gridCol w:w="1215"/>
        <w:gridCol w:w="6346"/>
      </w:tblGrid>
      <w:tr>
        <w:trPr>
          <w:trHeight w:val="377" w:hRule="atLeast"/>
        </w:trPr>
        <w:tc>
          <w:tcPr>
            <w:shd w:val="clear" w:fill="C0504D"/>
            <w:tcW w:w="1276" w:type="dxa"/>
            <w:vAlign w:val="top"/>
            <w:tcBorders>
              <w:bottom w:val="single" w:color="FFFFFF" w:sz="10" w:space="0"/>
            </w:tcBorders>
          </w:tcPr>
          <w:p>
            <w:pPr>
              <w:pStyle w:val="TableText"/>
              <w:ind w:left="212"/>
              <w:spacing w:before="92" w:line="189" w:lineRule="auto"/>
              <w:rPr/>
            </w:pPr>
            <w:r>
              <w:rPr>
                <w:b/>
                <w:bCs/>
                <w:color w:val="FFFFFF"/>
                <w:spacing w:val="8"/>
              </w:rPr>
              <w:t>公司代码</w:t>
            </w:r>
          </w:p>
        </w:tc>
        <w:tc>
          <w:tcPr>
            <w:shd w:val="clear" w:fill="C0504D"/>
            <w:tcW w:w="1215" w:type="dxa"/>
            <w:vAlign w:val="top"/>
            <w:tcBorders>
              <w:bottom w:val="single" w:color="FFFFFF" w:sz="10" w:space="0"/>
            </w:tcBorders>
          </w:tcPr>
          <w:p>
            <w:pPr>
              <w:pStyle w:val="TableText"/>
              <w:ind w:left="179"/>
              <w:spacing w:before="92" w:line="189" w:lineRule="auto"/>
              <w:rPr/>
            </w:pPr>
            <w:r>
              <w:rPr>
                <w:b/>
                <w:bCs/>
                <w:color w:val="FFFFFF"/>
                <w:spacing w:val="8"/>
              </w:rPr>
              <w:t>公司简称</w:t>
            </w:r>
          </w:p>
        </w:tc>
        <w:tc>
          <w:tcPr>
            <w:shd w:val="clear" w:fill="C0504D"/>
            <w:tcW w:w="6346" w:type="dxa"/>
            <w:vAlign w:val="top"/>
            <w:tcBorders>
              <w:bottom w:val="single" w:color="FFFFFF" w:sz="10" w:space="0"/>
            </w:tcBorders>
          </w:tcPr>
          <w:p>
            <w:pPr>
              <w:pStyle w:val="TableText"/>
              <w:ind w:left="2756"/>
              <w:spacing w:before="93" w:line="188" w:lineRule="auto"/>
              <w:rPr/>
            </w:pPr>
            <w:r>
              <w:rPr>
                <w:b/>
                <w:bCs/>
                <w:color w:val="FFFFFF"/>
                <w:spacing w:val="5"/>
              </w:rPr>
              <w:t>函件类别</w:t>
            </w:r>
          </w:p>
        </w:tc>
      </w:tr>
      <w:tr>
        <w:trPr>
          <w:trHeight w:val="358" w:hRule="atLeast"/>
        </w:trPr>
        <w:tc>
          <w:tcPr>
            <w:tcW w:w="1276" w:type="dxa"/>
            <w:vAlign w:val="top"/>
            <w:tcBorders>
              <w:top w:val="single" w:color="FFFFFF" w:sz="10" w:space="0"/>
            </w:tcBorders>
          </w:tcPr>
          <w:p>
            <w:pPr>
              <w:pStyle w:val="TableText"/>
              <w:ind w:left="270"/>
              <w:spacing w:before="93" w:line="178" w:lineRule="auto"/>
              <w:rPr/>
            </w:pPr>
            <w:r>
              <w:rPr>
                <w:spacing w:val="3"/>
              </w:rPr>
              <w:t>688287</w:t>
            </w:r>
          </w:p>
        </w:tc>
        <w:tc>
          <w:tcPr>
            <w:tcW w:w="1215" w:type="dxa"/>
            <w:vAlign w:val="top"/>
            <w:tcBorders>
              <w:top w:val="single" w:color="FFFFFF" w:sz="10" w:space="0"/>
            </w:tcBorders>
          </w:tcPr>
          <w:p>
            <w:pPr>
              <w:pStyle w:val="TableText"/>
              <w:ind w:left="178"/>
              <w:spacing w:before="77" w:line="189" w:lineRule="auto"/>
              <w:rPr/>
            </w:pPr>
            <w:r>
              <w:rPr>
                <w:spacing w:val="8"/>
              </w:rPr>
              <w:t>观典防务</w:t>
            </w:r>
          </w:p>
        </w:tc>
        <w:tc>
          <w:tcPr>
            <w:tcW w:w="6346" w:type="dxa"/>
            <w:vAlign w:val="top"/>
            <w:tcBorders>
              <w:top w:val="single" w:color="FFFFFF" w:sz="10" w:space="0"/>
            </w:tcBorders>
          </w:tcPr>
          <w:p>
            <w:pPr>
              <w:pStyle w:val="TableText"/>
              <w:ind w:left="2862"/>
              <w:spacing w:before="79" w:line="188" w:lineRule="auto"/>
              <w:rPr/>
            </w:pPr>
            <w:r>
              <w:rPr>
                <w:spacing w:val="4"/>
              </w:rPr>
              <w:t>问询函</w:t>
            </w:r>
          </w:p>
        </w:tc>
      </w:tr>
      <w:tr>
        <w:trPr>
          <w:trHeight w:val="364" w:hRule="atLeast"/>
        </w:trPr>
        <w:tc>
          <w:tcPr>
            <w:shd w:val="clear" w:fill="F2DCDC"/>
            <w:tcW w:w="1276" w:type="dxa"/>
            <w:vAlign w:val="top"/>
          </w:tcPr>
          <w:p>
            <w:pPr>
              <w:pStyle w:val="TableText"/>
              <w:ind w:left="270"/>
              <w:spacing w:before="102" w:line="176" w:lineRule="auto"/>
              <w:rPr/>
            </w:pPr>
            <w:r>
              <w:rPr>
                <w:spacing w:val="3"/>
              </w:rPr>
              <w:t>603003</w:t>
            </w:r>
          </w:p>
        </w:tc>
        <w:tc>
          <w:tcPr>
            <w:shd w:val="clear" w:fill="F2DCDC"/>
            <w:tcW w:w="1215" w:type="dxa"/>
            <w:vAlign w:val="top"/>
          </w:tcPr>
          <w:p>
            <w:pPr>
              <w:pStyle w:val="TableText"/>
              <w:ind w:left="176"/>
              <w:spacing w:before="88" w:line="186" w:lineRule="auto"/>
              <w:rPr/>
            </w:pPr>
            <w:r>
              <w:rPr>
                <w:spacing w:val="9"/>
              </w:rPr>
              <w:t>龙宇股份</w:t>
            </w:r>
          </w:p>
        </w:tc>
        <w:tc>
          <w:tcPr>
            <w:shd w:val="clear" w:fill="F2DCDC"/>
            <w:tcW w:w="6346" w:type="dxa"/>
            <w:vAlign w:val="top"/>
          </w:tcPr>
          <w:p>
            <w:pPr>
              <w:pStyle w:val="TableText"/>
              <w:ind w:left="2862"/>
              <w:spacing w:before="86" w:line="187" w:lineRule="auto"/>
              <w:rPr/>
            </w:pPr>
            <w:r>
              <w:rPr>
                <w:spacing w:val="4"/>
              </w:rPr>
              <w:t>问询函</w:t>
            </w:r>
          </w:p>
        </w:tc>
      </w:tr>
      <w:tr>
        <w:trPr>
          <w:trHeight w:val="363" w:hRule="atLeast"/>
        </w:trPr>
        <w:tc>
          <w:tcPr>
            <w:tcW w:w="1276" w:type="dxa"/>
            <w:vAlign w:val="top"/>
          </w:tcPr>
          <w:p>
            <w:pPr>
              <w:pStyle w:val="TableText"/>
              <w:ind w:left="270"/>
              <w:spacing w:before="101" w:line="176" w:lineRule="auto"/>
              <w:rPr/>
            </w:pPr>
            <w:r>
              <w:rPr>
                <w:spacing w:val="3"/>
              </w:rPr>
              <w:t>603608</w:t>
            </w:r>
          </w:p>
        </w:tc>
        <w:tc>
          <w:tcPr>
            <w:tcW w:w="1215" w:type="dxa"/>
            <w:vAlign w:val="top"/>
          </w:tcPr>
          <w:p>
            <w:pPr>
              <w:pStyle w:val="TableText"/>
              <w:ind w:left="178"/>
              <w:spacing w:before="88" w:line="185" w:lineRule="auto"/>
              <w:rPr/>
            </w:pPr>
            <w:r>
              <w:rPr>
                <w:spacing w:val="8"/>
              </w:rPr>
              <w:t>天创时尚</w:t>
            </w:r>
          </w:p>
        </w:tc>
        <w:tc>
          <w:tcPr>
            <w:tcW w:w="6346" w:type="dxa"/>
            <w:vAlign w:val="top"/>
          </w:tcPr>
          <w:p>
            <w:pPr>
              <w:pStyle w:val="TableText"/>
              <w:ind w:left="2862"/>
              <w:spacing w:before="87" w:line="186" w:lineRule="auto"/>
              <w:rPr/>
            </w:pPr>
            <w:r>
              <w:rPr>
                <w:spacing w:val="4"/>
              </w:rPr>
              <w:t>问询函</w:t>
            </w:r>
          </w:p>
        </w:tc>
      </w:tr>
      <w:tr>
        <w:trPr>
          <w:trHeight w:val="363" w:hRule="atLeast"/>
        </w:trPr>
        <w:tc>
          <w:tcPr>
            <w:shd w:val="clear" w:fill="F2DCDC"/>
            <w:tcW w:w="1276" w:type="dxa"/>
            <w:vAlign w:val="top"/>
          </w:tcPr>
          <w:p>
            <w:pPr>
              <w:pStyle w:val="TableText"/>
              <w:ind w:left="270"/>
              <w:spacing w:before="102" w:line="175" w:lineRule="auto"/>
              <w:rPr/>
            </w:pPr>
            <w:r>
              <w:rPr>
                <w:spacing w:val="3"/>
              </w:rPr>
              <w:t>603226</w:t>
            </w:r>
          </w:p>
        </w:tc>
        <w:tc>
          <w:tcPr>
            <w:shd w:val="clear" w:fill="F2DCDC"/>
            <w:tcW w:w="1215" w:type="dxa"/>
            <w:vAlign w:val="top"/>
          </w:tcPr>
          <w:p>
            <w:pPr>
              <w:pStyle w:val="TableText"/>
              <w:ind w:left="179"/>
              <w:spacing w:before="89" w:line="184" w:lineRule="auto"/>
              <w:rPr/>
            </w:pPr>
            <w:r>
              <w:rPr>
                <w:spacing w:val="8"/>
              </w:rPr>
              <w:t>菲林格尔</w:t>
            </w:r>
          </w:p>
        </w:tc>
        <w:tc>
          <w:tcPr>
            <w:shd w:val="clear" w:fill="F2DCDC"/>
            <w:tcW w:w="6346" w:type="dxa"/>
            <w:vAlign w:val="top"/>
          </w:tcPr>
          <w:p>
            <w:pPr>
              <w:pStyle w:val="TableText"/>
              <w:ind w:left="2862"/>
              <w:spacing w:before="88" w:line="185" w:lineRule="auto"/>
              <w:rPr/>
            </w:pPr>
            <w:r>
              <w:rPr>
                <w:spacing w:val="4"/>
              </w:rPr>
              <w:t>问询函</w:t>
            </w:r>
          </w:p>
        </w:tc>
      </w:tr>
      <w:tr>
        <w:trPr>
          <w:trHeight w:val="364" w:hRule="atLeast"/>
        </w:trPr>
        <w:tc>
          <w:tcPr>
            <w:tcW w:w="1276" w:type="dxa"/>
            <w:vAlign w:val="top"/>
          </w:tcPr>
          <w:p>
            <w:pPr>
              <w:pStyle w:val="TableText"/>
              <w:ind w:left="270"/>
              <w:spacing w:before="106" w:line="173" w:lineRule="auto"/>
              <w:rPr/>
            </w:pPr>
            <w:r>
              <w:rPr>
                <w:spacing w:val="3"/>
              </w:rPr>
              <w:t>603959</w:t>
            </w:r>
          </w:p>
        </w:tc>
        <w:tc>
          <w:tcPr>
            <w:tcW w:w="1215" w:type="dxa"/>
            <w:vAlign w:val="top"/>
          </w:tcPr>
          <w:p>
            <w:pPr>
              <w:pStyle w:val="TableText"/>
              <w:ind w:left="180"/>
              <w:spacing w:before="93" w:line="182" w:lineRule="auto"/>
              <w:rPr/>
            </w:pPr>
            <w:r>
              <w:rPr>
                <w:spacing w:val="8"/>
              </w:rPr>
              <w:t>百利科技</w:t>
            </w:r>
          </w:p>
        </w:tc>
        <w:tc>
          <w:tcPr>
            <w:tcW w:w="6346" w:type="dxa"/>
            <w:vAlign w:val="top"/>
          </w:tcPr>
          <w:p>
            <w:pPr>
              <w:pStyle w:val="TableText"/>
              <w:ind w:left="2862"/>
              <w:spacing w:before="92" w:line="183" w:lineRule="auto"/>
              <w:rPr/>
            </w:pPr>
            <w:r>
              <w:rPr>
                <w:spacing w:val="4"/>
              </w:rPr>
              <w:t>问询函</w:t>
            </w:r>
          </w:p>
        </w:tc>
      </w:tr>
      <w:tr>
        <w:trPr>
          <w:trHeight w:val="372" w:hRule="atLeast"/>
        </w:trPr>
        <w:tc>
          <w:tcPr>
            <w:shd w:val="clear" w:fill="F2DCDC"/>
            <w:tcW w:w="1276" w:type="dxa"/>
            <w:vAlign w:val="top"/>
          </w:tcPr>
          <w:p>
            <w:pPr>
              <w:pStyle w:val="TableText"/>
              <w:ind w:left="270"/>
              <w:spacing w:before="108" w:line="177" w:lineRule="auto"/>
              <w:rPr/>
            </w:pPr>
            <w:r>
              <w:rPr>
                <w:spacing w:val="3"/>
              </w:rPr>
              <w:t>603488</w:t>
            </w:r>
          </w:p>
        </w:tc>
        <w:tc>
          <w:tcPr>
            <w:shd w:val="clear" w:fill="F2DCDC"/>
            <w:tcW w:w="1215" w:type="dxa"/>
            <w:vAlign w:val="top"/>
          </w:tcPr>
          <w:p>
            <w:pPr>
              <w:pStyle w:val="TableText"/>
              <w:ind w:left="178"/>
              <w:spacing w:before="96" w:line="186" w:lineRule="auto"/>
              <w:rPr/>
            </w:pPr>
            <w:r>
              <w:rPr>
                <w:spacing w:val="8"/>
              </w:rPr>
              <w:t>展鹏科技</w:t>
            </w:r>
          </w:p>
        </w:tc>
        <w:tc>
          <w:tcPr>
            <w:shd w:val="clear" w:fill="F2DCDC"/>
            <w:tcW w:w="6346" w:type="dxa"/>
            <w:vAlign w:val="top"/>
          </w:tcPr>
          <w:p>
            <w:pPr>
              <w:pStyle w:val="TableText"/>
              <w:ind w:left="2862"/>
              <w:spacing w:before="94" w:line="187" w:lineRule="auto"/>
              <w:rPr/>
            </w:pPr>
            <w:r>
              <w:rPr>
                <w:spacing w:val="4"/>
              </w:rPr>
              <w:t>问询函</w:t>
            </w:r>
          </w:p>
        </w:tc>
      </w:tr>
    </w:tbl>
    <w:p>
      <w:pPr>
        <w:pStyle w:val="BodyText"/>
        <w:rPr/>
      </w:pPr>
      <w:r/>
    </w:p>
    <w:p>
      <w:pPr>
        <w:sectPr>
          <w:pgSz w:w="11910" w:h="16840"/>
          <w:pgMar w:top="400" w:right="1399" w:bottom="400" w:left="893" w:header="0" w:footer="0" w:gutter="0"/>
        </w:sectPr>
        <w:rPr/>
      </w:pPr>
    </w:p>
    <w:p>
      <w:pPr>
        <w:spacing w:line="924" w:lineRule="exact"/>
        <w:rPr/>
      </w:pPr>
      <w:r>
        <w:rPr>
          <w:position w:val="-18"/>
        </w:rPr>
        <w:pict>
          <v:group id="_x0000_s42" style="mso-position-vertical-relative:line;mso-position-horizontal-relative:char;width:134.8pt;height:46.25pt;" filled="false" stroked="false" coordsize="2696,925" coordorigin="0,0">
            <v:shape id="_x0000_s44" style="position:absolute;left:0;top:0;width:2696;height:925;" filled="false" stroked="false" type="#_x0000_t75">
              <v:imagedata o:title="" r:id="rId15"/>
            </v:shape>
            <v:shape id="_x0000_s46" style="position:absolute;left:-20;top:-20;width:2736;height:965;" filled="false" stroked="false" type="#_x0000_t202">
              <v:fill on="false"/>
              <v:stroke on="false"/>
              <v:path/>
              <v:imagedata o:title=""/>
              <o:lock v:ext="edit" aspectratio="false"/>
              <v:textbox inset="0mm,0mm,0mm,0mm">
                <w:txbxContent>
                  <w:p>
                    <w:pPr>
                      <w:ind w:left="372"/>
                      <w:spacing w:before="304"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2"/>
                      </w:rPr>
                      <w:t>深交所监管动态</w:t>
                    </w:r>
                  </w:p>
                </w:txbxContent>
              </v:textbox>
            </v:shape>
          </v:group>
        </w:pict>
      </w:r>
    </w:p>
    <w:p>
      <w:pPr>
        <w:ind w:left="941"/>
        <w:spacing w:before="147"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1、上市公司监管动态</w:t>
      </w:r>
    </w:p>
    <w:p>
      <w:pPr>
        <w:ind w:left="866" w:firstLine="427"/>
        <w:spacing w:before="70" w:line="238"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10"/>
        </w:rPr>
        <w:t>2024年4月</w:t>
      </w:r>
      <w:r>
        <w:rPr>
          <w:rFonts w:ascii="Microsoft YaHei" w:hAnsi="Microsoft YaHei" w:eastAsia="Microsoft YaHei" w:cs="Microsoft YaHei"/>
          <w:sz w:val="22"/>
          <w:szCs w:val="22"/>
          <w:spacing w:val="-9"/>
        </w:rPr>
        <w:t>29日-5月5日， 深交所</w:t>
      </w:r>
      <w:r>
        <w:rPr>
          <w:rFonts w:ascii="Microsoft YaHei" w:hAnsi="Microsoft YaHei" w:eastAsia="Microsoft YaHei" w:cs="Microsoft YaHei"/>
          <w:sz w:val="22"/>
          <w:szCs w:val="22"/>
          <w:spacing w:val="-10"/>
        </w:rPr>
        <w:t>发出15份监管函，</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10"/>
        </w:rPr>
        <w:t>对3宗行为予以纪律处分； 共发出关注函9份， 年</w:t>
      </w:r>
      <w:r>
        <w:rPr>
          <w:rFonts w:ascii="Microsoft YaHei" w:hAnsi="Microsoft YaHei" w:eastAsia="Microsoft YaHei" w:cs="Microsoft YaHei"/>
          <w:sz w:val="22"/>
          <w:szCs w:val="22"/>
          <w:spacing w:val="-3"/>
        </w:rPr>
        <w:t>报</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问询函12份。</w:t>
      </w:r>
    </w:p>
    <w:p>
      <w:pPr>
        <w:pStyle w:val="BodyText"/>
        <w:spacing w:line="263" w:lineRule="auto"/>
        <w:rPr/>
      </w:pPr>
      <w:r/>
    </w:p>
    <w:p>
      <w:pPr>
        <w:pStyle w:val="BodyText"/>
        <w:spacing w:line="263" w:lineRule="auto"/>
        <w:rPr/>
      </w:pPr>
      <w:r/>
    </w:p>
    <w:p>
      <w:pPr>
        <w:pStyle w:val="BodyText"/>
        <w:spacing w:line="264" w:lineRule="auto"/>
        <w:rPr/>
      </w:pPr>
      <w:r/>
    </w:p>
    <w:p>
      <w:pPr>
        <w:ind w:firstLine="1156"/>
        <w:spacing w:line="4331" w:lineRule="exact"/>
        <w:rPr/>
      </w:pPr>
      <w:r>
        <w:rPr>
          <w:position w:val="-86"/>
        </w:rPr>
        <w:drawing>
          <wp:inline distT="0" distB="0" distL="0" distR="0">
            <wp:extent cx="5493384" cy="2750184"/>
            <wp:effectExtent l="0" t="0" r="0" b="0"/>
            <wp:docPr id="24" name="IM 24"/>
            <wp:cNvGraphicFramePr/>
            <a:graphic>
              <a:graphicData uri="http://schemas.openxmlformats.org/drawingml/2006/picture">
                <pic:pic>
                  <pic:nvPicPr>
                    <pic:cNvPr id="24" name="IM 24"/>
                    <pic:cNvPicPr/>
                  </pic:nvPicPr>
                  <pic:blipFill>
                    <a:blip r:embed="rId17"/>
                    <a:stretch>
                      <a:fillRect/>
                    </a:stretch>
                  </pic:blipFill>
                  <pic:spPr>
                    <a:xfrm rot="0">
                      <a:off x="0" y="0"/>
                      <a:ext cx="5493384" cy="2750184"/>
                    </a:xfrm>
                    <a:prstGeom prst="rect">
                      <a:avLst/>
                    </a:prstGeom>
                  </pic:spPr>
                </pic:pic>
              </a:graphicData>
            </a:graphic>
          </wp:inline>
        </w:drawing>
      </w:r>
    </w:p>
    <w:p>
      <w:pPr>
        <w:pStyle w:val="BodyText"/>
        <w:spacing w:line="245" w:lineRule="auto"/>
        <w:rPr/>
      </w:pPr>
      <w:r/>
    </w:p>
    <w:p>
      <w:pPr>
        <w:pStyle w:val="BodyText"/>
        <w:spacing w:line="245" w:lineRule="auto"/>
        <w:rPr/>
      </w:pPr>
      <w:r/>
    </w:p>
    <w:p>
      <w:pPr>
        <w:pStyle w:val="BodyText"/>
        <w:spacing w:line="246" w:lineRule="auto"/>
        <w:rPr/>
      </w:pPr>
      <w:r/>
    </w:p>
    <w:p>
      <w:pPr>
        <w:pStyle w:val="BodyText"/>
        <w:spacing w:line="246" w:lineRule="auto"/>
        <w:rPr/>
      </w:pPr>
      <w:r/>
    </w:p>
    <w:p>
      <w:pPr>
        <w:pStyle w:val="BodyText"/>
        <w:spacing w:line="246" w:lineRule="auto"/>
        <w:rPr/>
      </w:pPr>
      <w:r/>
    </w:p>
    <w:p>
      <w:pPr>
        <w:ind w:left="872"/>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4"/>
        </w:rPr>
        <w:t>（</w:t>
      </w:r>
      <w:r>
        <w:rPr>
          <w:rFonts w:ascii="Microsoft YaHei" w:hAnsi="Microsoft YaHei" w:eastAsia="Microsoft YaHei" w:cs="Microsoft YaHei"/>
          <w:sz w:val="24"/>
          <w:szCs w:val="24"/>
          <w:b/>
          <w:bCs/>
          <w:spacing w:val="44"/>
        </w:rPr>
        <w:t xml:space="preserve"> </w:t>
      </w:r>
      <w:r>
        <w:rPr>
          <w:rFonts w:ascii="Microsoft YaHei" w:hAnsi="Microsoft YaHei" w:eastAsia="Microsoft YaHei" w:cs="Microsoft YaHei"/>
          <w:sz w:val="24"/>
          <w:szCs w:val="24"/>
          <w:b/>
          <w:bCs/>
          <w:spacing w:val="-4"/>
        </w:rPr>
        <w:t>1 ） 纪律处分及监管措施</w:t>
      </w:r>
    </w:p>
    <w:p>
      <w:pPr>
        <w:spacing w:line="191" w:lineRule="exact"/>
        <w:rPr/>
      </w:pPr>
      <w:r/>
    </w:p>
    <w:tbl>
      <w:tblPr>
        <w:tblStyle w:val="TableNormal"/>
        <w:tblW w:w="9006" w:type="dxa"/>
        <w:tblInd w:w="924"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337"/>
        <w:gridCol w:w="1144"/>
        <w:gridCol w:w="1432"/>
        <w:gridCol w:w="5093"/>
      </w:tblGrid>
      <w:tr>
        <w:trPr>
          <w:trHeight w:val="661" w:hRule="atLeast"/>
        </w:trPr>
        <w:tc>
          <w:tcPr>
            <w:shd w:val="clear" w:fill="4BACC6"/>
            <w:tcW w:w="1337" w:type="dxa"/>
            <w:vAlign w:val="top"/>
          </w:tcPr>
          <w:p>
            <w:pPr>
              <w:pStyle w:val="TableText"/>
              <w:ind w:left="229"/>
              <w:spacing w:before="93" w:line="183" w:lineRule="auto"/>
              <w:rPr>
                <w:sz w:val="22"/>
                <w:szCs w:val="22"/>
              </w:rPr>
            </w:pPr>
            <w:r>
              <w:rPr>
                <w:sz w:val="22"/>
                <w:szCs w:val="22"/>
                <w:b/>
                <w:bCs/>
                <w:color w:val="FFFFFF"/>
                <w:spacing w:val="-1"/>
              </w:rPr>
              <w:t>公司代码</w:t>
            </w:r>
          </w:p>
        </w:tc>
        <w:tc>
          <w:tcPr>
            <w:shd w:val="clear" w:fill="4BACC6"/>
            <w:tcW w:w="1144" w:type="dxa"/>
            <w:vAlign w:val="top"/>
            <w:tcBorders>
              <w:top w:val="nil"/>
            </w:tcBorders>
          </w:tcPr>
          <w:p>
            <w:pPr>
              <w:pStyle w:val="TableText"/>
              <w:ind w:left="132"/>
              <w:spacing w:before="93" w:line="183" w:lineRule="auto"/>
              <w:rPr>
                <w:sz w:val="22"/>
                <w:szCs w:val="22"/>
              </w:rPr>
            </w:pPr>
            <w:r>
              <w:rPr>
                <w:sz w:val="22"/>
                <w:szCs w:val="22"/>
                <w:b/>
                <w:bCs/>
                <w:color w:val="FFFFFF"/>
                <w:spacing w:val="-1"/>
              </w:rPr>
              <w:t>公司简称</w:t>
            </w:r>
          </w:p>
        </w:tc>
        <w:tc>
          <w:tcPr>
            <w:shd w:val="clear" w:fill="4BACC6"/>
            <w:tcW w:w="1432" w:type="dxa"/>
            <w:vAlign w:val="top"/>
            <w:tcBorders>
              <w:top w:val="nil"/>
            </w:tcBorders>
          </w:tcPr>
          <w:p>
            <w:pPr>
              <w:pStyle w:val="TableText"/>
              <w:ind w:left="276"/>
              <w:spacing w:before="93" w:line="183" w:lineRule="auto"/>
              <w:rPr>
                <w:sz w:val="22"/>
                <w:szCs w:val="22"/>
              </w:rPr>
            </w:pPr>
            <w:r>
              <w:rPr>
                <w:sz w:val="22"/>
                <w:szCs w:val="22"/>
                <w:b/>
                <w:bCs/>
                <w:color w:val="FFFFFF"/>
                <w:spacing w:val="-1"/>
              </w:rPr>
              <w:t>监管类型</w:t>
            </w:r>
          </w:p>
        </w:tc>
        <w:tc>
          <w:tcPr>
            <w:shd w:val="clear" w:fill="4BACC6"/>
            <w:tcW w:w="5093" w:type="dxa"/>
            <w:vAlign w:val="top"/>
            <w:tcBorders>
              <w:top w:val="nil"/>
            </w:tcBorders>
          </w:tcPr>
          <w:p>
            <w:pPr>
              <w:pStyle w:val="TableText"/>
              <w:ind w:left="2104"/>
              <w:spacing w:before="93" w:line="183" w:lineRule="auto"/>
              <w:rPr>
                <w:sz w:val="22"/>
                <w:szCs w:val="22"/>
              </w:rPr>
            </w:pPr>
            <w:r>
              <w:rPr>
                <w:sz w:val="22"/>
                <w:szCs w:val="22"/>
                <w:b/>
                <w:bCs/>
                <w:color w:val="FFFFFF"/>
                <w:spacing w:val="-1"/>
              </w:rPr>
              <w:t>处理事由</w:t>
            </w:r>
          </w:p>
        </w:tc>
      </w:tr>
      <w:tr>
        <w:trPr>
          <w:trHeight w:val="631" w:hRule="atLeast"/>
        </w:trPr>
        <w:tc>
          <w:tcPr>
            <w:tcW w:w="1337" w:type="dxa"/>
            <w:vAlign w:val="top"/>
          </w:tcPr>
          <w:p>
            <w:pPr>
              <w:pStyle w:val="TableText"/>
              <w:ind w:left="311"/>
              <w:spacing w:before="234" w:line="179" w:lineRule="auto"/>
              <w:rPr/>
            </w:pPr>
            <w:r>
              <w:rPr>
                <w:spacing w:val="3"/>
              </w:rPr>
              <w:t>300181</w:t>
            </w:r>
          </w:p>
        </w:tc>
        <w:tc>
          <w:tcPr>
            <w:tcW w:w="1144" w:type="dxa"/>
            <w:vAlign w:val="top"/>
          </w:tcPr>
          <w:p>
            <w:pPr>
              <w:pStyle w:val="TableText"/>
              <w:ind w:left="148"/>
              <w:spacing w:before="222" w:line="188" w:lineRule="auto"/>
              <w:rPr/>
            </w:pPr>
            <w:r>
              <w:rPr>
                <w:spacing w:val="9"/>
              </w:rPr>
              <w:t>佐力药业</w:t>
            </w:r>
          </w:p>
        </w:tc>
        <w:tc>
          <w:tcPr>
            <w:tcW w:w="1432" w:type="dxa"/>
            <w:vAlign w:val="top"/>
          </w:tcPr>
          <w:p>
            <w:pPr>
              <w:pStyle w:val="TableText"/>
              <w:ind w:left="402"/>
              <w:spacing w:before="220" w:line="189" w:lineRule="auto"/>
              <w:rPr/>
            </w:pPr>
            <w:r>
              <w:rPr>
                <w:spacing w:val="8"/>
              </w:rPr>
              <w:t>监管函</w:t>
            </w:r>
          </w:p>
        </w:tc>
        <w:tc>
          <w:tcPr>
            <w:tcW w:w="5093" w:type="dxa"/>
            <w:vAlign w:val="top"/>
          </w:tcPr>
          <w:p>
            <w:pPr>
              <w:pStyle w:val="TableText"/>
              <w:ind w:left="110"/>
              <w:spacing w:before="219" w:line="190" w:lineRule="auto"/>
              <w:rPr/>
            </w:pPr>
            <w:r>
              <w:rPr>
                <w:spacing w:val="8"/>
              </w:rPr>
              <w:t>高管配偶</w:t>
            </w:r>
            <w:r>
              <w:rPr>
                <w:b/>
                <w:bCs/>
                <w:spacing w:val="8"/>
              </w:rPr>
              <w:t>短线交易</w:t>
            </w:r>
            <w:r>
              <w:rPr>
                <w:spacing w:val="8"/>
              </w:rPr>
              <w:t>。</w:t>
            </w:r>
          </w:p>
        </w:tc>
      </w:tr>
      <w:tr>
        <w:trPr>
          <w:trHeight w:val="1480" w:hRule="atLeast"/>
        </w:trPr>
        <w:tc>
          <w:tcPr>
            <w:shd w:val="clear" w:fill="B8CCE4"/>
            <w:tcW w:w="1337" w:type="dxa"/>
            <w:vAlign w:val="top"/>
          </w:tcPr>
          <w:p>
            <w:pPr>
              <w:spacing w:line="284" w:lineRule="auto"/>
              <w:rPr>
                <w:rFonts w:ascii="Arial"/>
                <w:sz w:val="21"/>
              </w:rPr>
            </w:pPr>
            <w:r/>
          </w:p>
          <w:p>
            <w:pPr>
              <w:spacing w:line="285" w:lineRule="auto"/>
              <w:rPr>
                <w:rFonts w:ascii="Arial"/>
                <w:sz w:val="21"/>
              </w:rPr>
            </w:pPr>
            <w:r/>
          </w:p>
          <w:p>
            <w:pPr>
              <w:pStyle w:val="TableText"/>
              <w:ind w:left="311"/>
              <w:spacing w:before="86" w:line="178" w:lineRule="auto"/>
              <w:rPr/>
            </w:pPr>
            <w:r>
              <w:rPr>
                <w:spacing w:val="3"/>
              </w:rPr>
              <w:t>300527</w:t>
            </w:r>
          </w:p>
        </w:tc>
        <w:tc>
          <w:tcPr>
            <w:shd w:val="clear" w:fill="B8CCE4"/>
            <w:tcW w:w="1144" w:type="dxa"/>
            <w:vAlign w:val="top"/>
          </w:tcPr>
          <w:p>
            <w:pPr>
              <w:spacing w:line="276" w:lineRule="auto"/>
              <w:rPr>
                <w:rFonts w:ascii="Arial"/>
                <w:sz w:val="21"/>
              </w:rPr>
            </w:pPr>
            <w:r/>
          </w:p>
          <w:p>
            <w:pPr>
              <w:spacing w:line="277" w:lineRule="auto"/>
              <w:rPr>
                <w:rFonts w:ascii="Arial"/>
                <w:sz w:val="21"/>
              </w:rPr>
            </w:pPr>
            <w:r/>
          </w:p>
          <w:p>
            <w:pPr>
              <w:pStyle w:val="TableText"/>
              <w:ind w:left="164"/>
              <w:spacing w:before="86" w:line="190" w:lineRule="auto"/>
              <w:rPr/>
            </w:pPr>
            <w:r>
              <w:rPr>
                <w:spacing w:val="5"/>
              </w:rPr>
              <w:t>中船应急</w:t>
            </w:r>
          </w:p>
        </w:tc>
        <w:tc>
          <w:tcPr>
            <w:shd w:val="clear" w:fill="B8CCE4"/>
            <w:tcW w:w="1432" w:type="dxa"/>
            <w:vAlign w:val="top"/>
          </w:tcPr>
          <w:p>
            <w:pPr>
              <w:spacing w:line="277" w:lineRule="auto"/>
              <w:rPr>
                <w:rFonts w:ascii="Arial"/>
                <w:sz w:val="21"/>
              </w:rPr>
            </w:pPr>
            <w:r/>
          </w:p>
          <w:p>
            <w:pPr>
              <w:spacing w:line="277" w:lineRule="auto"/>
              <w:rPr>
                <w:rFonts w:ascii="Arial"/>
                <w:sz w:val="21"/>
              </w:rPr>
            </w:pPr>
            <w:r/>
          </w:p>
          <w:p>
            <w:pPr>
              <w:pStyle w:val="TableText"/>
              <w:ind w:left="402"/>
              <w:spacing w:before="86" w:line="189" w:lineRule="auto"/>
              <w:rPr/>
            </w:pPr>
            <w:r>
              <w:rPr>
                <w:spacing w:val="8"/>
              </w:rPr>
              <w:t>监管函</w:t>
            </w:r>
          </w:p>
        </w:tc>
        <w:tc>
          <w:tcPr>
            <w:shd w:val="clear" w:fill="B8CCE4"/>
            <w:tcW w:w="5093" w:type="dxa"/>
            <w:vAlign w:val="top"/>
          </w:tcPr>
          <w:p>
            <w:pPr>
              <w:pStyle w:val="TableText"/>
              <w:ind w:left="108" w:right="153"/>
              <w:spacing w:before="285" w:line="250" w:lineRule="auto"/>
              <w:jc w:val="both"/>
              <w:rPr/>
            </w:pPr>
            <w:r>
              <w:rPr>
                <w:spacing w:val="9"/>
              </w:rPr>
              <w:t>公司未在</w:t>
            </w:r>
            <w:r>
              <w:rPr>
                <w:b/>
                <w:bCs/>
                <w:spacing w:val="9"/>
              </w:rPr>
              <w:t>预计触发转股价格修正条件</w:t>
            </w:r>
            <w:r>
              <w:rPr>
                <w:spacing w:val="9"/>
              </w:rPr>
              <w:t>的5个交易日前</w:t>
            </w:r>
            <w:r>
              <w:rPr>
                <w:spacing w:val="7"/>
              </w:rPr>
              <w:t xml:space="preserve">  </w:t>
            </w:r>
            <w:r>
              <w:rPr>
                <w:spacing w:val="7"/>
              </w:rPr>
              <w:t>披露提示性公告， 亦未在触发转股价格修正条</w:t>
            </w:r>
            <w:r>
              <w:rPr>
                <w:spacing w:val="6"/>
              </w:rPr>
              <w:t>件当日</w:t>
            </w:r>
            <w:r>
              <w:rPr/>
              <w:t xml:space="preserve"> </w:t>
            </w:r>
            <w:r>
              <w:rPr>
                <w:spacing w:val="9"/>
              </w:rPr>
              <w:t>召开董事会审议决定是否修正转股价格。</w:t>
            </w:r>
          </w:p>
        </w:tc>
      </w:tr>
      <w:tr>
        <w:trPr>
          <w:trHeight w:val="747" w:hRule="atLeast"/>
        </w:trPr>
        <w:tc>
          <w:tcPr>
            <w:tcW w:w="1337" w:type="dxa"/>
            <w:vAlign w:val="top"/>
          </w:tcPr>
          <w:p>
            <w:pPr>
              <w:pStyle w:val="TableText"/>
              <w:ind w:left="311"/>
              <w:spacing w:before="292" w:line="178" w:lineRule="auto"/>
              <w:rPr/>
            </w:pPr>
            <w:r>
              <w:rPr>
                <w:spacing w:val="3"/>
              </w:rPr>
              <w:t>300222</w:t>
            </w:r>
          </w:p>
        </w:tc>
        <w:tc>
          <w:tcPr>
            <w:tcW w:w="1144" w:type="dxa"/>
            <w:vAlign w:val="top"/>
          </w:tcPr>
          <w:p>
            <w:pPr>
              <w:pStyle w:val="TableText"/>
              <w:ind w:left="150"/>
              <w:spacing w:before="276" w:line="190" w:lineRule="auto"/>
              <w:rPr/>
            </w:pPr>
            <w:r>
              <w:rPr>
                <w:spacing w:val="8"/>
              </w:rPr>
              <w:t>科大智能</w:t>
            </w:r>
          </w:p>
        </w:tc>
        <w:tc>
          <w:tcPr>
            <w:tcW w:w="1432" w:type="dxa"/>
            <w:vAlign w:val="top"/>
          </w:tcPr>
          <w:p>
            <w:pPr>
              <w:pStyle w:val="TableText"/>
              <w:ind w:left="402"/>
              <w:spacing w:before="277" w:line="189" w:lineRule="auto"/>
              <w:rPr/>
            </w:pPr>
            <w:r>
              <w:rPr>
                <w:spacing w:val="8"/>
              </w:rPr>
              <w:t>监管函</w:t>
            </w:r>
          </w:p>
        </w:tc>
        <w:tc>
          <w:tcPr>
            <w:tcW w:w="5093" w:type="dxa"/>
            <w:vAlign w:val="top"/>
          </w:tcPr>
          <w:p>
            <w:pPr>
              <w:pStyle w:val="TableText"/>
              <w:ind w:left="116" w:right="155" w:hanging="7"/>
              <w:spacing w:before="96" w:line="224" w:lineRule="auto"/>
              <w:rPr/>
            </w:pPr>
            <w:r>
              <w:rPr>
                <w:spacing w:val="6"/>
              </w:rPr>
              <w:t>业绩预告披露数据与年度报告数据</w:t>
            </w:r>
            <w:r>
              <w:rPr>
                <w:b/>
                <w:bCs/>
                <w:spacing w:val="6"/>
              </w:rPr>
              <w:t>差异较大</w:t>
            </w:r>
            <w:r>
              <w:rPr>
                <w:spacing w:val="6"/>
              </w:rPr>
              <w:t>， 且未及</w:t>
            </w:r>
            <w:r>
              <w:rPr>
                <w:spacing w:val="18"/>
              </w:rPr>
              <w:t xml:space="preserve"> </w:t>
            </w:r>
            <w:r>
              <w:rPr>
                <w:spacing w:val="7"/>
              </w:rPr>
              <w:t>时披露修正公告。</w:t>
            </w:r>
          </w:p>
        </w:tc>
      </w:tr>
      <w:tr>
        <w:trPr>
          <w:trHeight w:val="1479" w:hRule="atLeast"/>
        </w:trPr>
        <w:tc>
          <w:tcPr>
            <w:shd w:val="clear" w:fill="B8CCE4"/>
            <w:tcW w:w="1337" w:type="dxa"/>
            <w:vAlign w:val="top"/>
          </w:tcPr>
          <w:p>
            <w:pPr>
              <w:spacing w:line="285" w:lineRule="auto"/>
              <w:rPr>
                <w:rFonts w:ascii="Arial"/>
                <w:sz w:val="21"/>
              </w:rPr>
            </w:pPr>
            <w:r/>
          </w:p>
          <w:p>
            <w:pPr>
              <w:spacing w:line="285" w:lineRule="auto"/>
              <w:rPr>
                <w:rFonts w:ascii="Arial"/>
                <w:sz w:val="21"/>
              </w:rPr>
            </w:pPr>
            <w:r/>
          </w:p>
          <w:p>
            <w:pPr>
              <w:pStyle w:val="TableText"/>
              <w:ind w:left="311"/>
              <w:spacing w:before="86" w:line="178" w:lineRule="auto"/>
              <w:rPr/>
            </w:pPr>
            <w:r>
              <w:rPr>
                <w:spacing w:val="3"/>
              </w:rPr>
              <w:t>300560</w:t>
            </w:r>
          </w:p>
        </w:tc>
        <w:tc>
          <w:tcPr>
            <w:shd w:val="clear" w:fill="B8CCE4"/>
            <w:tcW w:w="1144" w:type="dxa"/>
            <w:vAlign w:val="top"/>
          </w:tcPr>
          <w:p>
            <w:pPr>
              <w:spacing w:line="277" w:lineRule="auto"/>
              <w:rPr>
                <w:rFonts w:ascii="Arial"/>
                <w:sz w:val="21"/>
              </w:rPr>
            </w:pPr>
            <w:r/>
          </w:p>
          <w:p>
            <w:pPr>
              <w:spacing w:line="278" w:lineRule="auto"/>
              <w:rPr>
                <w:rFonts w:ascii="Arial"/>
                <w:sz w:val="21"/>
              </w:rPr>
            </w:pPr>
            <w:r/>
          </w:p>
          <w:p>
            <w:pPr>
              <w:pStyle w:val="TableText"/>
              <w:ind w:left="270"/>
              <w:spacing w:before="86" w:line="189" w:lineRule="auto"/>
              <w:rPr/>
            </w:pPr>
            <w:r>
              <w:rPr>
                <w:spacing w:val="3"/>
              </w:rPr>
              <w:t>中富通</w:t>
            </w:r>
          </w:p>
        </w:tc>
        <w:tc>
          <w:tcPr>
            <w:shd w:val="clear" w:fill="B8CCE4"/>
            <w:tcW w:w="1432" w:type="dxa"/>
            <w:vAlign w:val="top"/>
          </w:tcPr>
          <w:p>
            <w:pPr>
              <w:spacing w:line="277" w:lineRule="auto"/>
              <w:rPr>
                <w:rFonts w:ascii="Arial"/>
                <w:sz w:val="21"/>
              </w:rPr>
            </w:pPr>
            <w:r/>
          </w:p>
          <w:p>
            <w:pPr>
              <w:spacing w:line="278" w:lineRule="auto"/>
              <w:rPr>
                <w:rFonts w:ascii="Arial"/>
                <w:sz w:val="21"/>
              </w:rPr>
            </w:pPr>
            <w:r/>
          </w:p>
          <w:p>
            <w:pPr>
              <w:pStyle w:val="TableText"/>
              <w:ind w:left="402"/>
              <w:spacing w:before="86" w:line="189" w:lineRule="auto"/>
              <w:rPr/>
            </w:pPr>
            <w:r>
              <w:rPr>
                <w:spacing w:val="8"/>
              </w:rPr>
              <w:t>监管函</w:t>
            </w:r>
          </w:p>
        </w:tc>
        <w:tc>
          <w:tcPr>
            <w:shd w:val="clear" w:fill="B8CCE4"/>
            <w:tcW w:w="5093" w:type="dxa"/>
            <w:vAlign w:val="top"/>
          </w:tcPr>
          <w:p>
            <w:pPr>
              <w:pStyle w:val="TableText"/>
              <w:ind w:left="112" w:right="196" w:hanging="4"/>
              <w:spacing w:before="246" w:line="254" w:lineRule="auto"/>
              <w:rPr/>
            </w:pPr>
            <w:r>
              <w:rPr>
                <w:spacing w:val="8"/>
              </w:rPr>
              <w:t>公司《</w:t>
            </w:r>
            <w:r>
              <w:rPr>
                <w:spacing w:val="-31"/>
              </w:rPr>
              <w:t xml:space="preserve"> </w:t>
            </w:r>
            <w:r>
              <w:rPr>
                <w:spacing w:val="8"/>
              </w:rPr>
              <w:t>2023年度业绩预告》披露的预计营业收入、</w:t>
            </w:r>
            <w:r>
              <w:rPr/>
              <w:t xml:space="preserve">  </w:t>
            </w:r>
            <w:r>
              <w:rPr>
                <w:spacing w:val="8"/>
              </w:rPr>
              <w:t>净利润、扣非净利润与2023年经审计的营业收入、</w:t>
            </w:r>
            <w:r>
              <w:rPr>
                <w:spacing w:val="4"/>
              </w:rPr>
              <w:t xml:space="preserve">   </w:t>
            </w:r>
            <w:r>
              <w:rPr>
                <w:spacing w:val="7"/>
              </w:rPr>
              <w:t>净利润、扣非净利润</w:t>
            </w:r>
            <w:r>
              <w:rPr>
                <w:b/>
                <w:bCs/>
                <w:spacing w:val="7"/>
              </w:rPr>
              <w:t>差异较大且盈亏性质发生变化。</w:t>
            </w:r>
          </w:p>
        </w:tc>
      </w:tr>
      <w:tr>
        <w:trPr>
          <w:trHeight w:val="1849" w:hRule="atLeast"/>
        </w:trPr>
        <w:tc>
          <w:tcPr>
            <w:tcW w:w="1337" w:type="dxa"/>
            <w:vAlign w:val="top"/>
          </w:tcPr>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305"/>
              <w:spacing w:before="85" w:line="178" w:lineRule="auto"/>
              <w:rPr/>
            </w:pPr>
            <w:r>
              <w:rPr>
                <w:spacing w:val="3"/>
              </w:rPr>
              <w:t>000468</w:t>
            </w:r>
          </w:p>
        </w:tc>
        <w:tc>
          <w:tcPr>
            <w:tcW w:w="1144" w:type="dxa"/>
            <w:vAlign w:val="top"/>
          </w:tcPr>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pStyle w:val="TableText"/>
              <w:ind w:left="191"/>
              <w:spacing w:before="85" w:line="190" w:lineRule="auto"/>
              <w:rPr/>
            </w:pPr>
            <w:r>
              <w:rPr>
                <w:spacing w:val="7"/>
              </w:rPr>
              <w:t>宁通信B</w:t>
            </w:r>
          </w:p>
        </w:tc>
        <w:tc>
          <w:tcPr>
            <w:tcW w:w="1432" w:type="dxa"/>
            <w:vAlign w:val="top"/>
          </w:tcPr>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402"/>
              <w:spacing w:before="86" w:line="189" w:lineRule="auto"/>
              <w:rPr/>
            </w:pPr>
            <w:r>
              <w:rPr>
                <w:spacing w:val="8"/>
              </w:rPr>
              <w:t>监管函</w:t>
            </w:r>
          </w:p>
        </w:tc>
        <w:tc>
          <w:tcPr>
            <w:tcW w:w="5093" w:type="dxa"/>
            <w:vAlign w:val="top"/>
          </w:tcPr>
          <w:p>
            <w:pPr>
              <w:pStyle w:val="TableText"/>
              <w:ind w:left="108" w:right="119" w:firstLine="2"/>
              <w:spacing w:before="250" w:line="250" w:lineRule="auto"/>
              <w:rPr/>
            </w:pPr>
            <w:r>
              <w:rPr>
                <w:spacing w:val="8"/>
              </w:rPr>
              <w:t>南京普天通信股份有限公司披露《</w:t>
            </w:r>
            <w:r>
              <w:rPr>
                <w:spacing w:val="-32"/>
              </w:rPr>
              <w:t xml:space="preserve"> </w:t>
            </w:r>
            <w:r>
              <w:rPr>
                <w:spacing w:val="8"/>
              </w:rPr>
              <w:t>2023</w:t>
            </w:r>
            <w:r>
              <w:rPr>
                <w:spacing w:val="7"/>
              </w:rPr>
              <w:t>年年度报告</w:t>
            </w:r>
            <w:r>
              <w:rPr/>
              <w:t xml:space="preserve">    </w:t>
            </w:r>
            <w:r>
              <w:rPr>
                <w:spacing w:val="6"/>
              </w:rPr>
              <w:t>摘要》， 其中“普通股股东和表决</w:t>
            </w:r>
            <w:r>
              <w:rPr>
                <w:spacing w:val="63"/>
                <w:w w:val="101"/>
              </w:rPr>
              <w:t xml:space="preserve"> </w:t>
            </w:r>
            <w:r>
              <w:rPr>
                <w:spacing w:val="6"/>
              </w:rPr>
              <w:t>权恢复的优先股</w:t>
            </w:r>
            <w:r>
              <w:rPr/>
              <w:t xml:space="preserve">   </w:t>
            </w:r>
            <w:r>
              <w:rPr>
                <w:spacing w:val="9"/>
              </w:rPr>
              <w:t>股东数量及前10名股东持股情况表”的</w:t>
            </w:r>
            <w:r>
              <w:rPr>
                <w:b/>
                <w:bCs/>
                <w:spacing w:val="9"/>
              </w:rPr>
              <w:t>部分内容与实</w:t>
            </w:r>
            <w:r>
              <w:rPr>
                <w:b/>
                <w:bCs/>
                <w:spacing w:val="8"/>
              </w:rPr>
              <w:t xml:space="preserve"> </w:t>
            </w:r>
            <w:r>
              <w:rPr>
                <w:b/>
                <w:bCs/>
                <w:spacing w:val="4"/>
              </w:rPr>
              <w:t>际情况不符</w:t>
            </w:r>
            <w:r>
              <w:rPr>
                <w:spacing w:val="4"/>
              </w:rPr>
              <w:t>， 信息披露不准确。</w:t>
            </w:r>
          </w:p>
        </w:tc>
      </w:tr>
    </w:tbl>
    <w:p>
      <w:pPr>
        <w:pStyle w:val="BodyText"/>
        <w:spacing w:line="14" w:lineRule="auto"/>
        <w:rPr>
          <w:sz w:val="2"/>
        </w:rPr>
      </w:pPr>
      <w:r/>
    </w:p>
    <w:p>
      <w:pPr>
        <w:spacing w:line="14" w:lineRule="auto"/>
        <w:sectPr>
          <w:pgSz w:w="11910" w:h="16840"/>
          <w:pgMar w:top="374" w:right="514" w:bottom="324" w:left="460" w:header="0" w:footer="0" w:gutter="0"/>
        </w:sectPr>
        <w:rPr>
          <w:sz w:val="2"/>
          <w:szCs w:val="2"/>
        </w:rPr>
      </w:pPr>
    </w:p>
    <w:tbl>
      <w:tblPr>
        <w:tblStyle w:val="TableNormal"/>
        <w:tblW w:w="9006" w:type="dxa"/>
        <w:tblInd w:w="2"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337"/>
        <w:gridCol w:w="1144"/>
        <w:gridCol w:w="1432"/>
        <w:gridCol w:w="5093"/>
      </w:tblGrid>
      <w:tr>
        <w:trPr>
          <w:trHeight w:val="1809" w:hRule="atLeast"/>
        </w:trPr>
        <w:tc>
          <w:tcPr>
            <w:shd w:val="clear" w:fill="B8CCE4"/>
            <w:tcW w:w="1337" w:type="dxa"/>
            <w:vAlign w:val="top"/>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311"/>
              <w:spacing w:before="86" w:line="179" w:lineRule="auto"/>
              <w:rPr/>
            </w:pPr>
            <w:r>
              <w:rPr>
                <w:spacing w:val="3"/>
              </w:rPr>
              <w:t>300412</w:t>
            </w:r>
          </w:p>
        </w:tc>
        <w:tc>
          <w:tcPr>
            <w:shd w:val="clear" w:fill="B8CCE4"/>
            <w:tcW w:w="1144" w:type="dxa"/>
            <w:vAlign w:val="top"/>
          </w:tcPr>
          <w:p>
            <w:pPr>
              <w:rPr>
                <w:rFonts w:ascii="Arial"/>
                <w:sz w:val="21"/>
              </w:rPr>
            </w:pPr>
            <w:r/>
          </w:p>
          <w:p>
            <w:pPr>
              <w:rPr>
                <w:rFonts w:ascii="Arial"/>
                <w:sz w:val="21"/>
              </w:rPr>
            </w:pPr>
            <w:r/>
          </w:p>
          <w:p>
            <w:pPr>
              <w:spacing w:line="241" w:lineRule="auto"/>
              <w:rPr>
                <w:rFonts w:ascii="Arial"/>
                <w:sz w:val="21"/>
              </w:rPr>
            </w:pPr>
            <w:r/>
          </w:p>
          <w:p>
            <w:pPr>
              <w:pStyle w:val="TableText"/>
              <w:ind w:left="150"/>
              <w:spacing w:before="85" w:line="188" w:lineRule="auto"/>
              <w:rPr/>
            </w:pPr>
            <w:r>
              <w:rPr>
                <w:spacing w:val="8"/>
              </w:rPr>
              <w:t>迦南科技</w:t>
            </w:r>
          </w:p>
        </w:tc>
        <w:tc>
          <w:tcPr>
            <w:shd w:val="clear" w:fill="B8CCE4"/>
            <w:tcW w:w="1432" w:type="dxa"/>
            <w:vAlign w:val="top"/>
          </w:tcPr>
          <w:p>
            <w:pPr>
              <w:spacing w:line="359" w:lineRule="auto"/>
              <w:rPr>
                <w:rFonts w:ascii="Arial"/>
                <w:sz w:val="21"/>
              </w:rPr>
            </w:pPr>
            <w:r/>
          </w:p>
          <w:p>
            <w:pPr>
              <w:spacing w:line="360" w:lineRule="auto"/>
              <w:rPr>
                <w:rFonts w:ascii="Arial"/>
                <w:sz w:val="21"/>
              </w:rPr>
            </w:pPr>
            <w:r/>
          </w:p>
          <w:p>
            <w:pPr>
              <w:pStyle w:val="TableText"/>
              <w:ind w:left="402"/>
              <w:spacing w:before="86" w:line="189" w:lineRule="auto"/>
              <w:rPr/>
            </w:pPr>
            <w:r>
              <w:rPr>
                <w:spacing w:val="8"/>
              </w:rPr>
              <w:t>监管函</w:t>
            </w:r>
          </w:p>
        </w:tc>
        <w:tc>
          <w:tcPr>
            <w:shd w:val="clear" w:fill="B8CCE4"/>
            <w:tcW w:w="5093" w:type="dxa"/>
            <w:vAlign w:val="top"/>
          </w:tcPr>
          <w:p>
            <w:pPr>
              <w:pStyle w:val="TableText"/>
              <w:ind w:left="108" w:right="117"/>
              <w:spacing w:before="90" w:line="239" w:lineRule="auto"/>
              <w:rPr/>
            </w:pPr>
            <w:r>
              <w:rPr>
                <w:spacing w:val="9"/>
              </w:rPr>
              <w:t>公司控股子公司南京比逊医药科技有限公司在2023</w:t>
            </w:r>
            <w:r>
              <w:rPr/>
              <w:t xml:space="preserve">    </w:t>
            </w:r>
            <w:r>
              <w:rPr>
                <w:spacing w:val="6"/>
              </w:rPr>
              <w:t>年度募集资金使用过程中， 将554.26万元募集资金用 </w:t>
            </w:r>
            <w:r>
              <w:rPr>
                <w:spacing w:val="7"/>
              </w:rPr>
              <w:t>于支付南京比逊员工工资薪酬、厂房租赁费， 存</w:t>
            </w:r>
            <w:r>
              <w:rPr>
                <w:spacing w:val="6"/>
              </w:rPr>
              <w:t>在</w:t>
            </w:r>
            <w:r>
              <w:rPr>
                <w:b/>
                <w:bCs/>
                <w:spacing w:val="6"/>
              </w:rPr>
              <w:t>将</w:t>
            </w:r>
            <w:r>
              <w:rPr>
                <w:b/>
                <w:bCs/>
              </w:rPr>
              <w:t xml:space="preserve"> </w:t>
            </w:r>
            <w:r>
              <w:rPr>
                <w:b/>
                <w:bCs/>
                <w:spacing w:val="9"/>
              </w:rPr>
              <w:t>募集资金用于非募投项目</w:t>
            </w:r>
            <w:r>
              <w:rPr>
                <w:spacing w:val="9"/>
              </w:rPr>
              <w:t>的情形。截至年报披露日</w:t>
            </w:r>
            <w:r>
              <w:rPr>
                <w:spacing w:val="-21"/>
              </w:rPr>
              <w:t xml:space="preserve"> </w:t>
            </w:r>
            <w:r>
              <w:rPr>
                <w:spacing w:val="9"/>
              </w:rPr>
              <w:t>，</w:t>
            </w:r>
            <w:r>
              <w:rPr/>
              <w:t xml:space="preserve"> </w:t>
            </w:r>
            <w:r>
              <w:rPr>
                <w:spacing w:val="9"/>
              </w:rPr>
              <w:t>前述款项已全部归还至募集资金账户。</w:t>
            </w:r>
          </w:p>
        </w:tc>
      </w:tr>
      <w:tr>
        <w:trPr>
          <w:trHeight w:val="631" w:hRule="atLeast"/>
        </w:trPr>
        <w:tc>
          <w:tcPr>
            <w:tcW w:w="1337" w:type="dxa"/>
            <w:vAlign w:val="top"/>
          </w:tcPr>
          <w:p>
            <w:pPr>
              <w:pStyle w:val="TableText"/>
              <w:ind w:left="311"/>
              <w:spacing w:before="232" w:line="179" w:lineRule="auto"/>
              <w:rPr/>
            </w:pPr>
            <w:r>
              <w:rPr>
                <w:spacing w:val="3"/>
              </w:rPr>
              <w:t>300133</w:t>
            </w:r>
          </w:p>
        </w:tc>
        <w:tc>
          <w:tcPr>
            <w:tcW w:w="1144" w:type="dxa"/>
            <w:vAlign w:val="top"/>
          </w:tcPr>
          <w:p>
            <w:pPr>
              <w:pStyle w:val="TableText"/>
              <w:ind w:left="151"/>
              <w:spacing w:before="219" w:line="189" w:lineRule="auto"/>
              <w:rPr/>
            </w:pPr>
            <w:r>
              <w:rPr>
                <w:spacing w:val="8"/>
              </w:rPr>
              <w:t>华策影视</w:t>
            </w:r>
          </w:p>
        </w:tc>
        <w:tc>
          <w:tcPr>
            <w:tcW w:w="1432" w:type="dxa"/>
            <w:vAlign w:val="top"/>
          </w:tcPr>
          <w:p>
            <w:pPr>
              <w:pStyle w:val="TableText"/>
              <w:ind w:left="402"/>
              <w:spacing w:before="218" w:line="189" w:lineRule="auto"/>
              <w:rPr/>
            </w:pPr>
            <w:r>
              <w:rPr>
                <w:spacing w:val="8"/>
              </w:rPr>
              <w:t>监管函</w:t>
            </w:r>
          </w:p>
        </w:tc>
        <w:tc>
          <w:tcPr>
            <w:tcW w:w="5093" w:type="dxa"/>
            <w:vAlign w:val="top"/>
          </w:tcPr>
          <w:p>
            <w:pPr>
              <w:pStyle w:val="TableText"/>
              <w:ind w:left="110"/>
              <w:spacing w:before="219" w:line="189" w:lineRule="auto"/>
              <w:rPr/>
            </w:pPr>
            <w:r>
              <w:rPr>
                <w:spacing w:val="8"/>
              </w:rPr>
              <w:t>董事配偶</w:t>
            </w:r>
            <w:r>
              <w:rPr>
                <w:b/>
                <w:bCs/>
                <w:spacing w:val="8"/>
              </w:rPr>
              <w:t>短线交易。</w:t>
            </w:r>
          </w:p>
        </w:tc>
      </w:tr>
      <w:tr>
        <w:trPr>
          <w:trHeight w:val="1849" w:hRule="atLeast"/>
        </w:trPr>
        <w:tc>
          <w:tcPr>
            <w:shd w:val="clear" w:fill="B8CCE4"/>
            <w:tcW w:w="1337" w:type="dxa"/>
            <w:vAlign w:val="top"/>
          </w:tcPr>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pStyle w:val="TableText"/>
              <w:ind w:left="305"/>
              <w:spacing w:before="86" w:line="178" w:lineRule="auto"/>
              <w:rPr/>
            </w:pPr>
            <w:r>
              <w:rPr>
                <w:spacing w:val="3"/>
              </w:rPr>
              <w:t>002273</w:t>
            </w:r>
          </w:p>
        </w:tc>
        <w:tc>
          <w:tcPr>
            <w:shd w:val="clear" w:fill="B8CCE4"/>
            <w:tcW w:w="1144" w:type="dxa"/>
            <w:vAlign w:val="top"/>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150"/>
              <w:spacing w:before="85" w:line="188" w:lineRule="auto"/>
              <w:rPr/>
            </w:pPr>
            <w:r>
              <w:rPr>
                <w:spacing w:val="8"/>
              </w:rPr>
              <w:t>水晶光电</w:t>
            </w:r>
          </w:p>
        </w:tc>
        <w:tc>
          <w:tcPr>
            <w:shd w:val="clear" w:fill="B8CCE4"/>
            <w:tcW w:w="1432" w:type="dxa"/>
            <w:vAlign w:val="top"/>
          </w:tcPr>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pStyle w:val="TableText"/>
              <w:ind w:left="402"/>
              <w:spacing w:before="86" w:line="189" w:lineRule="auto"/>
              <w:rPr/>
            </w:pPr>
            <w:r>
              <w:rPr>
                <w:spacing w:val="8"/>
              </w:rPr>
              <w:t>监管函</w:t>
            </w:r>
          </w:p>
        </w:tc>
        <w:tc>
          <w:tcPr>
            <w:shd w:val="clear" w:fill="B8CCE4"/>
            <w:tcW w:w="5093" w:type="dxa"/>
            <w:vAlign w:val="top"/>
          </w:tcPr>
          <w:p>
            <w:pPr>
              <w:pStyle w:val="TableText"/>
              <w:ind w:left="108" w:right="153"/>
              <w:spacing w:before="73" w:line="247" w:lineRule="auto"/>
              <w:rPr/>
            </w:pPr>
            <w:r>
              <w:rPr>
                <w:spacing w:val="9"/>
              </w:rPr>
              <w:t>公司披露《关于2024年第一季度报告的更正公告》</w:t>
            </w:r>
            <w:r>
              <w:rPr/>
              <w:t xml:space="preserve">   </w:t>
            </w:r>
            <w:r>
              <w:rPr>
                <w:spacing w:val="3"/>
              </w:rPr>
              <w:t>称，</w:t>
            </w:r>
            <w:r>
              <w:rPr>
                <w:spacing w:val="18"/>
                <w:w w:val="101"/>
              </w:rPr>
              <w:t xml:space="preserve"> </w:t>
            </w:r>
            <w:r>
              <w:rPr>
                <w:spacing w:val="3"/>
              </w:rPr>
              <w:t>因工作人员失误， 将公司2024年第一季度</w:t>
            </w:r>
            <w:r>
              <w:rPr>
                <w:spacing w:val="52"/>
              </w:rPr>
              <w:t xml:space="preserve"> </w:t>
            </w:r>
            <w:r>
              <w:rPr>
                <w:spacing w:val="3"/>
              </w:rPr>
              <w:t>报告</w:t>
            </w:r>
            <w:r>
              <w:rPr/>
              <w:t xml:space="preserve"> </w:t>
            </w:r>
            <w:r>
              <w:rPr>
                <w:spacing w:val="8"/>
              </w:rPr>
              <w:t>中的</w:t>
            </w:r>
            <w:r>
              <w:rPr>
                <w:b/>
                <w:bCs/>
                <w:spacing w:val="8"/>
              </w:rPr>
              <w:t>上年度末</w:t>
            </w:r>
            <w:r>
              <w:rPr>
                <w:spacing w:val="8"/>
              </w:rPr>
              <w:t>总资产、</w:t>
            </w:r>
            <w:r>
              <w:rPr>
                <w:spacing w:val="-18"/>
              </w:rPr>
              <w:t xml:space="preserve"> </w:t>
            </w:r>
            <w:r>
              <w:rPr>
                <w:spacing w:val="8"/>
              </w:rPr>
              <w:t>归属于上市公司股东的所有者</w:t>
            </w:r>
            <w:r>
              <w:rPr/>
              <w:t xml:space="preserve"> </w:t>
            </w:r>
            <w:r>
              <w:rPr>
                <w:spacing w:val="7"/>
              </w:rPr>
              <w:t>权益金额误填为</w:t>
            </w:r>
            <w:r>
              <w:rPr>
                <w:b/>
                <w:bCs/>
                <w:spacing w:val="7"/>
              </w:rPr>
              <w:t>上年同期末</w:t>
            </w:r>
            <w:r>
              <w:rPr>
                <w:spacing w:val="7"/>
              </w:rPr>
              <w:t>的数值， 公司对相关</w:t>
            </w:r>
            <w:r>
              <w:rPr>
                <w:spacing w:val="6"/>
              </w:rPr>
              <w:t>内容</w:t>
            </w:r>
            <w:r>
              <w:rPr/>
              <w:t xml:space="preserve"> </w:t>
            </w:r>
            <w:r>
              <w:rPr>
                <w:spacing w:val="7"/>
              </w:rPr>
              <w:t>予以更正。</w:t>
            </w:r>
          </w:p>
        </w:tc>
      </w:tr>
      <w:tr>
        <w:trPr>
          <w:trHeight w:val="1115" w:hRule="atLeast"/>
        </w:trPr>
        <w:tc>
          <w:tcPr>
            <w:tcW w:w="1337" w:type="dxa"/>
            <w:vAlign w:val="top"/>
          </w:tcPr>
          <w:p>
            <w:pPr>
              <w:spacing w:line="389" w:lineRule="auto"/>
              <w:rPr>
                <w:rFonts w:ascii="Arial"/>
                <w:sz w:val="21"/>
              </w:rPr>
            </w:pPr>
            <w:r/>
          </w:p>
          <w:p>
            <w:pPr>
              <w:pStyle w:val="TableText"/>
              <w:ind w:left="305"/>
              <w:spacing w:before="86" w:line="178" w:lineRule="auto"/>
              <w:rPr/>
            </w:pPr>
            <w:r>
              <w:rPr>
                <w:spacing w:val="3"/>
              </w:rPr>
              <w:t>002496</w:t>
            </w:r>
          </w:p>
        </w:tc>
        <w:tc>
          <w:tcPr>
            <w:tcW w:w="1144" w:type="dxa"/>
            <w:vAlign w:val="top"/>
          </w:tcPr>
          <w:p>
            <w:pPr>
              <w:spacing w:line="376" w:lineRule="auto"/>
              <w:rPr>
                <w:rFonts w:ascii="Arial"/>
                <w:sz w:val="21"/>
              </w:rPr>
            </w:pPr>
            <w:r/>
          </w:p>
          <w:p>
            <w:pPr>
              <w:pStyle w:val="TableText"/>
              <w:ind w:left="150"/>
              <w:spacing w:before="86" w:line="188" w:lineRule="auto"/>
              <w:rPr/>
            </w:pPr>
            <w:r>
              <w:rPr>
                <w:spacing w:val="8"/>
              </w:rPr>
              <w:t>辉丰股份</w:t>
            </w:r>
          </w:p>
        </w:tc>
        <w:tc>
          <w:tcPr>
            <w:tcW w:w="1432" w:type="dxa"/>
            <w:vAlign w:val="top"/>
          </w:tcPr>
          <w:p>
            <w:pPr>
              <w:spacing w:line="374" w:lineRule="auto"/>
              <w:rPr>
                <w:rFonts w:ascii="Arial"/>
                <w:sz w:val="21"/>
              </w:rPr>
            </w:pPr>
            <w:r/>
          </w:p>
          <w:p>
            <w:pPr>
              <w:pStyle w:val="TableText"/>
              <w:ind w:left="402"/>
              <w:spacing w:before="86" w:line="189" w:lineRule="auto"/>
              <w:rPr/>
            </w:pPr>
            <w:r>
              <w:rPr>
                <w:spacing w:val="8"/>
              </w:rPr>
              <w:t>监管函</w:t>
            </w:r>
          </w:p>
        </w:tc>
        <w:tc>
          <w:tcPr>
            <w:tcW w:w="5093" w:type="dxa"/>
            <w:vAlign w:val="top"/>
          </w:tcPr>
          <w:p>
            <w:pPr>
              <w:pStyle w:val="TableText"/>
              <w:ind w:left="107" w:right="153" w:firstLine="1"/>
              <w:spacing w:before="101" w:line="234" w:lineRule="auto"/>
              <w:jc w:val="both"/>
              <w:rPr/>
            </w:pPr>
            <w:r>
              <w:rPr>
                <w:spacing w:val="6"/>
              </w:rPr>
              <w:t>公司存在</w:t>
            </w:r>
            <w:r>
              <w:rPr>
                <w:b/>
                <w:bCs/>
                <w:spacing w:val="6"/>
              </w:rPr>
              <w:t>前期会计差错</w:t>
            </w:r>
            <w:r>
              <w:rPr>
                <w:spacing w:val="6"/>
              </w:rPr>
              <w:t>， 对2023年半年报、2023年</w:t>
            </w:r>
            <w:r>
              <w:rPr/>
              <w:t xml:space="preserve">  </w:t>
            </w:r>
            <w:r>
              <w:rPr>
                <w:spacing w:val="10"/>
              </w:rPr>
              <w:t>第三季度报告的营业收入、营业成本按照追</w:t>
            </w:r>
            <w:r>
              <w:rPr>
                <w:spacing w:val="9"/>
              </w:rPr>
              <w:t>溯重述法</w:t>
            </w:r>
            <w:r>
              <w:rPr/>
              <w:t xml:space="preserve"> </w:t>
            </w:r>
            <w:r>
              <w:rPr>
                <w:spacing w:val="7"/>
              </w:rPr>
              <w:t>进行调整。</w:t>
            </w:r>
          </w:p>
        </w:tc>
      </w:tr>
      <w:tr>
        <w:trPr>
          <w:trHeight w:val="2949" w:hRule="atLeast"/>
        </w:trPr>
        <w:tc>
          <w:tcPr>
            <w:shd w:val="clear" w:fill="B8CCE4"/>
            <w:tcW w:w="1337" w:type="dxa"/>
            <w:vAlign w:val="top"/>
          </w:tcPr>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spacing w:line="261" w:lineRule="auto"/>
              <w:rPr>
                <w:rFonts w:ascii="Arial"/>
                <w:sz w:val="21"/>
              </w:rPr>
            </w:pPr>
            <w:r/>
          </w:p>
          <w:p>
            <w:pPr>
              <w:pStyle w:val="TableText"/>
              <w:ind w:left="311"/>
              <w:spacing w:before="86" w:line="178" w:lineRule="auto"/>
              <w:rPr/>
            </w:pPr>
            <w:r>
              <w:rPr>
                <w:spacing w:val="3"/>
              </w:rPr>
              <w:t>300262</w:t>
            </w:r>
          </w:p>
        </w:tc>
        <w:tc>
          <w:tcPr>
            <w:shd w:val="clear" w:fill="B8CCE4"/>
            <w:tcW w:w="1144" w:type="dxa"/>
            <w:vAlign w:val="top"/>
          </w:tcPr>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8" w:lineRule="auto"/>
              <w:rPr>
                <w:rFonts w:ascii="Arial"/>
                <w:sz w:val="21"/>
              </w:rPr>
            </w:pPr>
            <w:r/>
          </w:p>
          <w:p>
            <w:pPr>
              <w:pStyle w:val="TableText"/>
              <w:ind w:left="169"/>
              <w:spacing w:before="86" w:line="190" w:lineRule="auto"/>
              <w:rPr/>
            </w:pPr>
            <w:r>
              <w:rPr>
                <w:spacing w:val="3"/>
              </w:rPr>
              <w:t>巴安水务</w:t>
            </w:r>
          </w:p>
        </w:tc>
        <w:tc>
          <w:tcPr>
            <w:shd w:val="clear" w:fill="B8CCE4"/>
            <w:tcW w:w="1432" w:type="dxa"/>
            <w:vAlign w:val="top"/>
          </w:tcPr>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pStyle w:val="TableText"/>
              <w:ind w:left="402"/>
              <w:spacing w:before="86" w:line="189" w:lineRule="auto"/>
              <w:rPr/>
            </w:pPr>
            <w:r>
              <w:rPr>
                <w:spacing w:val="8"/>
              </w:rPr>
              <w:t>监管函</w:t>
            </w:r>
          </w:p>
        </w:tc>
        <w:tc>
          <w:tcPr>
            <w:shd w:val="clear" w:fill="B8CCE4"/>
            <w:tcW w:w="5093" w:type="dxa"/>
            <w:vAlign w:val="top"/>
          </w:tcPr>
          <w:p>
            <w:pPr>
              <w:pStyle w:val="TableText"/>
              <w:ind w:left="113" w:right="256" w:hanging="6"/>
              <w:spacing w:before="299" w:line="238" w:lineRule="auto"/>
              <w:rPr/>
            </w:pPr>
            <w:r>
              <w:rPr>
                <w:spacing w:val="6"/>
              </w:rPr>
              <w:t>第一大股东因执行人民法院生效裁判， 于2023年11</w:t>
            </w:r>
            <w:r>
              <w:rPr>
                <w:spacing w:val="4"/>
              </w:rPr>
              <w:t xml:space="preserve"> </w:t>
            </w:r>
            <w:r>
              <w:rPr>
                <w:spacing w:val="9"/>
              </w:rPr>
              <w:t>月23至28日通过集中竞价方式减持巴安</w:t>
            </w:r>
            <w:r>
              <w:rPr>
                <w:spacing w:val="8"/>
              </w:rPr>
              <w:t>水务股份</w:t>
            </w:r>
          </w:p>
          <w:p>
            <w:pPr>
              <w:pStyle w:val="TableText"/>
              <w:ind w:left="108" w:right="141" w:firstLine="19"/>
              <w:spacing w:before="5" w:line="248" w:lineRule="auto"/>
              <w:rPr/>
            </w:pPr>
            <w:r>
              <w:rPr>
                <w:spacing w:val="4"/>
              </w:rPr>
              <w:t>104.57万股， 减持比例为0.16%。</w:t>
            </w:r>
            <w:r>
              <w:rPr>
                <w:spacing w:val="-29"/>
              </w:rPr>
              <w:t xml:space="preserve"> </w:t>
            </w:r>
            <w:r>
              <w:rPr>
                <w:spacing w:val="4"/>
              </w:rPr>
              <w:t>由于巴安水务存在</w:t>
            </w:r>
            <w:r>
              <w:rPr/>
              <w:t xml:space="preserve"> </w:t>
            </w:r>
            <w:r>
              <w:rPr>
                <w:b/>
                <w:bCs/>
                <w:spacing w:val="7"/>
              </w:rPr>
              <w:t>股价破发情形且最近三年未进行现金分红</w:t>
            </w:r>
            <w:r>
              <w:rPr>
                <w:spacing w:val="7"/>
              </w:rPr>
              <w:t>， 根据</w:t>
            </w:r>
            <w:r>
              <w:rPr>
                <w:spacing w:val="6"/>
              </w:rPr>
              <w:t>中国</w:t>
            </w:r>
            <w:r>
              <w:rPr/>
              <w:t xml:space="preserve"> </w:t>
            </w:r>
            <w:r>
              <w:rPr>
                <w:spacing w:val="9"/>
              </w:rPr>
              <w:t>证监会的监管要求和深交所《关于进一步规范股份减</w:t>
            </w:r>
            <w:r>
              <w:rPr>
                <w:spacing w:val="18"/>
                <w:w w:val="101"/>
              </w:rPr>
              <w:t xml:space="preserve"> </w:t>
            </w:r>
            <w:r>
              <w:rPr>
                <w:spacing w:val="7"/>
              </w:rPr>
              <w:t>持行为有关事项的通知》的相关规定， 其不得通</w:t>
            </w:r>
            <w:r>
              <w:rPr>
                <w:spacing w:val="6"/>
              </w:rPr>
              <w:t>过二</w:t>
            </w:r>
            <w:r>
              <w:rPr/>
              <w:t xml:space="preserve"> </w:t>
            </w:r>
            <w:r>
              <w:rPr>
                <w:spacing w:val="8"/>
              </w:rPr>
              <w:t>级市场减持股份。</w:t>
            </w:r>
          </w:p>
        </w:tc>
      </w:tr>
      <w:tr>
        <w:trPr>
          <w:trHeight w:val="2582" w:hRule="atLeast"/>
        </w:trPr>
        <w:tc>
          <w:tcPr>
            <w:tcW w:w="1337" w:type="dxa"/>
            <w:vAlign w:val="top"/>
          </w:tcPr>
          <w:p>
            <w:pPr>
              <w:spacing w:line="279" w:lineRule="auto"/>
              <w:rPr>
                <w:rFonts w:ascii="Arial"/>
                <w:sz w:val="21"/>
              </w:rPr>
            </w:pPr>
            <w:r/>
          </w:p>
          <w:p>
            <w:pPr>
              <w:spacing w:line="280" w:lineRule="auto"/>
              <w:rPr>
                <w:rFonts w:ascii="Arial"/>
                <w:sz w:val="21"/>
              </w:rPr>
            </w:pPr>
            <w:r/>
          </w:p>
          <w:p>
            <w:pPr>
              <w:spacing w:line="280" w:lineRule="auto"/>
              <w:rPr>
                <w:rFonts w:ascii="Arial"/>
                <w:sz w:val="21"/>
              </w:rPr>
            </w:pPr>
            <w:r/>
          </w:p>
          <w:p>
            <w:pPr>
              <w:spacing w:line="280" w:lineRule="auto"/>
              <w:rPr>
                <w:rFonts w:ascii="Arial"/>
                <w:sz w:val="21"/>
              </w:rPr>
            </w:pPr>
            <w:r/>
          </w:p>
          <w:p>
            <w:pPr>
              <w:pStyle w:val="TableText"/>
              <w:ind w:left="305"/>
              <w:spacing w:before="86" w:line="178" w:lineRule="auto"/>
              <w:rPr/>
            </w:pPr>
            <w:r>
              <w:rPr>
                <w:spacing w:val="3"/>
              </w:rPr>
              <w:t>000400</w:t>
            </w:r>
          </w:p>
        </w:tc>
        <w:tc>
          <w:tcPr>
            <w:tcW w:w="1144" w:type="dxa"/>
            <w:vAlign w:val="top"/>
          </w:tcPr>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pStyle w:val="TableText"/>
              <w:ind w:left="150"/>
              <w:spacing w:before="85" w:line="189" w:lineRule="auto"/>
              <w:rPr/>
            </w:pPr>
            <w:r>
              <w:rPr>
                <w:spacing w:val="8"/>
              </w:rPr>
              <w:t>许继电气</w:t>
            </w:r>
          </w:p>
        </w:tc>
        <w:tc>
          <w:tcPr>
            <w:tcW w:w="1432" w:type="dxa"/>
            <w:vAlign w:val="top"/>
          </w:tcPr>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pStyle w:val="TableText"/>
              <w:ind w:left="402"/>
              <w:spacing w:before="85" w:line="189" w:lineRule="auto"/>
              <w:rPr/>
            </w:pPr>
            <w:r>
              <w:rPr>
                <w:spacing w:val="8"/>
              </w:rPr>
              <w:t>监管函</w:t>
            </w:r>
          </w:p>
        </w:tc>
        <w:tc>
          <w:tcPr>
            <w:tcW w:w="5093" w:type="dxa"/>
            <w:vAlign w:val="top"/>
          </w:tcPr>
          <w:p>
            <w:pPr>
              <w:pStyle w:val="TableText"/>
              <w:ind w:left="107" w:right="153" w:firstLine="1"/>
              <w:spacing w:before="79" w:line="249" w:lineRule="auto"/>
              <w:jc w:val="both"/>
              <w:rPr/>
            </w:pPr>
            <w:r>
              <w:rPr>
                <w:spacing w:val="7"/>
              </w:rPr>
              <w:t>公司《</w:t>
            </w:r>
            <w:r>
              <w:rPr>
                <w:b/>
                <w:bCs/>
                <w:spacing w:val="7"/>
              </w:rPr>
              <w:t>信息披露</w:t>
            </w:r>
            <w:r>
              <w:rPr>
                <w:spacing w:val="7"/>
              </w:rPr>
              <w:t>管理制度》不完备， 重大</w:t>
            </w:r>
            <w:r>
              <w:rPr>
                <w:spacing w:val="6"/>
              </w:rPr>
              <w:t>信息内部报</w:t>
            </w:r>
            <w:r>
              <w:rPr/>
              <w:t xml:space="preserve"> </w:t>
            </w:r>
            <w:r>
              <w:rPr>
                <w:spacing w:val="7"/>
              </w:rPr>
              <w:t>告制度落实不到位， 对部分销售项目未及时履行内部</w:t>
            </w:r>
            <w:r>
              <w:rPr/>
              <w:t xml:space="preserve"> </w:t>
            </w:r>
            <w:r>
              <w:rPr>
                <w:spacing w:val="6"/>
              </w:rPr>
              <w:t>信息报告义务； 公司</w:t>
            </w:r>
            <w:r>
              <w:rPr>
                <w:b/>
                <w:bCs/>
                <w:spacing w:val="6"/>
              </w:rPr>
              <w:t>合同管理、</w:t>
            </w:r>
            <w:r>
              <w:rPr>
                <w:b/>
                <w:bCs/>
                <w:spacing w:val="-39"/>
              </w:rPr>
              <w:t xml:space="preserve"> </w:t>
            </w:r>
            <w:r>
              <w:rPr>
                <w:b/>
                <w:bCs/>
                <w:spacing w:val="6"/>
              </w:rPr>
              <w:t>印章管理等内控制度</w:t>
            </w:r>
            <w:r>
              <w:rPr>
                <w:b/>
                <w:bCs/>
              </w:rPr>
              <w:t xml:space="preserve"> </w:t>
            </w:r>
            <w:r>
              <w:rPr>
                <w:spacing w:val="4"/>
              </w:rPr>
              <w:t>不健全， 执行不到位， 部分合同签订日期、合同编号</w:t>
            </w:r>
            <w:r>
              <w:rPr>
                <w:spacing w:val="8"/>
              </w:rPr>
              <w:t xml:space="preserve"> </w:t>
            </w:r>
            <w:r>
              <w:rPr>
                <w:spacing w:val="4"/>
              </w:rPr>
              <w:t>等内容不完整， 未严格履行审批、签署程序， 部分合</w:t>
            </w:r>
            <w:r>
              <w:rPr>
                <w:spacing w:val="8"/>
              </w:rPr>
              <w:t xml:space="preserve"> </w:t>
            </w:r>
            <w:r>
              <w:rPr>
                <w:spacing w:val="10"/>
              </w:rPr>
              <w:t>同用印未严格执行用印流程。会计管理制度</w:t>
            </w:r>
            <w:r>
              <w:rPr>
                <w:spacing w:val="9"/>
              </w:rPr>
              <w:t>执行不到</w:t>
            </w:r>
            <w:r>
              <w:rPr/>
              <w:t xml:space="preserve"> </w:t>
            </w:r>
            <w:r>
              <w:rPr>
                <w:spacing w:val="3"/>
              </w:rPr>
              <w:t>位。</w:t>
            </w:r>
          </w:p>
        </w:tc>
      </w:tr>
      <w:tr>
        <w:trPr>
          <w:trHeight w:val="2216" w:hRule="atLeast"/>
        </w:trPr>
        <w:tc>
          <w:tcPr>
            <w:shd w:val="clear" w:fill="B8CCE4"/>
            <w:tcW w:w="1337" w:type="dxa"/>
            <w:vAlign w:val="top"/>
          </w:tcPr>
          <w:p>
            <w:pPr>
              <w:spacing w:line="313" w:lineRule="auto"/>
              <w:rPr>
                <w:rFonts w:ascii="Arial"/>
                <w:sz w:val="21"/>
              </w:rPr>
            </w:pPr>
            <w:r/>
          </w:p>
          <w:p>
            <w:pPr>
              <w:spacing w:line="313" w:lineRule="auto"/>
              <w:rPr>
                <w:rFonts w:ascii="Arial"/>
                <w:sz w:val="21"/>
              </w:rPr>
            </w:pPr>
            <w:r/>
          </w:p>
          <w:p>
            <w:pPr>
              <w:spacing w:line="313" w:lineRule="auto"/>
              <w:rPr>
                <w:rFonts w:ascii="Arial"/>
                <w:sz w:val="21"/>
              </w:rPr>
            </w:pPr>
            <w:r/>
          </w:p>
          <w:p>
            <w:pPr>
              <w:pStyle w:val="TableText"/>
              <w:ind w:left="305"/>
              <w:spacing w:before="86" w:line="178" w:lineRule="auto"/>
              <w:rPr/>
            </w:pPr>
            <w:r>
              <w:rPr>
                <w:spacing w:val="3"/>
              </w:rPr>
              <w:t>000752</w:t>
            </w:r>
          </w:p>
        </w:tc>
        <w:tc>
          <w:tcPr>
            <w:shd w:val="clear" w:fill="B8CCE4"/>
            <w:tcW w:w="1144" w:type="dxa"/>
            <w:vAlign w:val="top"/>
          </w:tcPr>
          <w:p>
            <w:pPr>
              <w:spacing w:line="308" w:lineRule="auto"/>
              <w:rPr>
                <w:rFonts w:ascii="Arial"/>
                <w:sz w:val="21"/>
              </w:rPr>
            </w:pPr>
            <w:r/>
          </w:p>
          <w:p>
            <w:pPr>
              <w:spacing w:line="308" w:lineRule="auto"/>
              <w:rPr>
                <w:rFonts w:ascii="Arial"/>
                <w:sz w:val="21"/>
              </w:rPr>
            </w:pPr>
            <w:r/>
          </w:p>
          <w:p>
            <w:pPr>
              <w:spacing w:line="308" w:lineRule="auto"/>
              <w:rPr>
                <w:rFonts w:ascii="Arial"/>
                <w:sz w:val="21"/>
              </w:rPr>
            </w:pPr>
            <w:r/>
          </w:p>
          <w:p>
            <w:pPr>
              <w:pStyle w:val="TableText"/>
              <w:ind w:left="199"/>
              <w:spacing w:before="86" w:line="189" w:lineRule="auto"/>
              <w:rPr/>
            </w:pPr>
            <w:r>
              <w:rPr>
                <w:spacing w:val="8"/>
              </w:rPr>
              <w:t>*</w:t>
            </w:r>
            <w:r>
              <w:rPr/>
              <w:t>ST</w:t>
            </w:r>
            <w:r>
              <w:rPr>
                <w:spacing w:val="8"/>
              </w:rPr>
              <w:t>西发</w:t>
            </w:r>
          </w:p>
        </w:tc>
        <w:tc>
          <w:tcPr>
            <w:shd w:val="clear" w:fill="B8CCE4"/>
            <w:tcW w:w="1432" w:type="dxa"/>
            <w:vAlign w:val="top"/>
          </w:tcPr>
          <w:p>
            <w:pPr>
              <w:spacing w:line="308" w:lineRule="auto"/>
              <w:rPr>
                <w:rFonts w:ascii="Arial"/>
                <w:sz w:val="21"/>
              </w:rPr>
            </w:pPr>
            <w:r/>
          </w:p>
          <w:p>
            <w:pPr>
              <w:spacing w:line="308" w:lineRule="auto"/>
              <w:rPr>
                <w:rFonts w:ascii="Arial"/>
                <w:sz w:val="21"/>
              </w:rPr>
            </w:pPr>
            <w:r/>
          </w:p>
          <w:p>
            <w:pPr>
              <w:spacing w:line="308" w:lineRule="auto"/>
              <w:rPr>
                <w:rFonts w:ascii="Arial"/>
                <w:sz w:val="21"/>
              </w:rPr>
            </w:pPr>
            <w:r/>
          </w:p>
          <w:p>
            <w:pPr>
              <w:pStyle w:val="TableText"/>
              <w:ind w:left="402"/>
              <w:spacing w:before="86" w:line="189" w:lineRule="auto"/>
              <w:rPr/>
            </w:pPr>
            <w:r>
              <w:rPr>
                <w:spacing w:val="8"/>
              </w:rPr>
              <w:t>监管函</w:t>
            </w:r>
          </w:p>
        </w:tc>
        <w:tc>
          <w:tcPr>
            <w:shd w:val="clear" w:fill="B8CCE4"/>
            <w:tcW w:w="5093" w:type="dxa"/>
            <w:vAlign w:val="top"/>
          </w:tcPr>
          <w:p>
            <w:pPr>
              <w:pStyle w:val="TableText"/>
              <w:ind w:left="107" w:right="131"/>
              <w:spacing w:before="291" w:line="252" w:lineRule="auto"/>
              <w:jc w:val="both"/>
              <w:rPr/>
            </w:pPr>
            <w:r>
              <w:rPr>
                <w:spacing w:val="9"/>
              </w:rPr>
              <w:t>公司最近三个会计年度扣除非经常性损益前后净利润</w:t>
            </w:r>
            <w:r>
              <w:rPr>
                <w:spacing w:val="18"/>
              </w:rPr>
              <w:t xml:space="preserve"> </w:t>
            </w:r>
            <w:r>
              <w:rPr>
                <w:spacing w:val="7"/>
              </w:rPr>
              <w:t>孰低者均为负值， 且最近一年审计报告显示公司</w:t>
            </w:r>
            <w:r>
              <w:rPr>
                <w:spacing w:val="6"/>
              </w:rPr>
              <w:t>持续</w:t>
            </w:r>
            <w:r>
              <w:rPr/>
              <w:t xml:space="preserve"> </w:t>
            </w:r>
            <w:r>
              <w:rPr>
                <w:spacing w:val="6"/>
              </w:rPr>
              <w:t>经营能力存在不确定性， 公司2024年4月27日披露的</w:t>
            </w:r>
            <w:r>
              <w:rPr>
                <w:spacing w:val="5"/>
              </w:rPr>
              <w:t xml:space="preserve"> </w:t>
            </w:r>
            <w:r>
              <w:rPr>
                <w:spacing w:val="9"/>
              </w:rPr>
              <w:t>《关于申请撤销股票退市风险警示暨继续被实施其他</w:t>
            </w:r>
            <w:r>
              <w:rPr>
                <w:spacing w:val="18"/>
                <w:w w:val="101"/>
              </w:rPr>
              <w:t xml:space="preserve"> </w:t>
            </w:r>
            <w:r>
              <w:rPr>
                <w:spacing w:val="9"/>
              </w:rPr>
              <w:t>风险警示的公告》</w:t>
            </w:r>
            <w:r>
              <w:rPr>
                <w:b/>
                <w:bCs/>
                <w:spacing w:val="9"/>
              </w:rPr>
              <w:t>遗漏了相关内容。</w:t>
            </w:r>
          </w:p>
        </w:tc>
      </w:tr>
      <w:tr>
        <w:trPr>
          <w:trHeight w:val="631" w:hRule="atLeast"/>
        </w:trPr>
        <w:tc>
          <w:tcPr>
            <w:tcW w:w="1337" w:type="dxa"/>
            <w:vAlign w:val="top"/>
          </w:tcPr>
          <w:p>
            <w:pPr>
              <w:pStyle w:val="TableText"/>
              <w:ind w:left="311"/>
              <w:spacing w:before="239" w:line="178" w:lineRule="auto"/>
              <w:rPr/>
            </w:pPr>
            <w:r>
              <w:rPr>
                <w:spacing w:val="3"/>
              </w:rPr>
              <w:t>300027</w:t>
            </w:r>
          </w:p>
        </w:tc>
        <w:tc>
          <w:tcPr>
            <w:tcW w:w="1144" w:type="dxa"/>
            <w:vAlign w:val="top"/>
          </w:tcPr>
          <w:p>
            <w:pPr>
              <w:pStyle w:val="TableText"/>
              <w:ind w:left="151"/>
              <w:spacing w:before="223" w:line="190" w:lineRule="auto"/>
              <w:rPr/>
            </w:pPr>
            <w:r>
              <w:rPr>
                <w:spacing w:val="8"/>
              </w:rPr>
              <w:t>华谊兄弟</w:t>
            </w:r>
          </w:p>
        </w:tc>
        <w:tc>
          <w:tcPr>
            <w:tcW w:w="1432" w:type="dxa"/>
            <w:vAlign w:val="top"/>
          </w:tcPr>
          <w:p>
            <w:pPr>
              <w:pStyle w:val="TableText"/>
              <w:ind w:left="402"/>
              <w:spacing w:before="224" w:line="189" w:lineRule="auto"/>
              <w:rPr/>
            </w:pPr>
            <w:r>
              <w:rPr>
                <w:spacing w:val="8"/>
              </w:rPr>
              <w:t>监管函</w:t>
            </w:r>
          </w:p>
        </w:tc>
        <w:tc>
          <w:tcPr>
            <w:tcW w:w="5093" w:type="dxa"/>
            <w:vAlign w:val="top"/>
          </w:tcPr>
          <w:p>
            <w:pPr>
              <w:pStyle w:val="TableText"/>
              <w:ind w:left="110"/>
              <w:spacing w:before="224" w:line="189" w:lineRule="auto"/>
              <w:rPr/>
            </w:pPr>
            <w:r>
              <w:rPr>
                <w:spacing w:val="8"/>
              </w:rPr>
              <w:t>董事长</w:t>
            </w:r>
            <w:r>
              <w:rPr>
                <w:b/>
                <w:bCs/>
                <w:spacing w:val="8"/>
              </w:rPr>
              <w:t>敏感期交易</w:t>
            </w:r>
            <w:r>
              <w:rPr>
                <w:spacing w:val="8"/>
              </w:rPr>
              <w:t>。</w:t>
            </w:r>
          </w:p>
        </w:tc>
      </w:tr>
      <w:tr>
        <w:trPr>
          <w:trHeight w:val="382" w:hRule="atLeast"/>
        </w:trPr>
        <w:tc>
          <w:tcPr>
            <w:shd w:val="clear" w:fill="B8CCE4"/>
            <w:tcW w:w="1337" w:type="dxa"/>
            <w:vAlign w:val="top"/>
          </w:tcPr>
          <w:p>
            <w:pPr>
              <w:pStyle w:val="TableText"/>
              <w:ind w:left="305"/>
              <w:spacing w:before="114" w:line="178" w:lineRule="auto"/>
              <w:rPr/>
            </w:pPr>
            <w:r>
              <w:rPr>
                <w:spacing w:val="3"/>
              </w:rPr>
              <w:t>002943</w:t>
            </w:r>
          </w:p>
        </w:tc>
        <w:tc>
          <w:tcPr>
            <w:shd w:val="clear" w:fill="B8CCE4"/>
            <w:tcW w:w="1144" w:type="dxa"/>
            <w:vAlign w:val="top"/>
          </w:tcPr>
          <w:p>
            <w:pPr>
              <w:pStyle w:val="TableText"/>
              <w:ind w:left="152"/>
              <w:spacing w:before="99" w:line="189" w:lineRule="auto"/>
              <w:rPr/>
            </w:pPr>
            <w:r>
              <w:rPr>
                <w:spacing w:val="8"/>
              </w:rPr>
              <w:t>宇晶股份</w:t>
            </w:r>
          </w:p>
        </w:tc>
        <w:tc>
          <w:tcPr>
            <w:shd w:val="clear" w:fill="B8CCE4"/>
            <w:tcW w:w="1432" w:type="dxa"/>
            <w:vAlign w:val="top"/>
          </w:tcPr>
          <w:p>
            <w:pPr>
              <w:pStyle w:val="TableText"/>
              <w:ind w:left="402"/>
              <w:spacing w:before="99" w:line="189" w:lineRule="auto"/>
              <w:rPr/>
            </w:pPr>
            <w:r>
              <w:rPr>
                <w:spacing w:val="8"/>
              </w:rPr>
              <w:t>监管函</w:t>
            </w:r>
          </w:p>
        </w:tc>
        <w:tc>
          <w:tcPr>
            <w:shd w:val="clear" w:fill="B8CCE4"/>
            <w:tcW w:w="5093" w:type="dxa"/>
            <w:vAlign w:val="top"/>
          </w:tcPr>
          <w:p>
            <w:pPr>
              <w:pStyle w:val="TableText"/>
              <w:ind w:left="109"/>
              <w:spacing w:before="98" w:line="190" w:lineRule="auto"/>
              <w:rPr/>
            </w:pPr>
            <w:r>
              <w:rPr>
                <w:spacing w:val="8"/>
              </w:rPr>
              <w:t>独立董事配偶</w:t>
            </w:r>
            <w:r>
              <w:rPr>
                <w:b/>
                <w:bCs/>
                <w:spacing w:val="8"/>
              </w:rPr>
              <w:t>短线交易</w:t>
            </w:r>
            <w:r>
              <w:rPr>
                <w:spacing w:val="8"/>
              </w:rPr>
              <w:t>。</w:t>
            </w:r>
          </w:p>
        </w:tc>
      </w:tr>
      <w:tr>
        <w:trPr>
          <w:trHeight w:val="1852" w:hRule="atLeast"/>
        </w:trPr>
        <w:tc>
          <w:tcPr>
            <w:tcW w:w="1337" w:type="dxa"/>
            <w:vAlign w:val="top"/>
          </w:tcPr>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311"/>
              <w:spacing w:before="86" w:line="179" w:lineRule="auto"/>
              <w:rPr/>
            </w:pPr>
            <w:r>
              <w:rPr>
                <w:spacing w:val="3"/>
              </w:rPr>
              <w:t>300521</w:t>
            </w:r>
          </w:p>
        </w:tc>
        <w:tc>
          <w:tcPr>
            <w:tcW w:w="1144" w:type="dxa"/>
            <w:vAlign w:val="top"/>
          </w:tcPr>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pStyle w:val="TableText"/>
              <w:ind w:left="254"/>
              <w:spacing w:before="85" w:line="189" w:lineRule="auto"/>
              <w:rPr/>
            </w:pPr>
            <w:r>
              <w:rPr>
                <w:spacing w:val="9"/>
              </w:rPr>
              <w:t>爱司凯</w:t>
            </w:r>
          </w:p>
        </w:tc>
        <w:tc>
          <w:tcPr>
            <w:tcW w:w="1432" w:type="dxa"/>
            <w:vAlign w:val="top"/>
          </w:tcPr>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pStyle w:val="TableText"/>
              <w:ind w:left="402"/>
              <w:spacing w:before="85" w:line="189" w:lineRule="auto"/>
              <w:rPr/>
            </w:pPr>
            <w:r>
              <w:rPr>
                <w:spacing w:val="8"/>
              </w:rPr>
              <w:t>监管函</w:t>
            </w:r>
          </w:p>
        </w:tc>
        <w:tc>
          <w:tcPr>
            <w:tcW w:w="5093" w:type="dxa"/>
            <w:vAlign w:val="top"/>
          </w:tcPr>
          <w:p>
            <w:pPr>
              <w:pStyle w:val="TableText"/>
              <w:ind w:left="115"/>
              <w:spacing w:before="291" w:line="190" w:lineRule="auto"/>
              <w:rPr/>
            </w:pPr>
            <w:r>
              <w:rPr>
                <w:spacing w:val="6"/>
              </w:rPr>
              <w:t>融信资本卓越1号私募基金的管理人， 通过大宗交易</w:t>
            </w:r>
          </w:p>
          <w:p>
            <w:pPr>
              <w:pStyle w:val="TableText"/>
              <w:ind w:left="110"/>
              <w:spacing w:before="51" w:line="233" w:lineRule="auto"/>
              <w:rPr/>
            </w:pPr>
            <w:r>
              <w:rPr>
                <w:spacing w:val="5"/>
              </w:rPr>
              <w:t>减持爱司凯2%股份， 持股比例由6.53%下降至</w:t>
            </w:r>
          </w:p>
          <w:p>
            <w:pPr>
              <w:pStyle w:val="TableText"/>
              <w:ind w:left="108" w:right="273" w:hanging="1"/>
              <w:spacing w:before="21" w:line="248" w:lineRule="auto"/>
              <w:rPr/>
            </w:pPr>
            <w:r>
              <w:rPr>
                <w:spacing w:val="4"/>
              </w:rPr>
              <w:t>4.53%， </w:t>
            </w:r>
            <w:r>
              <w:rPr>
                <w:b/>
                <w:bCs/>
                <w:spacing w:val="4"/>
              </w:rPr>
              <w:t>在持股比例降至5%以下时</w:t>
            </w:r>
            <w:r>
              <w:rPr>
                <w:spacing w:val="3"/>
              </w:rPr>
              <w:t>， 未按规定及时</w:t>
            </w:r>
            <w:r>
              <w:rPr/>
              <w:t xml:space="preserve"> </w:t>
            </w:r>
            <w:r>
              <w:rPr>
                <w:spacing w:val="5"/>
              </w:rPr>
              <w:t>报告并公告， 也未停止卖出爱司凯股票。</w:t>
            </w:r>
          </w:p>
        </w:tc>
      </w:tr>
    </w:tbl>
    <w:p>
      <w:pPr>
        <w:pStyle w:val="BodyText"/>
        <w:spacing w:line="14" w:lineRule="auto"/>
        <w:rPr>
          <w:sz w:val="2"/>
        </w:rPr>
      </w:pPr>
      <w:r/>
    </w:p>
    <w:p>
      <w:pPr>
        <w:spacing w:line="14" w:lineRule="auto"/>
        <w:sectPr>
          <w:pgSz w:w="11910" w:h="16840"/>
          <w:pgMar w:top="400" w:right="1515" w:bottom="357" w:left="1383" w:header="0" w:footer="0" w:gutter="0"/>
        </w:sectPr>
        <w:rPr>
          <w:sz w:val="2"/>
          <w:szCs w:val="2"/>
        </w:rPr>
      </w:pPr>
    </w:p>
    <w:tbl>
      <w:tblPr>
        <w:tblStyle w:val="TableNormal"/>
        <w:tblW w:w="9006" w:type="dxa"/>
        <w:tblInd w:w="80"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337"/>
        <w:gridCol w:w="1144"/>
        <w:gridCol w:w="1432"/>
        <w:gridCol w:w="5093"/>
      </w:tblGrid>
      <w:tr>
        <w:trPr>
          <w:trHeight w:val="2530" w:hRule="atLeast"/>
        </w:trPr>
        <w:tc>
          <w:tcPr>
            <w:shd w:val="clear" w:fill="B8CCE4"/>
            <w:tcW w:w="1337" w:type="dxa"/>
            <w:vAlign w:val="top"/>
          </w:tcPr>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pStyle w:val="TableText"/>
              <w:ind w:left="311"/>
              <w:spacing w:before="86" w:line="178" w:lineRule="auto"/>
              <w:rPr/>
            </w:pPr>
            <w:r>
              <w:rPr>
                <w:spacing w:val="3"/>
              </w:rPr>
              <w:t>300495</w:t>
            </w:r>
          </w:p>
        </w:tc>
        <w:tc>
          <w:tcPr>
            <w:shd w:val="clear" w:fill="B8CCE4"/>
            <w:tcW w:w="1144" w:type="dxa"/>
            <w:vAlign w:val="top"/>
          </w:tcPr>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pStyle w:val="TableText"/>
              <w:ind w:left="199"/>
              <w:spacing w:before="86" w:line="190" w:lineRule="auto"/>
              <w:rPr/>
            </w:pPr>
            <w:r>
              <w:rPr>
                <w:spacing w:val="8"/>
              </w:rPr>
              <w:t>*</w:t>
            </w:r>
            <w:r>
              <w:rPr/>
              <w:t>ST</w:t>
            </w:r>
            <w:r>
              <w:rPr>
                <w:spacing w:val="8"/>
              </w:rPr>
              <w:t>美尚</w:t>
            </w:r>
          </w:p>
        </w:tc>
        <w:tc>
          <w:tcPr>
            <w:shd w:val="clear" w:fill="B8CCE4"/>
            <w:tcW w:w="1432" w:type="dxa"/>
            <w:vAlign w:val="top"/>
          </w:tcPr>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pStyle w:val="TableText"/>
              <w:ind w:left="294"/>
              <w:spacing w:before="85" w:line="187" w:lineRule="auto"/>
              <w:rPr/>
            </w:pPr>
            <w:r>
              <w:rPr>
                <w:spacing w:val="8"/>
              </w:rPr>
              <w:t>公开谴责</w:t>
            </w:r>
          </w:p>
        </w:tc>
        <w:tc>
          <w:tcPr>
            <w:shd w:val="clear" w:fill="B8CCE4"/>
            <w:tcW w:w="5093" w:type="dxa"/>
            <w:vAlign w:val="top"/>
          </w:tcPr>
          <w:p>
            <w:pPr>
              <w:pStyle w:val="TableText"/>
              <w:ind w:left="107" w:right="153" w:firstLine="6"/>
              <w:spacing w:before="87" w:line="243" w:lineRule="auto"/>
              <w:rPr/>
            </w:pPr>
            <w:r>
              <w:rPr>
                <w:spacing w:val="8"/>
              </w:rPr>
              <w:t>*</w:t>
            </w:r>
            <w:r>
              <w:rPr/>
              <w:t>ST</w:t>
            </w:r>
            <w:r>
              <w:rPr>
                <w:spacing w:val="8"/>
              </w:rPr>
              <w:t>美尚2015年首次公开发行股票并在创</w:t>
            </w:r>
            <w:r>
              <w:rPr>
                <w:spacing w:val="68"/>
                <w:w w:val="101"/>
              </w:rPr>
              <w:t xml:space="preserve"> </w:t>
            </w:r>
            <w:r>
              <w:rPr>
                <w:spacing w:val="8"/>
              </w:rPr>
              <w:t>业板上市</w:t>
            </w:r>
            <w:r>
              <w:rPr/>
              <w:t xml:space="preserve">   </w:t>
            </w:r>
            <w:r>
              <w:rPr>
                <w:spacing w:val="6"/>
              </w:rPr>
              <w:t>招股说明书、</w:t>
            </w:r>
            <w:r>
              <w:rPr>
                <w:spacing w:val="-18"/>
              </w:rPr>
              <w:t xml:space="preserve"> </w:t>
            </w:r>
            <w:r>
              <w:rPr>
                <w:spacing w:val="6"/>
              </w:rPr>
              <w:t>2015年年度报告、</w:t>
            </w:r>
            <w:r>
              <w:rPr>
                <w:spacing w:val="-36"/>
              </w:rPr>
              <w:t xml:space="preserve"> </w:t>
            </w:r>
            <w:r>
              <w:rPr>
                <w:spacing w:val="6"/>
              </w:rPr>
              <w:t>2016年非公开发行</w:t>
            </w:r>
            <w:r>
              <w:rPr/>
              <w:t xml:space="preserve">  </w:t>
            </w:r>
            <w:r>
              <w:rPr>
                <w:spacing w:val="9"/>
              </w:rPr>
              <w:t>股份及支付现金购买资产并募集配套资金暨关联交易</w:t>
            </w:r>
            <w:r>
              <w:rPr>
                <w:spacing w:val="18"/>
                <w:w w:val="101"/>
              </w:rPr>
              <w:t xml:space="preserve"> </w:t>
            </w:r>
            <w:r>
              <w:rPr>
                <w:spacing w:val="8"/>
              </w:rPr>
              <w:t>报告书、</w:t>
            </w:r>
            <w:r>
              <w:rPr>
                <w:spacing w:val="-34"/>
              </w:rPr>
              <w:t xml:space="preserve"> </w:t>
            </w:r>
            <w:r>
              <w:rPr>
                <w:spacing w:val="8"/>
              </w:rPr>
              <w:t>2017年面向合格投资者公开发行公司债券</w:t>
            </w:r>
            <w:r>
              <w:rPr/>
              <w:t xml:space="preserve">   </w:t>
            </w:r>
            <w:r>
              <w:rPr>
                <w:spacing w:val="9"/>
              </w:rPr>
              <w:t>募集说明书及2018年非公开发行股票上市公告书等</w:t>
            </w:r>
            <w:r>
              <w:rPr/>
              <w:t xml:space="preserve">   </w:t>
            </w:r>
            <w:r>
              <w:rPr>
                <w:spacing w:val="7"/>
              </w:rPr>
              <w:t>文件存在</w:t>
            </w:r>
            <w:r>
              <w:rPr>
                <w:b/>
                <w:bCs/>
                <w:spacing w:val="7"/>
              </w:rPr>
              <w:t>虚假记载</w:t>
            </w:r>
            <w:r>
              <w:rPr>
                <w:spacing w:val="7"/>
              </w:rPr>
              <w:t>； 未按规定披露</w:t>
            </w:r>
            <w:r>
              <w:rPr>
                <w:b/>
                <w:bCs/>
                <w:spacing w:val="7"/>
              </w:rPr>
              <w:t>关联交易</w:t>
            </w:r>
            <w:r>
              <w:rPr>
                <w:spacing w:val="7"/>
              </w:rPr>
              <w:t>及</w:t>
            </w:r>
            <w:r>
              <w:rPr>
                <w:b/>
                <w:bCs/>
                <w:spacing w:val="7"/>
              </w:rPr>
              <w:t>资</w:t>
            </w:r>
            <w:r>
              <w:rPr>
                <w:b/>
                <w:bCs/>
                <w:spacing w:val="6"/>
              </w:rPr>
              <w:t>金占</w:t>
            </w:r>
            <w:r>
              <w:rPr>
                <w:b/>
                <w:bCs/>
              </w:rPr>
              <w:t xml:space="preserve"> </w:t>
            </w:r>
            <w:r>
              <w:rPr>
                <w:b/>
                <w:bCs/>
                <w:spacing w:val="3"/>
              </w:rPr>
              <w:t>用</w:t>
            </w:r>
            <w:r>
              <w:rPr>
                <w:spacing w:val="3"/>
              </w:rPr>
              <w:t>。</w:t>
            </w:r>
          </w:p>
        </w:tc>
      </w:tr>
      <w:tr>
        <w:trPr>
          <w:trHeight w:val="3245" w:hRule="atLeast"/>
        </w:trPr>
        <w:tc>
          <w:tcPr>
            <w:tcW w:w="1337" w:type="dxa"/>
            <w:vAlign w:val="top"/>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pStyle w:val="TableText"/>
              <w:ind w:left="311"/>
              <w:spacing w:before="86" w:line="178" w:lineRule="auto"/>
              <w:rPr/>
            </w:pPr>
            <w:r>
              <w:rPr>
                <w:spacing w:val="3"/>
              </w:rPr>
              <w:t>300495</w:t>
            </w:r>
          </w:p>
        </w:tc>
        <w:tc>
          <w:tcPr>
            <w:tcW w:w="1144" w:type="dxa"/>
            <w:vAlign w:val="top"/>
          </w:tcPr>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spacing w:line="287" w:lineRule="auto"/>
              <w:rPr>
                <w:rFonts w:ascii="Arial"/>
                <w:sz w:val="21"/>
              </w:rPr>
            </w:pPr>
            <w:r/>
          </w:p>
          <w:p>
            <w:pPr>
              <w:pStyle w:val="TableText"/>
              <w:ind w:left="199"/>
              <w:spacing w:before="86" w:line="190" w:lineRule="auto"/>
              <w:rPr/>
            </w:pPr>
            <w:r>
              <w:rPr>
                <w:spacing w:val="8"/>
              </w:rPr>
              <w:t>*</w:t>
            </w:r>
            <w:r>
              <w:rPr/>
              <w:t>ST</w:t>
            </w:r>
            <w:r>
              <w:rPr>
                <w:spacing w:val="8"/>
              </w:rPr>
              <w:t>美尚</w:t>
            </w:r>
          </w:p>
        </w:tc>
        <w:tc>
          <w:tcPr>
            <w:tcW w:w="1432" w:type="dxa"/>
            <w:vAlign w:val="top"/>
          </w:tcPr>
          <w:p>
            <w:pPr>
              <w:pStyle w:val="TableText"/>
              <w:ind w:left="188" w:right="191"/>
              <w:spacing w:before="82" w:line="245" w:lineRule="auto"/>
              <w:jc w:val="both"/>
              <w:rPr/>
            </w:pPr>
            <w:r>
              <w:rPr>
                <w:spacing w:val="9"/>
              </w:rPr>
              <w:t>公开认定一</w:t>
            </w:r>
            <w:r>
              <w:rPr/>
              <w:t xml:space="preserve"> </w:t>
            </w:r>
            <w:r>
              <w:rPr>
                <w:spacing w:val="9"/>
              </w:rPr>
              <w:t>定期限内不</w:t>
            </w:r>
            <w:r>
              <w:rPr/>
              <w:t xml:space="preserve"> </w:t>
            </w:r>
            <w:r>
              <w:rPr>
                <w:spacing w:val="9"/>
              </w:rPr>
              <w:t>适合担任上</w:t>
            </w:r>
            <w:r>
              <w:rPr/>
              <w:t xml:space="preserve"> </w:t>
            </w:r>
            <w:r>
              <w:rPr>
                <w:spacing w:val="9"/>
              </w:rPr>
              <w:t>市公司董事</w:t>
            </w:r>
            <w:r>
              <w:rPr/>
              <w:t xml:space="preserve"> </w:t>
            </w:r>
            <w:r>
              <w:rPr>
                <w:spacing w:val="9"/>
              </w:rPr>
              <w:t>、监事、高</w:t>
            </w:r>
            <w:r>
              <w:rPr/>
              <w:t xml:space="preserve"> </w:t>
            </w:r>
            <w:r>
              <w:rPr>
                <w:spacing w:val="9"/>
              </w:rPr>
              <w:t>级管理人员</w:t>
            </w:r>
            <w:r>
              <w:rPr/>
              <w:t xml:space="preserve"> </w:t>
            </w:r>
            <w:r>
              <w:rPr>
                <w:spacing w:val="9"/>
              </w:rPr>
              <w:t>或者境外发</w:t>
            </w:r>
            <w:r>
              <w:rPr/>
              <w:t xml:space="preserve"> </w:t>
            </w:r>
            <w:r>
              <w:rPr>
                <w:spacing w:val="9"/>
              </w:rPr>
              <w:t>行人信息披</w:t>
            </w:r>
            <w:r>
              <w:rPr/>
              <w:t xml:space="preserve"> </w:t>
            </w:r>
            <w:r>
              <w:rPr>
                <w:spacing w:val="9"/>
              </w:rPr>
              <w:t>露境内代表</w:t>
            </w:r>
          </w:p>
        </w:tc>
        <w:tc>
          <w:tcPr>
            <w:tcW w:w="5093" w:type="dxa"/>
            <w:vAlign w:val="top"/>
          </w:tcPr>
          <w:p>
            <w:pPr>
              <w:spacing w:line="358" w:lineRule="auto"/>
              <w:rPr>
                <w:rFonts w:ascii="Arial"/>
                <w:sz w:val="21"/>
              </w:rPr>
            </w:pPr>
            <w:r/>
          </w:p>
          <w:p>
            <w:pPr>
              <w:pStyle w:val="TableText"/>
              <w:ind w:left="107" w:right="153" w:firstLine="6"/>
              <w:spacing w:before="86" w:line="251" w:lineRule="auto"/>
              <w:rPr/>
            </w:pPr>
            <w:r>
              <w:rPr>
                <w:spacing w:val="8"/>
              </w:rPr>
              <w:t>*</w:t>
            </w:r>
            <w:r>
              <w:rPr/>
              <w:t>ST</w:t>
            </w:r>
            <w:r>
              <w:rPr>
                <w:spacing w:val="8"/>
              </w:rPr>
              <w:t>美尚2015年首次公开发行股票并在创</w:t>
            </w:r>
            <w:r>
              <w:rPr>
                <w:spacing w:val="68"/>
                <w:w w:val="101"/>
              </w:rPr>
              <w:t xml:space="preserve"> </w:t>
            </w:r>
            <w:r>
              <w:rPr>
                <w:spacing w:val="8"/>
              </w:rPr>
              <w:t>业板上市</w:t>
            </w:r>
            <w:r>
              <w:rPr/>
              <w:t xml:space="preserve">   </w:t>
            </w:r>
            <w:r>
              <w:rPr>
                <w:spacing w:val="6"/>
              </w:rPr>
              <w:t>招股说明书、</w:t>
            </w:r>
            <w:r>
              <w:rPr>
                <w:spacing w:val="-18"/>
              </w:rPr>
              <w:t xml:space="preserve"> </w:t>
            </w:r>
            <w:r>
              <w:rPr>
                <w:spacing w:val="6"/>
              </w:rPr>
              <w:t>2015年年度报告、</w:t>
            </w:r>
            <w:r>
              <w:rPr>
                <w:spacing w:val="-36"/>
              </w:rPr>
              <w:t xml:space="preserve"> </w:t>
            </w:r>
            <w:r>
              <w:rPr>
                <w:spacing w:val="6"/>
              </w:rPr>
              <w:t>2016年非公开发行</w:t>
            </w:r>
            <w:r>
              <w:rPr/>
              <w:t xml:space="preserve">  </w:t>
            </w:r>
            <w:r>
              <w:rPr>
                <w:spacing w:val="9"/>
              </w:rPr>
              <w:t>股份及支付现金购买资产并募集配套资金暨关联交易</w:t>
            </w:r>
            <w:r>
              <w:rPr>
                <w:spacing w:val="18"/>
                <w:w w:val="101"/>
              </w:rPr>
              <w:t xml:space="preserve"> </w:t>
            </w:r>
            <w:r>
              <w:rPr>
                <w:spacing w:val="8"/>
              </w:rPr>
              <w:t>报告书、</w:t>
            </w:r>
            <w:r>
              <w:rPr>
                <w:spacing w:val="-34"/>
              </w:rPr>
              <w:t xml:space="preserve"> </w:t>
            </w:r>
            <w:r>
              <w:rPr>
                <w:spacing w:val="8"/>
              </w:rPr>
              <w:t>2017年面向合格投资者公开发行公司债券</w:t>
            </w:r>
            <w:r>
              <w:rPr/>
              <w:t xml:space="preserve">   </w:t>
            </w:r>
            <w:r>
              <w:rPr>
                <w:spacing w:val="9"/>
              </w:rPr>
              <w:t>募集说明书及2018年非公开发行股票上市公告书等</w:t>
            </w:r>
            <w:r>
              <w:rPr/>
              <w:t xml:space="preserve">   </w:t>
            </w:r>
            <w:r>
              <w:rPr>
                <w:spacing w:val="7"/>
              </w:rPr>
              <w:t>文件存在</w:t>
            </w:r>
            <w:r>
              <w:rPr>
                <w:b/>
                <w:bCs/>
                <w:spacing w:val="7"/>
              </w:rPr>
              <w:t>虚假记载</w:t>
            </w:r>
            <w:r>
              <w:rPr>
                <w:spacing w:val="7"/>
              </w:rPr>
              <w:t>； 未按规定披露</w:t>
            </w:r>
            <w:r>
              <w:rPr>
                <w:b/>
                <w:bCs/>
                <w:spacing w:val="7"/>
              </w:rPr>
              <w:t>关联交易</w:t>
            </w:r>
            <w:r>
              <w:rPr>
                <w:spacing w:val="7"/>
              </w:rPr>
              <w:t>及</w:t>
            </w:r>
            <w:r>
              <w:rPr>
                <w:b/>
                <w:bCs/>
                <w:spacing w:val="7"/>
              </w:rPr>
              <w:t>资</w:t>
            </w:r>
            <w:r>
              <w:rPr>
                <w:b/>
                <w:bCs/>
                <w:spacing w:val="6"/>
              </w:rPr>
              <w:t>金占</w:t>
            </w:r>
            <w:r>
              <w:rPr>
                <w:b/>
                <w:bCs/>
              </w:rPr>
              <w:t xml:space="preserve"> </w:t>
            </w:r>
            <w:r>
              <w:rPr>
                <w:b/>
                <w:bCs/>
                <w:spacing w:val="3"/>
              </w:rPr>
              <w:t>用</w:t>
            </w:r>
            <w:r>
              <w:rPr>
                <w:spacing w:val="3"/>
              </w:rPr>
              <w:t>。</w:t>
            </w:r>
          </w:p>
        </w:tc>
      </w:tr>
      <w:tr>
        <w:trPr>
          <w:trHeight w:val="2965" w:hRule="atLeast"/>
        </w:trPr>
        <w:tc>
          <w:tcPr>
            <w:shd w:val="clear" w:fill="B8CCE4"/>
            <w:tcW w:w="1337"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311"/>
              <w:spacing w:before="86" w:line="179" w:lineRule="auto"/>
              <w:rPr/>
            </w:pPr>
            <w:r>
              <w:rPr>
                <w:spacing w:val="3"/>
              </w:rPr>
              <w:t>300169</w:t>
            </w:r>
          </w:p>
        </w:tc>
        <w:tc>
          <w:tcPr>
            <w:shd w:val="clear" w:fill="B8CCE4"/>
            <w:tcW w:w="1144" w:type="dxa"/>
            <w:vAlign w:val="top"/>
          </w:tcPr>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150"/>
              <w:spacing w:before="86" w:line="189" w:lineRule="auto"/>
              <w:rPr/>
            </w:pPr>
            <w:r>
              <w:rPr>
                <w:spacing w:val="8"/>
              </w:rPr>
              <w:t>天晟新材</w:t>
            </w:r>
          </w:p>
        </w:tc>
        <w:tc>
          <w:tcPr>
            <w:shd w:val="clear" w:fill="B8CCE4"/>
            <w:tcW w:w="1432" w:type="dxa"/>
            <w:vAlign w:val="top"/>
          </w:tcPr>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294"/>
              <w:spacing w:before="86" w:line="188" w:lineRule="auto"/>
              <w:rPr/>
            </w:pPr>
            <w:r>
              <w:rPr>
                <w:spacing w:val="8"/>
              </w:rPr>
              <w:t>通报批评</w:t>
            </w:r>
          </w:p>
        </w:tc>
        <w:tc>
          <w:tcPr>
            <w:shd w:val="clear" w:fill="B8CCE4"/>
            <w:tcW w:w="5093" w:type="dxa"/>
            <w:vAlign w:val="top"/>
          </w:tcPr>
          <w:p>
            <w:pPr>
              <w:pStyle w:val="TableText"/>
              <w:ind w:left="108" w:right="153" w:firstLine="9"/>
              <w:spacing w:before="303" w:line="250" w:lineRule="auto"/>
              <w:jc w:val="both"/>
              <w:rPr/>
            </w:pPr>
            <w:r>
              <w:rPr>
                <w:spacing w:val="9"/>
              </w:rPr>
              <w:t>常州天晟新材料集团股份有限公司为董事长、原实际 </w:t>
            </w:r>
            <w:r>
              <w:rPr>
                <w:spacing w:val="4"/>
              </w:rPr>
              <w:t>控制人控制的晟衍 （上海） 投资管理有限公司向个人</w:t>
            </w:r>
            <w:r>
              <w:rPr>
                <w:spacing w:val="7"/>
              </w:rPr>
              <w:t xml:space="preserve"> </w:t>
            </w:r>
            <w:r>
              <w:rPr>
                <w:spacing w:val="3"/>
              </w:rPr>
              <w:t>借款3,000万元提供</w:t>
            </w:r>
            <w:r>
              <w:rPr>
                <w:b/>
                <w:bCs/>
                <w:spacing w:val="3"/>
              </w:rPr>
              <w:t>担保</w:t>
            </w:r>
            <w:r>
              <w:rPr>
                <w:spacing w:val="3"/>
              </w:rPr>
              <w:t>； 2018年1月16日， 天晟新</w:t>
            </w:r>
            <w:r>
              <w:rPr>
                <w:spacing w:val="7"/>
              </w:rPr>
              <w:t xml:space="preserve">  </w:t>
            </w:r>
            <w:r>
              <w:rPr>
                <w:spacing w:val="6"/>
              </w:rPr>
              <w:t>材将4,700万元定期存单进行质押， 为常州三六九养</w:t>
            </w:r>
            <w:r>
              <w:rPr>
                <w:spacing w:val="2"/>
              </w:rPr>
              <w:t xml:space="preserve">  </w:t>
            </w:r>
            <w:r>
              <w:rPr>
                <w:spacing w:val="9"/>
              </w:rPr>
              <w:t>老投资发展有限公司融资提供</w:t>
            </w:r>
            <w:r>
              <w:rPr>
                <w:b/>
                <w:bCs/>
                <w:spacing w:val="9"/>
              </w:rPr>
              <w:t>担保</w:t>
            </w:r>
            <w:r>
              <w:rPr>
                <w:spacing w:val="9"/>
              </w:rPr>
              <w:t>。天晟新材未就担</w:t>
            </w:r>
            <w:r>
              <w:rPr>
                <w:spacing w:val="16"/>
              </w:rPr>
              <w:t xml:space="preserve"> </w:t>
            </w:r>
            <w:r>
              <w:rPr>
                <w:spacing w:val="7"/>
              </w:rPr>
              <w:t>保事项履行审议程序和信息披露义务， 相关担保</w:t>
            </w:r>
            <w:r>
              <w:rPr>
                <w:spacing w:val="6"/>
              </w:rPr>
              <w:t>分别</w:t>
            </w:r>
            <w:r>
              <w:rPr/>
              <w:t xml:space="preserve"> </w:t>
            </w:r>
            <w:r>
              <w:rPr>
                <w:spacing w:val="5"/>
              </w:rPr>
              <w:t>于2020年6月、</w:t>
            </w:r>
            <w:r>
              <w:rPr>
                <w:spacing w:val="-22"/>
              </w:rPr>
              <w:t xml:space="preserve"> </w:t>
            </w:r>
            <w:r>
              <w:rPr>
                <w:spacing w:val="5"/>
              </w:rPr>
              <w:t>2019年1月解除。</w:t>
            </w:r>
          </w:p>
        </w:tc>
      </w:tr>
    </w:tbl>
    <w:p>
      <w:pPr>
        <w:pStyle w:val="BodyText"/>
        <w:spacing w:line="424" w:lineRule="auto"/>
        <w:rPr/>
      </w:pPr>
      <w:r/>
    </w:p>
    <w:p>
      <w:pPr>
        <w:ind w:left="27"/>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4"/>
        </w:rPr>
        <w:t>（</w:t>
      </w:r>
      <w:r>
        <w:rPr>
          <w:rFonts w:ascii="Microsoft YaHei" w:hAnsi="Microsoft YaHei" w:eastAsia="Microsoft YaHei" w:cs="Microsoft YaHei"/>
          <w:sz w:val="24"/>
          <w:szCs w:val="24"/>
          <w:b/>
          <w:bCs/>
          <w:spacing w:val="24"/>
        </w:rPr>
        <w:t xml:space="preserve"> </w:t>
      </w:r>
      <w:r>
        <w:rPr>
          <w:rFonts w:ascii="Microsoft YaHei" w:hAnsi="Microsoft YaHei" w:eastAsia="Microsoft YaHei" w:cs="Microsoft YaHei"/>
          <w:sz w:val="24"/>
          <w:szCs w:val="24"/>
          <w:b/>
          <w:bCs/>
          <w:spacing w:val="-4"/>
        </w:rPr>
        <w:t>2 ） 函件统计</w:t>
      </w:r>
    </w:p>
    <w:p>
      <w:pPr>
        <w:spacing w:line="192" w:lineRule="exact"/>
        <w:rPr/>
      </w:pPr>
      <w:r/>
    </w:p>
    <w:tbl>
      <w:tblPr>
        <w:tblStyle w:val="TableNormal"/>
        <w:tblW w:w="9404" w:type="dxa"/>
        <w:tblInd w:w="2" w:type="dxa"/>
        <w:tblLayout w:type="fixed"/>
        <w:tblBorders>
          <w:top w:val="single" w:color="78C0D4" w:sz="2" w:space="0"/>
          <w:left w:val="single" w:color="78C0D4" w:sz="2" w:space="0"/>
          <w:bottom w:val="single" w:color="78C0D4" w:sz="2" w:space="0"/>
          <w:right w:val="single" w:color="78C0D4" w:sz="2" w:space="0"/>
          <w:insideH w:val="single" w:color="78C0D4" w:sz="2" w:space="0"/>
          <w:insideV w:val="single" w:color="78C0D4" w:sz="2" w:space="0"/>
        </w:tblBorders>
      </w:tblPr>
      <w:tblGrid>
        <w:gridCol w:w="1415"/>
        <w:gridCol w:w="1144"/>
        <w:gridCol w:w="6845"/>
      </w:tblGrid>
      <w:tr>
        <w:trPr>
          <w:trHeight w:val="607" w:hRule="atLeast"/>
        </w:trPr>
        <w:tc>
          <w:tcPr>
            <w:shd w:val="clear" w:fill="4BACC6"/>
            <w:tcW w:w="1415" w:type="dxa"/>
            <w:vAlign w:val="top"/>
            <w:tcBorders>
              <w:left w:val="nil"/>
              <w:top w:val="nil"/>
              <w:right w:val="single" w:color="92CDDC" w:sz="2" w:space="0"/>
            </w:tcBorders>
          </w:tcPr>
          <w:p>
            <w:pPr>
              <w:pStyle w:val="TableText"/>
              <w:ind w:left="271"/>
              <w:spacing w:before="87" w:line="183" w:lineRule="auto"/>
              <w:rPr>
                <w:sz w:val="22"/>
                <w:szCs w:val="22"/>
              </w:rPr>
            </w:pPr>
            <w:r>
              <w:rPr>
                <w:sz w:val="22"/>
                <w:szCs w:val="22"/>
                <w:b/>
                <w:bCs/>
                <w:color w:val="FFFFFF"/>
                <w:spacing w:val="-1"/>
              </w:rPr>
              <w:t>公司代码</w:t>
            </w:r>
          </w:p>
        </w:tc>
        <w:tc>
          <w:tcPr>
            <w:shd w:val="clear" w:fill="4BACC6"/>
            <w:tcW w:w="1144" w:type="dxa"/>
            <w:vAlign w:val="top"/>
            <w:tcBorders>
              <w:top w:val="nil"/>
              <w:left w:val="single" w:color="92CDDC" w:sz="2" w:space="0"/>
              <w:right w:val="single" w:color="92CDDC" w:sz="2" w:space="0"/>
            </w:tcBorders>
          </w:tcPr>
          <w:p>
            <w:pPr>
              <w:pStyle w:val="TableText"/>
              <w:ind w:left="132"/>
              <w:spacing w:before="87" w:line="183" w:lineRule="auto"/>
              <w:rPr>
                <w:sz w:val="22"/>
                <w:szCs w:val="22"/>
              </w:rPr>
            </w:pPr>
            <w:r>
              <w:rPr>
                <w:sz w:val="22"/>
                <w:szCs w:val="22"/>
                <w:b/>
                <w:bCs/>
                <w:color w:val="FFFFFF"/>
                <w:spacing w:val="-1"/>
              </w:rPr>
              <w:t>公司简称</w:t>
            </w:r>
          </w:p>
        </w:tc>
        <w:tc>
          <w:tcPr>
            <w:shd w:val="clear" w:fill="4BACC6"/>
            <w:tcW w:w="6845" w:type="dxa"/>
            <w:vAlign w:val="top"/>
            <w:tcBorders>
              <w:right w:val="nil"/>
              <w:top w:val="nil"/>
              <w:left w:val="single" w:color="92CDDC" w:sz="2" w:space="0"/>
            </w:tcBorders>
          </w:tcPr>
          <w:p>
            <w:pPr>
              <w:pStyle w:val="TableText"/>
              <w:ind w:left="2990"/>
              <w:spacing w:before="87" w:line="183" w:lineRule="auto"/>
              <w:rPr>
                <w:sz w:val="22"/>
                <w:szCs w:val="22"/>
              </w:rPr>
            </w:pPr>
            <w:r>
              <w:rPr>
                <w:sz w:val="22"/>
                <w:szCs w:val="22"/>
                <w:b/>
                <w:bCs/>
                <w:color w:val="FFFFFF"/>
                <w:spacing w:val="-3"/>
              </w:rPr>
              <w:t>问询类型</w:t>
            </w:r>
          </w:p>
        </w:tc>
      </w:tr>
      <w:tr>
        <w:trPr>
          <w:trHeight w:val="462" w:hRule="atLeast"/>
        </w:trPr>
        <w:tc>
          <w:tcPr>
            <w:tcW w:w="1415" w:type="dxa"/>
            <w:vAlign w:val="top"/>
          </w:tcPr>
          <w:p>
            <w:pPr>
              <w:pStyle w:val="TableText"/>
              <w:ind w:left="345"/>
              <w:spacing w:before="151" w:line="178" w:lineRule="auto"/>
              <w:rPr/>
            </w:pPr>
            <w:r>
              <w:rPr>
                <w:spacing w:val="3"/>
              </w:rPr>
              <w:t>002586</w:t>
            </w:r>
          </w:p>
        </w:tc>
        <w:tc>
          <w:tcPr>
            <w:tcW w:w="1144" w:type="dxa"/>
            <w:vAlign w:val="top"/>
          </w:tcPr>
          <w:p>
            <w:pPr>
              <w:pStyle w:val="TableText"/>
              <w:ind w:left="199"/>
              <w:spacing w:before="136" w:line="189" w:lineRule="auto"/>
              <w:rPr/>
            </w:pPr>
            <w:r>
              <w:rPr>
                <w:spacing w:val="8"/>
              </w:rPr>
              <w:t>*</w:t>
            </w:r>
            <w:r>
              <w:rPr/>
              <w:t>ST</w:t>
            </w:r>
            <w:r>
              <w:rPr>
                <w:spacing w:val="8"/>
              </w:rPr>
              <w:t>围海</w:t>
            </w:r>
          </w:p>
        </w:tc>
        <w:tc>
          <w:tcPr>
            <w:tcW w:w="6845" w:type="dxa"/>
            <w:vAlign w:val="top"/>
          </w:tcPr>
          <w:p>
            <w:pPr>
              <w:pStyle w:val="TableText"/>
              <w:ind w:left="3107"/>
              <w:spacing w:before="136" w:line="189" w:lineRule="auto"/>
              <w:rPr/>
            </w:pPr>
            <w:r>
              <w:rPr>
                <w:spacing w:val="8"/>
              </w:rPr>
              <w:t>关注函</w:t>
            </w:r>
          </w:p>
        </w:tc>
      </w:tr>
      <w:tr>
        <w:trPr>
          <w:trHeight w:val="463" w:hRule="atLeast"/>
        </w:trPr>
        <w:tc>
          <w:tcPr>
            <w:shd w:val="clear" w:fill="C7DAF1"/>
            <w:tcW w:w="1415" w:type="dxa"/>
            <w:vAlign w:val="top"/>
          </w:tcPr>
          <w:p>
            <w:pPr>
              <w:pStyle w:val="TableText"/>
              <w:ind w:left="345"/>
              <w:spacing w:before="150" w:line="179" w:lineRule="auto"/>
              <w:rPr/>
            </w:pPr>
            <w:r>
              <w:rPr>
                <w:spacing w:val="3"/>
              </w:rPr>
              <w:t>000716</w:t>
            </w:r>
          </w:p>
        </w:tc>
        <w:tc>
          <w:tcPr>
            <w:shd w:val="clear" w:fill="C7DAF1"/>
            <w:tcW w:w="1144" w:type="dxa"/>
            <w:vAlign w:val="top"/>
          </w:tcPr>
          <w:p>
            <w:pPr>
              <w:pStyle w:val="TableText"/>
              <w:ind w:left="257"/>
              <w:spacing w:before="137" w:line="189" w:lineRule="auto"/>
              <w:rPr/>
            </w:pPr>
            <w:r>
              <w:rPr>
                <w:spacing w:val="8"/>
              </w:rPr>
              <w:t>黑芝麻</w:t>
            </w:r>
          </w:p>
        </w:tc>
        <w:tc>
          <w:tcPr>
            <w:shd w:val="clear" w:fill="C7DAF1"/>
            <w:tcW w:w="6845" w:type="dxa"/>
            <w:vAlign w:val="top"/>
          </w:tcPr>
          <w:p>
            <w:pPr>
              <w:pStyle w:val="TableText"/>
              <w:ind w:left="2897"/>
              <w:spacing w:before="137" w:line="189" w:lineRule="auto"/>
              <w:rPr/>
            </w:pPr>
            <w:r>
              <w:rPr>
                <w:spacing w:val="8"/>
              </w:rPr>
              <w:t>年报问询函</w:t>
            </w:r>
          </w:p>
        </w:tc>
      </w:tr>
      <w:tr>
        <w:trPr>
          <w:trHeight w:val="463" w:hRule="atLeast"/>
        </w:trPr>
        <w:tc>
          <w:tcPr>
            <w:tcW w:w="1415" w:type="dxa"/>
            <w:vAlign w:val="top"/>
          </w:tcPr>
          <w:p>
            <w:pPr>
              <w:pStyle w:val="TableText"/>
              <w:ind w:left="345"/>
              <w:spacing w:before="150" w:line="178" w:lineRule="auto"/>
              <w:rPr/>
            </w:pPr>
            <w:r>
              <w:rPr>
                <w:spacing w:val="3"/>
              </w:rPr>
              <w:t>000989</w:t>
            </w:r>
          </w:p>
        </w:tc>
        <w:tc>
          <w:tcPr>
            <w:tcW w:w="1144" w:type="dxa"/>
            <w:vAlign w:val="top"/>
          </w:tcPr>
          <w:p>
            <w:pPr>
              <w:pStyle w:val="TableText"/>
              <w:ind w:left="150"/>
              <w:spacing w:before="137" w:line="188" w:lineRule="auto"/>
              <w:rPr/>
            </w:pPr>
            <w:r>
              <w:rPr>
                <w:spacing w:val="5"/>
              </w:rPr>
              <w:t>九</w:t>
            </w:r>
            <w:r>
              <w:rPr>
                <w:spacing w:val="50"/>
              </w:rPr>
              <w:t xml:space="preserve"> </w:t>
            </w:r>
            <w:r>
              <w:rPr>
                <w:spacing w:val="5"/>
              </w:rPr>
              <w:t>芝</w:t>
            </w:r>
            <w:r>
              <w:rPr>
                <w:spacing w:val="53"/>
              </w:rPr>
              <w:t xml:space="preserve"> </w:t>
            </w:r>
            <w:r>
              <w:rPr>
                <w:spacing w:val="5"/>
              </w:rPr>
              <w:t>堂</w:t>
            </w:r>
          </w:p>
        </w:tc>
        <w:tc>
          <w:tcPr>
            <w:tcW w:w="6845" w:type="dxa"/>
            <w:vAlign w:val="top"/>
          </w:tcPr>
          <w:p>
            <w:pPr>
              <w:pStyle w:val="TableText"/>
              <w:ind w:left="3107"/>
              <w:spacing w:before="136" w:line="189" w:lineRule="auto"/>
              <w:rPr/>
            </w:pPr>
            <w:r>
              <w:rPr>
                <w:spacing w:val="8"/>
              </w:rPr>
              <w:t>关注函</w:t>
            </w:r>
          </w:p>
        </w:tc>
      </w:tr>
      <w:tr>
        <w:trPr>
          <w:trHeight w:val="463" w:hRule="atLeast"/>
        </w:trPr>
        <w:tc>
          <w:tcPr>
            <w:shd w:val="clear" w:fill="C7DAF1"/>
            <w:tcW w:w="1415" w:type="dxa"/>
            <w:vAlign w:val="top"/>
          </w:tcPr>
          <w:p>
            <w:pPr>
              <w:pStyle w:val="TableText"/>
              <w:ind w:left="345"/>
              <w:spacing w:before="152" w:line="178" w:lineRule="auto"/>
              <w:rPr/>
            </w:pPr>
            <w:r>
              <w:rPr>
                <w:spacing w:val="3"/>
              </w:rPr>
              <w:t>002247</w:t>
            </w:r>
          </w:p>
        </w:tc>
        <w:tc>
          <w:tcPr>
            <w:shd w:val="clear" w:fill="C7DAF1"/>
            <w:tcW w:w="1144" w:type="dxa"/>
            <w:vAlign w:val="top"/>
          </w:tcPr>
          <w:p>
            <w:pPr>
              <w:pStyle w:val="TableText"/>
              <w:ind w:left="150"/>
              <w:spacing w:before="139" w:line="188" w:lineRule="auto"/>
              <w:rPr/>
            </w:pPr>
            <w:r>
              <w:rPr>
                <w:spacing w:val="8"/>
              </w:rPr>
              <w:t>聚力文化</w:t>
            </w:r>
          </w:p>
        </w:tc>
        <w:tc>
          <w:tcPr>
            <w:shd w:val="clear" w:fill="C7DAF1"/>
            <w:tcW w:w="6845" w:type="dxa"/>
            <w:vAlign w:val="top"/>
          </w:tcPr>
          <w:p>
            <w:pPr>
              <w:pStyle w:val="TableText"/>
              <w:ind w:left="2897"/>
              <w:spacing w:before="137" w:line="189" w:lineRule="auto"/>
              <w:rPr/>
            </w:pPr>
            <w:r>
              <w:rPr>
                <w:spacing w:val="8"/>
              </w:rPr>
              <w:t>年报问询函</w:t>
            </w:r>
          </w:p>
        </w:tc>
      </w:tr>
      <w:tr>
        <w:trPr>
          <w:trHeight w:val="462" w:hRule="atLeast"/>
        </w:trPr>
        <w:tc>
          <w:tcPr>
            <w:tcW w:w="1415" w:type="dxa"/>
            <w:vAlign w:val="top"/>
          </w:tcPr>
          <w:p>
            <w:pPr>
              <w:pStyle w:val="TableText"/>
              <w:ind w:left="345"/>
              <w:spacing w:before="151" w:line="178" w:lineRule="auto"/>
              <w:rPr/>
            </w:pPr>
            <w:r>
              <w:rPr>
                <w:spacing w:val="3"/>
              </w:rPr>
              <w:t>002586</w:t>
            </w:r>
          </w:p>
        </w:tc>
        <w:tc>
          <w:tcPr>
            <w:tcW w:w="1144" w:type="dxa"/>
            <w:vAlign w:val="top"/>
          </w:tcPr>
          <w:p>
            <w:pPr>
              <w:pStyle w:val="TableText"/>
              <w:ind w:left="199"/>
              <w:spacing w:before="136" w:line="189" w:lineRule="auto"/>
              <w:rPr/>
            </w:pPr>
            <w:r>
              <w:rPr>
                <w:spacing w:val="8"/>
              </w:rPr>
              <w:t>*</w:t>
            </w:r>
            <w:r>
              <w:rPr/>
              <w:t>ST</w:t>
            </w:r>
            <w:r>
              <w:rPr>
                <w:spacing w:val="8"/>
              </w:rPr>
              <w:t>围海</w:t>
            </w:r>
          </w:p>
        </w:tc>
        <w:tc>
          <w:tcPr>
            <w:tcW w:w="6845" w:type="dxa"/>
            <w:vAlign w:val="top"/>
          </w:tcPr>
          <w:p>
            <w:pPr>
              <w:pStyle w:val="TableText"/>
              <w:ind w:left="3107"/>
              <w:spacing w:before="136" w:line="189" w:lineRule="auto"/>
              <w:rPr/>
            </w:pPr>
            <w:r>
              <w:rPr>
                <w:spacing w:val="8"/>
              </w:rPr>
              <w:t>关注函</w:t>
            </w:r>
          </w:p>
        </w:tc>
      </w:tr>
      <w:tr>
        <w:trPr>
          <w:trHeight w:val="463" w:hRule="atLeast"/>
        </w:trPr>
        <w:tc>
          <w:tcPr>
            <w:shd w:val="clear" w:fill="C7DAF1"/>
            <w:tcW w:w="1415" w:type="dxa"/>
            <w:vAlign w:val="top"/>
          </w:tcPr>
          <w:p>
            <w:pPr>
              <w:pStyle w:val="TableText"/>
              <w:ind w:left="350"/>
              <w:spacing w:before="154" w:line="178" w:lineRule="auto"/>
              <w:rPr/>
            </w:pPr>
            <w:r>
              <w:rPr>
                <w:spacing w:val="3"/>
              </w:rPr>
              <w:t>300205</w:t>
            </w:r>
          </w:p>
        </w:tc>
        <w:tc>
          <w:tcPr>
            <w:shd w:val="clear" w:fill="C7DAF1"/>
            <w:tcW w:w="1144" w:type="dxa"/>
            <w:vAlign w:val="top"/>
          </w:tcPr>
          <w:p>
            <w:pPr>
              <w:pStyle w:val="TableText"/>
              <w:ind w:left="249"/>
              <w:spacing w:before="142" w:line="187" w:lineRule="auto"/>
              <w:rPr/>
            </w:pPr>
            <w:r>
              <w:rPr/>
              <w:t>ST</w:t>
            </w:r>
            <w:r>
              <w:rPr>
                <w:spacing w:val="8"/>
              </w:rPr>
              <w:t>天喻</w:t>
            </w:r>
          </w:p>
        </w:tc>
        <w:tc>
          <w:tcPr>
            <w:shd w:val="clear" w:fill="C7DAF1"/>
            <w:tcW w:w="6845" w:type="dxa"/>
            <w:vAlign w:val="top"/>
          </w:tcPr>
          <w:p>
            <w:pPr>
              <w:pStyle w:val="TableText"/>
              <w:ind w:left="2897"/>
              <w:spacing w:before="139" w:line="189" w:lineRule="auto"/>
              <w:rPr/>
            </w:pPr>
            <w:r>
              <w:rPr>
                <w:spacing w:val="8"/>
              </w:rPr>
              <w:t>年报问询函</w:t>
            </w:r>
          </w:p>
        </w:tc>
      </w:tr>
      <w:tr>
        <w:trPr>
          <w:trHeight w:val="463" w:hRule="atLeast"/>
        </w:trPr>
        <w:tc>
          <w:tcPr>
            <w:tcW w:w="1415" w:type="dxa"/>
            <w:vAlign w:val="top"/>
          </w:tcPr>
          <w:p>
            <w:pPr>
              <w:pStyle w:val="TableText"/>
              <w:ind w:left="350"/>
              <w:spacing w:before="153" w:line="178" w:lineRule="auto"/>
              <w:rPr/>
            </w:pPr>
            <w:r>
              <w:rPr>
                <w:spacing w:val="3"/>
              </w:rPr>
              <w:t>300280</w:t>
            </w:r>
          </w:p>
        </w:tc>
        <w:tc>
          <w:tcPr>
            <w:tcW w:w="1144" w:type="dxa"/>
            <w:vAlign w:val="top"/>
          </w:tcPr>
          <w:p>
            <w:pPr>
              <w:pStyle w:val="TableText"/>
              <w:ind w:left="152"/>
              <w:spacing w:before="140" w:line="188" w:lineRule="auto"/>
              <w:rPr/>
            </w:pPr>
            <w:r>
              <w:rPr>
                <w:spacing w:val="8"/>
              </w:rPr>
              <w:t>紫天科技</w:t>
            </w:r>
          </w:p>
        </w:tc>
        <w:tc>
          <w:tcPr>
            <w:tcW w:w="6845" w:type="dxa"/>
            <w:vAlign w:val="top"/>
          </w:tcPr>
          <w:p>
            <w:pPr>
              <w:pStyle w:val="TableText"/>
              <w:ind w:left="3107"/>
              <w:spacing w:before="138" w:line="189" w:lineRule="auto"/>
              <w:rPr/>
            </w:pPr>
            <w:r>
              <w:rPr>
                <w:spacing w:val="8"/>
              </w:rPr>
              <w:t>关注函</w:t>
            </w:r>
          </w:p>
        </w:tc>
      </w:tr>
      <w:tr>
        <w:trPr>
          <w:trHeight w:val="463" w:hRule="atLeast"/>
        </w:trPr>
        <w:tc>
          <w:tcPr>
            <w:shd w:val="clear" w:fill="C7DAF1"/>
            <w:tcW w:w="1415" w:type="dxa"/>
            <w:vAlign w:val="top"/>
          </w:tcPr>
          <w:p>
            <w:pPr>
              <w:pStyle w:val="TableText"/>
              <w:ind w:left="350"/>
              <w:spacing w:before="152" w:line="178" w:lineRule="auto"/>
              <w:rPr/>
            </w:pPr>
            <w:r>
              <w:rPr>
                <w:spacing w:val="3"/>
              </w:rPr>
              <w:t>300345</w:t>
            </w:r>
          </w:p>
        </w:tc>
        <w:tc>
          <w:tcPr>
            <w:shd w:val="clear" w:fill="C7DAF1"/>
            <w:tcW w:w="1144" w:type="dxa"/>
            <w:vAlign w:val="top"/>
          </w:tcPr>
          <w:p>
            <w:pPr>
              <w:pStyle w:val="TableText"/>
              <w:ind w:left="151"/>
              <w:spacing w:before="137" w:line="189" w:lineRule="auto"/>
              <w:rPr/>
            </w:pPr>
            <w:r>
              <w:rPr>
                <w:spacing w:val="8"/>
              </w:rPr>
              <w:t>华民股份</w:t>
            </w:r>
          </w:p>
        </w:tc>
        <w:tc>
          <w:tcPr>
            <w:shd w:val="clear" w:fill="C7DAF1"/>
            <w:tcW w:w="6845" w:type="dxa"/>
            <w:vAlign w:val="top"/>
          </w:tcPr>
          <w:p>
            <w:pPr>
              <w:pStyle w:val="TableText"/>
              <w:ind w:left="2897"/>
              <w:spacing w:before="137" w:line="189" w:lineRule="auto"/>
              <w:rPr/>
            </w:pPr>
            <w:r>
              <w:rPr>
                <w:spacing w:val="8"/>
              </w:rPr>
              <w:t>年报问询函</w:t>
            </w:r>
          </w:p>
        </w:tc>
      </w:tr>
      <w:tr>
        <w:trPr>
          <w:trHeight w:val="463" w:hRule="atLeast"/>
        </w:trPr>
        <w:tc>
          <w:tcPr>
            <w:tcW w:w="1415" w:type="dxa"/>
            <w:vAlign w:val="top"/>
          </w:tcPr>
          <w:p>
            <w:pPr>
              <w:pStyle w:val="TableText"/>
              <w:ind w:left="350"/>
              <w:spacing w:before="152" w:line="179" w:lineRule="auto"/>
              <w:rPr/>
            </w:pPr>
            <w:r>
              <w:rPr>
                <w:spacing w:val="3"/>
              </w:rPr>
              <w:t>300617</w:t>
            </w:r>
          </w:p>
        </w:tc>
        <w:tc>
          <w:tcPr>
            <w:tcW w:w="1144" w:type="dxa"/>
            <w:vAlign w:val="top"/>
          </w:tcPr>
          <w:p>
            <w:pPr>
              <w:pStyle w:val="TableText"/>
              <w:ind w:left="151"/>
              <w:spacing w:before="137" w:line="190" w:lineRule="auto"/>
              <w:rPr/>
            </w:pPr>
            <w:r>
              <w:rPr>
                <w:spacing w:val="8"/>
              </w:rPr>
              <w:t>安靠智电</w:t>
            </w:r>
          </w:p>
        </w:tc>
        <w:tc>
          <w:tcPr>
            <w:tcW w:w="6845" w:type="dxa"/>
            <w:vAlign w:val="top"/>
          </w:tcPr>
          <w:p>
            <w:pPr>
              <w:pStyle w:val="TableText"/>
              <w:ind w:left="2897"/>
              <w:spacing w:before="139" w:line="189" w:lineRule="auto"/>
              <w:rPr/>
            </w:pPr>
            <w:r>
              <w:rPr>
                <w:spacing w:val="8"/>
              </w:rPr>
              <w:t>年报问询函</w:t>
            </w:r>
          </w:p>
        </w:tc>
      </w:tr>
      <w:tr>
        <w:trPr>
          <w:trHeight w:val="463" w:hRule="atLeast"/>
        </w:trPr>
        <w:tc>
          <w:tcPr>
            <w:shd w:val="clear" w:fill="C7DAF1"/>
            <w:tcW w:w="1415" w:type="dxa"/>
            <w:vAlign w:val="top"/>
          </w:tcPr>
          <w:p>
            <w:pPr>
              <w:pStyle w:val="TableText"/>
              <w:ind w:left="350"/>
              <w:spacing w:before="153" w:line="178" w:lineRule="auto"/>
              <w:rPr/>
            </w:pPr>
            <w:r>
              <w:rPr>
                <w:spacing w:val="3"/>
              </w:rPr>
              <w:t>300097</w:t>
            </w:r>
          </w:p>
        </w:tc>
        <w:tc>
          <w:tcPr>
            <w:shd w:val="clear" w:fill="C7DAF1"/>
            <w:tcW w:w="1144" w:type="dxa"/>
            <w:vAlign w:val="top"/>
          </w:tcPr>
          <w:p>
            <w:pPr>
              <w:pStyle w:val="TableText"/>
              <w:ind w:left="149"/>
              <w:spacing w:before="138" w:line="189" w:lineRule="auto"/>
              <w:rPr/>
            </w:pPr>
            <w:r>
              <w:rPr>
                <w:spacing w:val="8"/>
              </w:rPr>
              <w:t>智云股份</w:t>
            </w:r>
          </w:p>
        </w:tc>
        <w:tc>
          <w:tcPr>
            <w:shd w:val="clear" w:fill="C7DAF1"/>
            <w:tcW w:w="6845" w:type="dxa"/>
            <w:vAlign w:val="top"/>
          </w:tcPr>
          <w:p>
            <w:pPr>
              <w:pStyle w:val="TableText"/>
              <w:ind w:left="2897"/>
              <w:spacing w:before="138" w:line="189" w:lineRule="auto"/>
              <w:rPr/>
            </w:pPr>
            <w:r>
              <w:rPr>
                <w:spacing w:val="8"/>
              </w:rPr>
              <w:t>年报问询函</w:t>
            </w:r>
          </w:p>
        </w:tc>
      </w:tr>
      <w:tr>
        <w:trPr>
          <w:trHeight w:val="463" w:hRule="atLeast"/>
        </w:trPr>
        <w:tc>
          <w:tcPr>
            <w:tcW w:w="1415" w:type="dxa"/>
            <w:vAlign w:val="top"/>
          </w:tcPr>
          <w:p>
            <w:pPr>
              <w:pStyle w:val="TableText"/>
              <w:ind w:left="350"/>
              <w:spacing w:before="153" w:line="179" w:lineRule="auto"/>
              <w:rPr/>
            </w:pPr>
            <w:r>
              <w:rPr>
                <w:spacing w:val="3"/>
              </w:rPr>
              <w:t>300152</w:t>
            </w:r>
          </w:p>
        </w:tc>
        <w:tc>
          <w:tcPr>
            <w:tcW w:w="1144" w:type="dxa"/>
            <w:vAlign w:val="top"/>
          </w:tcPr>
          <w:p>
            <w:pPr>
              <w:pStyle w:val="TableText"/>
              <w:ind w:left="256"/>
              <w:spacing w:before="139" w:line="189" w:lineRule="auto"/>
              <w:rPr/>
            </w:pPr>
            <w:r>
              <w:rPr>
                <w:spacing w:val="8"/>
              </w:rPr>
              <w:t>新动力</w:t>
            </w:r>
          </w:p>
        </w:tc>
        <w:tc>
          <w:tcPr>
            <w:tcW w:w="6845" w:type="dxa"/>
            <w:vAlign w:val="top"/>
          </w:tcPr>
          <w:p>
            <w:pPr>
              <w:pStyle w:val="TableText"/>
              <w:ind w:left="3107"/>
              <w:spacing w:before="139" w:line="189" w:lineRule="auto"/>
              <w:rPr/>
            </w:pPr>
            <w:r>
              <w:rPr>
                <w:spacing w:val="8"/>
              </w:rPr>
              <w:t>关注函</w:t>
            </w:r>
          </w:p>
        </w:tc>
      </w:tr>
      <w:tr>
        <w:trPr>
          <w:trHeight w:val="465" w:hRule="atLeast"/>
        </w:trPr>
        <w:tc>
          <w:tcPr>
            <w:shd w:val="clear" w:fill="C7DAF1"/>
            <w:tcW w:w="1415" w:type="dxa"/>
            <w:vAlign w:val="top"/>
          </w:tcPr>
          <w:p>
            <w:pPr>
              <w:pStyle w:val="TableText"/>
              <w:ind w:left="350"/>
              <w:spacing w:before="153" w:line="178" w:lineRule="auto"/>
              <w:rPr/>
            </w:pPr>
            <w:r>
              <w:rPr>
                <w:spacing w:val="3"/>
              </w:rPr>
              <w:t>300630</w:t>
            </w:r>
          </w:p>
        </w:tc>
        <w:tc>
          <w:tcPr>
            <w:shd w:val="clear" w:fill="C7DAF1"/>
            <w:tcW w:w="1144" w:type="dxa"/>
            <w:vAlign w:val="top"/>
          </w:tcPr>
          <w:p>
            <w:pPr>
              <w:pStyle w:val="TableText"/>
              <w:ind w:left="152"/>
              <w:spacing w:before="139" w:line="189" w:lineRule="auto"/>
              <w:rPr/>
            </w:pPr>
            <w:r>
              <w:rPr>
                <w:spacing w:val="8"/>
              </w:rPr>
              <w:t>普利制药</w:t>
            </w:r>
          </w:p>
        </w:tc>
        <w:tc>
          <w:tcPr>
            <w:shd w:val="clear" w:fill="C7DAF1"/>
            <w:tcW w:w="6845" w:type="dxa"/>
            <w:vAlign w:val="top"/>
          </w:tcPr>
          <w:p>
            <w:pPr>
              <w:pStyle w:val="TableText"/>
              <w:ind w:left="3107"/>
              <w:spacing w:before="139" w:line="189" w:lineRule="auto"/>
              <w:rPr/>
            </w:pPr>
            <w:r>
              <w:rPr>
                <w:spacing w:val="8"/>
              </w:rPr>
              <w:t>关注函</w:t>
            </w:r>
          </w:p>
        </w:tc>
      </w:tr>
    </w:tbl>
    <w:p>
      <w:pPr>
        <w:pStyle w:val="BodyText"/>
        <w:spacing w:line="14" w:lineRule="auto"/>
        <w:rPr>
          <w:sz w:val="2"/>
        </w:rPr>
      </w:pPr>
      <w:r/>
    </w:p>
    <w:p>
      <w:pPr>
        <w:spacing w:line="14" w:lineRule="auto"/>
        <w:sectPr>
          <w:pgSz w:w="11910" w:h="16840"/>
          <w:pgMar w:top="400" w:right="1195" w:bottom="331" w:left="1305" w:header="0" w:footer="0" w:gutter="0"/>
        </w:sectPr>
        <w:rPr>
          <w:sz w:val="2"/>
          <w:szCs w:val="2"/>
        </w:rPr>
      </w:pPr>
    </w:p>
    <w:tbl>
      <w:tblPr>
        <w:tblStyle w:val="TableNormal"/>
        <w:tblW w:w="9404" w:type="dxa"/>
        <w:tblInd w:w="44" w:type="dxa"/>
        <w:tblLayout w:type="fixed"/>
        <w:tblBorders>
          <w:top w:val="single" w:color="78C0D4" w:sz="2" w:space="0"/>
          <w:left w:val="single" w:color="78C0D4" w:sz="2" w:space="0"/>
          <w:bottom w:val="single" w:color="78C0D4" w:sz="2" w:space="0"/>
          <w:right w:val="single" w:color="78C0D4" w:sz="2" w:space="0"/>
          <w:insideH w:val="single" w:color="78C0D4" w:sz="2" w:space="0"/>
          <w:insideV w:val="single" w:color="78C0D4" w:sz="2" w:space="0"/>
        </w:tblBorders>
      </w:tblPr>
      <w:tblGrid>
        <w:gridCol w:w="1415"/>
        <w:gridCol w:w="1144"/>
        <w:gridCol w:w="6845"/>
      </w:tblGrid>
      <w:tr>
        <w:trPr>
          <w:trHeight w:val="468" w:hRule="atLeast"/>
        </w:trPr>
        <w:tc>
          <w:tcPr>
            <w:tcW w:w="1415" w:type="dxa"/>
            <w:vAlign w:val="top"/>
          </w:tcPr>
          <w:p>
            <w:pPr>
              <w:pStyle w:val="TableText"/>
              <w:ind w:left="350"/>
              <w:spacing w:before="155" w:line="178" w:lineRule="auto"/>
              <w:rPr/>
            </w:pPr>
            <w:r>
              <w:rPr>
                <w:spacing w:val="3"/>
              </w:rPr>
              <w:t>300427</w:t>
            </w:r>
          </w:p>
        </w:tc>
        <w:tc>
          <w:tcPr>
            <w:tcW w:w="1144" w:type="dxa"/>
            <w:vAlign w:val="top"/>
          </w:tcPr>
          <w:p>
            <w:pPr>
              <w:pStyle w:val="TableText"/>
              <w:ind w:left="199"/>
              <w:spacing w:before="140" w:line="189" w:lineRule="auto"/>
              <w:rPr/>
            </w:pPr>
            <w:r>
              <w:rPr>
                <w:spacing w:val="8"/>
              </w:rPr>
              <w:t>*</w:t>
            </w:r>
            <w:r>
              <w:rPr/>
              <w:t>ST</w:t>
            </w:r>
            <w:r>
              <w:rPr>
                <w:spacing w:val="8"/>
              </w:rPr>
              <w:t>红相</w:t>
            </w:r>
          </w:p>
        </w:tc>
        <w:tc>
          <w:tcPr>
            <w:tcW w:w="6845" w:type="dxa"/>
            <w:vAlign w:val="top"/>
          </w:tcPr>
          <w:p>
            <w:pPr>
              <w:pStyle w:val="TableText"/>
              <w:ind w:left="2897"/>
              <w:spacing w:before="141" w:line="189" w:lineRule="auto"/>
              <w:rPr/>
            </w:pPr>
            <w:r>
              <w:rPr>
                <w:spacing w:val="8"/>
              </w:rPr>
              <w:t>年报问询函</w:t>
            </w:r>
          </w:p>
        </w:tc>
      </w:tr>
      <w:tr>
        <w:trPr>
          <w:trHeight w:val="464" w:hRule="atLeast"/>
        </w:trPr>
        <w:tc>
          <w:tcPr>
            <w:shd w:val="clear" w:fill="C7DAF1"/>
            <w:tcW w:w="1415" w:type="dxa"/>
            <w:vAlign w:val="top"/>
          </w:tcPr>
          <w:p>
            <w:pPr>
              <w:pStyle w:val="TableText"/>
              <w:ind w:left="350"/>
              <w:spacing w:before="150" w:line="178" w:lineRule="auto"/>
              <w:rPr/>
            </w:pPr>
            <w:r>
              <w:rPr>
                <w:spacing w:val="3"/>
              </w:rPr>
              <w:t>300270</w:t>
            </w:r>
          </w:p>
        </w:tc>
        <w:tc>
          <w:tcPr>
            <w:shd w:val="clear" w:fill="C7DAF1"/>
            <w:tcW w:w="1144" w:type="dxa"/>
            <w:vAlign w:val="top"/>
          </w:tcPr>
          <w:p>
            <w:pPr>
              <w:pStyle w:val="TableText"/>
              <w:ind w:left="164"/>
              <w:spacing w:before="136" w:line="189" w:lineRule="auto"/>
              <w:rPr/>
            </w:pPr>
            <w:r>
              <w:rPr>
                <w:spacing w:val="5"/>
              </w:rPr>
              <w:t>中威电子</w:t>
            </w:r>
          </w:p>
        </w:tc>
        <w:tc>
          <w:tcPr>
            <w:shd w:val="clear" w:fill="C7DAF1"/>
            <w:tcW w:w="6845" w:type="dxa"/>
            <w:vAlign w:val="top"/>
          </w:tcPr>
          <w:p>
            <w:pPr>
              <w:pStyle w:val="TableText"/>
              <w:ind w:left="2897"/>
              <w:spacing w:before="136" w:line="189" w:lineRule="auto"/>
              <w:rPr/>
            </w:pPr>
            <w:r>
              <w:rPr>
                <w:spacing w:val="8"/>
              </w:rPr>
              <w:t>年报问询函</w:t>
            </w:r>
          </w:p>
        </w:tc>
      </w:tr>
      <w:tr>
        <w:trPr>
          <w:trHeight w:val="463" w:hRule="atLeast"/>
        </w:trPr>
        <w:tc>
          <w:tcPr>
            <w:tcW w:w="1415" w:type="dxa"/>
            <w:vAlign w:val="top"/>
          </w:tcPr>
          <w:p>
            <w:pPr>
              <w:pStyle w:val="TableText"/>
              <w:ind w:left="350"/>
              <w:spacing w:before="150" w:line="179" w:lineRule="auto"/>
              <w:rPr/>
            </w:pPr>
            <w:r>
              <w:rPr>
                <w:spacing w:val="3"/>
              </w:rPr>
              <w:t>301021</w:t>
            </w:r>
          </w:p>
        </w:tc>
        <w:tc>
          <w:tcPr>
            <w:tcW w:w="1144" w:type="dxa"/>
            <w:vAlign w:val="top"/>
          </w:tcPr>
          <w:p>
            <w:pPr>
              <w:pStyle w:val="TableText"/>
              <w:ind w:left="150"/>
              <w:spacing w:before="137" w:line="189" w:lineRule="auto"/>
              <w:rPr/>
            </w:pPr>
            <w:r>
              <w:rPr>
                <w:spacing w:val="8"/>
              </w:rPr>
              <w:t>英诺激光</w:t>
            </w:r>
          </w:p>
        </w:tc>
        <w:tc>
          <w:tcPr>
            <w:tcW w:w="6845" w:type="dxa"/>
            <w:vAlign w:val="top"/>
          </w:tcPr>
          <w:p>
            <w:pPr>
              <w:pStyle w:val="TableText"/>
              <w:ind w:left="2897"/>
              <w:spacing w:before="137" w:line="189" w:lineRule="auto"/>
              <w:rPr/>
            </w:pPr>
            <w:r>
              <w:rPr>
                <w:spacing w:val="8"/>
              </w:rPr>
              <w:t>年报问询函</w:t>
            </w:r>
          </w:p>
        </w:tc>
      </w:tr>
      <w:tr>
        <w:trPr>
          <w:trHeight w:val="464" w:hRule="atLeast"/>
        </w:trPr>
        <w:tc>
          <w:tcPr>
            <w:shd w:val="clear" w:fill="C7DAF1"/>
            <w:tcW w:w="1415" w:type="dxa"/>
            <w:vAlign w:val="top"/>
          </w:tcPr>
          <w:p>
            <w:pPr>
              <w:pStyle w:val="TableText"/>
              <w:ind w:left="350"/>
              <w:spacing w:before="152" w:line="178" w:lineRule="auto"/>
              <w:rPr/>
            </w:pPr>
            <w:r>
              <w:rPr>
                <w:spacing w:val="3"/>
              </w:rPr>
              <w:t>300699</w:t>
            </w:r>
          </w:p>
        </w:tc>
        <w:tc>
          <w:tcPr>
            <w:shd w:val="clear" w:fill="C7DAF1"/>
            <w:tcW w:w="1144" w:type="dxa"/>
            <w:vAlign w:val="top"/>
          </w:tcPr>
          <w:p>
            <w:pPr>
              <w:pStyle w:val="TableText"/>
              <w:ind w:left="149"/>
              <w:spacing w:before="137" w:line="189" w:lineRule="auto"/>
              <w:rPr/>
            </w:pPr>
            <w:r>
              <w:rPr>
                <w:spacing w:val="9"/>
              </w:rPr>
              <w:t>光威复材</w:t>
            </w:r>
          </w:p>
        </w:tc>
        <w:tc>
          <w:tcPr>
            <w:shd w:val="clear" w:fill="C7DAF1"/>
            <w:tcW w:w="6845" w:type="dxa"/>
            <w:vAlign w:val="top"/>
          </w:tcPr>
          <w:p>
            <w:pPr>
              <w:pStyle w:val="TableText"/>
              <w:ind w:left="3107"/>
              <w:spacing w:before="137" w:line="189" w:lineRule="auto"/>
              <w:rPr/>
            </w:pPr>
            <w:r>
              <w:rPr>
                <w:spacing w:val="8"/>
              </w:rPr>
              <w:t>关注函</w:t>
            </w:r>
          </w:p>
        </w:tc>
      </w:tr>
      <w:tr>
        <w:trPr>
          <w:trHeight w:val="463" w:hRule="atLeast"/>
        </w:trPr>
        <w:tc>
          <w:tcPr>
            <w:tcW w:w="1415" w:type="dxa"/>
            <w:vAlign w:val="top"/>
          </w:tcPr>
          <w:p>
            <w:pPr>
              <w:pStyle w:val="TableText"/>
              <w:ind w:left="350"/>
              <w:spacing w:before="151" w:line="178" w:lineRule="auto"/>
              <w:rPr/>
            </w:pPr>
            <w:r>
              <w:rPr>
                <w:spacing w:val="3"/>
              </w:rPr>
              <w:t>300437</w:t>
            </w:r>
          </w:p>
        </w:tc>
        <w:tc>
          <w:tcPr>
            <w:tcW w:w="1144" w:type="dxa"/>
            <w:vAlign w:val="top"/>
          </w:tcPr>
          <w:p>
            <w:pPr>
              <w:pStyle w:val="TableText"/>
              <w:ind w:left="255"/>
              <w:spacing w:before="136" w:line="189" w:lineRule="auto"/>
              <w:rPr/>
            </w:pPr>
            <w:r>
              <w:rPr>
                <w:spacing w:val="8"/>
              </w:rPr>
              <w:t>清水源</w:t>
            </w:r>
          </w:p>
        </w:tc>
        <w:tc>
          <w:tcPr>
            <w:tcW w:w="6845" w:type="dxa"/>
            <w:vAlign w:val="top"/>
          </w:tcPr>
          <w:p>
            <w:pPr>
              <w:pStyle w:val="TableText"/>
              <w:ind w:left="3107"/>
              <w:spacing w:before="136" w:line="189" w:lineRule="auto"/>
              <w:rPr/>
            </w:pPr>
            <w:r>
              <w:rPr>
                <w:spacing w:val="8"/>
              </w:rPr>
              <w:t>关注函</w:t>
            </w:r>
          </w:p>
        </w:tc>
      </w:tr>
      <w:tr>
        <w:trPr>
          <w:trHeight w:val="463" w:hRule="atLeast"/>
        </w:trPr>
        <w:tc>
          <w:tcPr>
            <w:shd w:val="clear" w:fill="C7DAF1"/>
            <w:tcW w:w="1415" w:type="dxa"/>
            <w:vAlign w:val="top"/>
          </w:tcPr>
          <w:p>
            <w:pPr>
              <w:pStyle w:val="TableText"/>
              <w:ind w:left="350"/>
              <w:spacing w:before="152" w:line="179" w:lineRule="auto"/>
              <w:rPr/>
            </w:pPr>
            <w:r>
              <w:rPr>
                <w:spacing w:val="3"/>
              </w:rPr>
              <w:t>301260</w:t>
            </w:r>
          </w:p>
        </w:tc>
        <w:tc>
          <w:tcPr>
            <w:shd w:val="clear" w:fill="C7DAF1"/>
            <w:tcW w:w="1144" w:type="dxa"/>
            <w:vAlign w:val="top"/>
          </w:tcPr>
          <w:p>
            <w:pPr>
              <w:pStyle w:val="TableText"/>
              <w:ind w:left="256"/>
              <w:spacing w:before="138" w:line="189" w:lineRule="auto"/>
              <w:rPr/>
            </w:pPr>
            <w:r>
              <w:rPr>
                <w:spacing w:val="8"/>
              </w:rPr>
              <w:t>格力博</w:t>
            </w:r>
          </w:p>
        </w:tc>
        <w:tc>
          <w:tcPr>
            <w:shd w:val="clear" w:fill="C7DAF1"/>
            <w:tcW w:w="6845" w:type="dxa"/>
            <w:vAlign w:val="top"/>
          </w:tcPr>
          <w:p>
            <w:pPr>
              <w:pStyle w:val="TableText"/>
              <w:ind w:left="2897"/>
              <w:spacing w:before="138" w:line="189" w:lineRule="auto"/>
              <w:rPr/>
            </w:pPr>
            <w:r>
              <w:rPr>
                <w:spacing w:val="8"/>
              </w:rPr>
              <w:t>年报问询函</w:t>
            </w:r>
          </w:p>
        </w:tc>
      </w:tr>
      <w:tr>
        <w:trPr>
          <w:trHeight w:val="464" w:hRule="atLeast"/>
        </w:trPr>
        <w:tc>
          <w:tcPr>
            <w:tcW w:w="1415" w:type="dxa"/>
            <w:vAlign w:val="top"/>
          </w:tcPr>
          <w:p>
            <w:pPr>
              <w:pStyle w:val="TableText"/>
              <w:ind w:left="350"/>
              <w:spacing w:before="152" w:line="179" w:lineRule="auto"/>
              <w:rPr/>
            </w:pPr>
            <w:r>
              <w:rPr>
                <w:spacing w:val="3"/>
              </w:rPr>
              <w:t>300116</w:t>
            </w:r>
          </w:p>
        </w:tc>
        <w:tc>
          <w:tcPr>
            <w:tcW w:w="1144" w:type="dxa"/>
            <w:vAlign w:val="top"/>
          </w:tcPr>
          <w:p>
            <w:pPr>
              <w:pStyle w:val="TableText"/>
              <w:ind w:left="255"/>
              <w:spacing w:before="138" w:line="189" w:lineRule="auto"/>
              <w:rPr/>
            </w:pPr>
            <w:r>
              <w:rPr>
                <w:spacing w:val="8"/>
              </w:rPr>
              <w:t>保力新</w:t>
            </w:r>
          </w:p>
        </w:tc>
        <w:tc>
          <w:tcPr>
            <w:tcW w:w="6845" w:type="dxa"/>
            <w:vAlign w:val="top"/>
          </w:tcPr>
          <w:p>
            <w:pPr>
              <w:pStyle w:val="TableText"/>
              <w:ind w:left="2897"/>
              <w:spacing w:before="138" w:line="189" w:lineRule="auto"/>
              <w:rPr/>
            </w:pPr>
            <w:r>
              <w:rPr>
                <w:spacing w:val="8"/>
              </w:rPr>
              <w:t>年报问询函</w:t>
            </w:r>
          </w:p>
        </w:tc>
      </w:tr>
      <w:tr>
        <w:trPr>
          <w:trHeight w:val="463" w:hRule="atLeast"/>
        </w:trPr>
        <w:tc>
          <w:tcPr>
            <w:shd w:val="clear" w:fill="C7DAF1"/>
            <w:tcW w:w="1415" w:type="dxa"/>
            <w:vAlign w:val="top"/>
          </w:tcPr>
          <w:p>
            <w:pPr>
              <w:pStyle w:val="TableText"/>
              <w:ind w:left="350"/>
              <w:spacing w:before="153" w:line="179" w:lineRule="auto"/>
              <w:rPr/>
            </w:pPr>
            <w:r>
              <w:rPr>
                <w:spacing w:val="3"/>
              </w:rPr>
              <w:t>301155</w:t>
            </w:r>
          </w:p>
        </w:tc>
        <w:tc>
          <w:tcPr>
            <w:shd w:val="clear" w:fill="C7DAF1"/>
            <w:tcW w:w="1144" w:type="dxa"/>
            <w:vAlign w:val="top"/>
          </w:tcPr>
          <w:p>
            <w:pPr>
              <w:pStyle w:val="TableText"/>
              <w:ind w:left="150"/>
              <w:spacing w:before="140" w:line="189" w:lineRule="auto"/>
              <w:rPr/>
            </w:pPr>
            <w:r>
              <w:rPr>
                <w:spacing w:val="8"/>
              </w:rPr>
              <w:t>海力风电</w:t>
            </w:r>
          </w:p>
        </w:tc>
        <w:tc>
          <w:tcPr>
            <w:shd w:val="clear" w:fill="C7DAF1"/>
            <w:tcW w:w="6845" w:type="dxa"/>
            <w:vAlign w:val="top"/>
          </w:tcPr>
          <w:p>
            <w:pPr>
              <w:pStyle w:val="TableText"/>
              <w:ind w:left="2897"/>
              <w:spacing w:before="140" w:line="189" w:lineRule="auto"/>
              <w:rPr/>
            </w:pPr>
            <w:r>
              <w:rPr>
                <w:spacing w:val="8"/>
              </w:rPr>
              <w:t>年报问询函</w:t>
            </w:r>
          </w:p>
        </w:tc>
      </w:tr>
      <w:tr>
        <w:trPr>
          <w:trHeight w:val="468" w:hRule="atLeast"/>
        </w:trPr>
        <w:tc>
          <w:tcPr>
            <w:tcW w:w="1415" w:type="dxa"/>
            <w:vAlign w:val="top"/>
          </w:tcPr>
          <w:p>
            <w:pPr>
              <w:pStyle w:val="TableText"/>
              <w:ind w:left="350"/>
              <w:spacing w:before="153" w:line="179" w:lineRule="auto"/>
              <w:rPr/>
            </w:pPr>
            <w:r>
              <w:rPr>
                <w:spacing w:val="3"/>
              </w:rPr>
              <w:t>300125</w:t>
            </w:r>
          </w:p>
        </w:tc>
        <w:tc>
          <w:tcPr>
            <w:tcW w:w="1144" w:type="dxa"/>
            <w:vAlign w:val="top"/>
          </w:tcPr>
          <w:p>
            <w:pPr>
              <w:pStyle w:val="TableText"/>
              <w:ind w:left="150"/>
              <w:spacing w:before="141" w:line="188" w:lineRule="auto"/>
              <w:rPr/>
            </w:pPr>
            <w:r>
              <w:rPr>
                <w:spacing w:val="8"/>
              </w:rPr>
              <w:t>聆达股份</w:t>
            </w:r>
          </w:p>
        </w:tc>
        <w:tc>
          <w:tcPr>
            <w:tcW w:w="6845" w:type="dxa"/>
            <w:vAlign w:val="top"/>
          </w:tcPr>
          <w:p>
            <w:pPr>
              <w:pStyle w:val="TableText"/>
              <w:ind w:left="3107"/>
              <w:spacing w:before="140" w:line="189" w:lineRule="auto"/>
              <w:rPr/>
            </w:pPr>
            <w:r>
              <w:rPr>
                <w:spacing w:val="8"/>
              </w:rPr>
              <w:t>关注函</w:t>
            </w:r>
          </w:p>
        </w:tc>
      </w:tr>
    </w:tbl>
    <w:p>
      <w:pPr>
        <w:pStyle w:val="BodyText"/>
        <w:spacing w:line="268" w:lineRule="auto"/>
        <w:rPr/>
      </w:pPr>
      <w:r/>
    </w:p>
    <w:p>
      <w:pPr>
        <w:pStyle w:val="BodyText"/>
        <w:spacing w:line="268" w:lineRule="auto"/>
        <w:rPr/>
      </w:pPr>
      <w:r/>
    </w:p>
    <w:p>
      <w:pPr>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2、市场交易监管动态</w:t>
      </w:r>
    </w:p>
    <w:p>
      <w:pPr>
        <w:pStyle w:val="BodyText"/>
        <w:spacing w:line="253" w:lineRule="auto"/>
        <w:rPr/>
      </w:pPr>
      <w:r/>
    </w:p>
    <w:p>
      <w:pPr>
        <w:ind w:left="67" w:firstLine="439"/>
        <w:spacing w:before="94"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8"/>
        </w:rPr>
        <w:t>2024年4月29日-5月5日，</w:t>
      </w:r>
      <w:r>
        <w:rPr>
          <w:rFonts w:ascii="Microsoft YaHei" w:hAnsi="Microsoft YaHei" w:eastAsia="Microsoft YaHei" w:cs="Microsoft YaHei"/>
          <w:sz w:val="22"/>
          <w:szCs w:val="22"/>
          <w:spacing w:val="-13"/>
        </w:rPr>
        <w:t xml:space="preserve"> </w:t>
      </w:r>
      <w:r>
        <w:rPr>
          <w:rFonts w:ascii="Microsoft YaHei" w:hAnsi="Microsoft YaHei" w:eastAsia="Microsoft YaHei" w:cs="Microsoft YaHei"/>
          <w:sz w:val="22"/>
          <w:szCs w:val="22"/>
          <w:spacing w:val="-8"/>
        </w:rPr>
        <w:t>深交所共对65起证券异常交易行为采</w:t>
      </w:r>
      <w:r>
        <w:rPr>
          <w:rFonts w:ascii="Microsoft YaHei" w:hAnsi="Microsoft YaHei" w:eastAsia="Microsoft YaHei" w:cs="Microsoft YaHei"/>
          <w:sz w:val="22"/>
          <w:szCs w:val="22"/>
          <w:spacing w:val="-9"/>
        </w:rPr>
        <w:t>取了自律监管措施，</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9"/>
        </w:rPr>
        <w:t>涉及盘中拉抬打压、</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8"/>
        </w:rPr>
        <w:t>虚假申报等异常交易情形；</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8"/>
        </w:rPr>
        <w:t>对“正丹股份”等涨跌异常证券进行重点监控； 共对2起上市公</w:t>
      </w:r>
      <w:r>
        <w:rPr>
          <w:rFonts w:ascii="Microsoft YaHei" w:hAnsi="Microsoft YaHei" w:eastAsia="Microsoft YaHei" w:cs="Microsoft YaHei"/>
          <w:sz w:val="22"/>
          <w:szCs w:val="22"/>
          <w:spacing w:val="-9"/>
        </w:rPr>
        <w:t>司重大事项进行</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核查。</w:t>
      </w:r>
    </w:p>
    <w:p>
      <w:pPr>
        <w:spacing w:line="184" w:lineRule="auto"/>
        <w:sectPr>
          <w:pgSz w:w="11910" w:h="16840"/>
          <w:pgMar w:top="400" w:right="366" w:bottom="400" w:left="1262" w:header="0" w:footer="0" w:gutter="0"/>
        </w:sectPr>
        <w:rPr>
          <w:rFonts w:ascii="Microsoft YaHei" w:hAnsi="Microsoft YaHei" w:eastAsia="Microsoft YaHei" w:cs="Microsoft YaHei"/>
          <w:sz w:val="22"/>
          <w:szCs w:val="22"/>
        </w:rPr>
      </w:pPr>
    </w:p>
    <w:p>
      <w:pPr>
        <w:pStyle w:val="BodyText"/>
        <w:spacing w:line="244" w:lineRule="auto"/>
        <w:rPr/>
      </w:pPr>
      <w:r/>
    </w:p>
    <w:p>
      <w:pPr>
        <w:spacing w:line="1063" w:lineRule="exact"/>
        <w:rPr/>
      </w:pPr>
      <w:r>
        <w:rPr>
          <w:position w:val="-21"/>
        </w:rPr>
        <w:pict>
          <v:group id="_x0000_s48" style="mso-position-vertical-relative:line;mso-position-horizontal-relative:char;width:164.3pt;height:53.2pt;" filled="false" stroked="false" coordsize="3286,1064" coordorigin="0,0">
            <v:rect id="_x0000_s50" style="position:absolute;left:0;top:0;width:3286;height:1064;" fillcolor="#C00000" filled="true" stroked="false"/>
            <v:shape id="_x0000_s52" style="position:absolute;left:0;top:0;width:3286;height:1064;" filled="false" stroked="false" type="#_x0000_t75">
              <v:imagedata o:title="" r:id="rId18"/>
            </v:shape>
            <v:rect id="_x0000_s54" style="position:absolute;left:237;top:93;width:2673;height:760;" fillcolor="#C00000" filled="true" stroked="false"/>
            <v:shape id="_x0000_s56" style="position:absolute;left:369;top:454;width:2261;height:317;" filled="false" stroked="false" type="#_x0000_t202">
              <v:fill on="false"/>
              <v:stroke on="false"/>
              <v:path/>
              <v:imagedata o:title=""/>
              <o:lock v:ext="edit" aspectratio="false"/>
              <v:textbox inset="0mm,0mm,0mm,0mm">
                <w:txbxContent>
                  <w:p>
                    <w:pPr>
                      <w:ind w:left="20"/>
                      <w:spacing w:before="19"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2"/>
                      </w:rPr>
                      <w:t>股权激励监管动态</w:t>
                    </w:r>
                  </w:p>
                </w:txbxContent>
              </v:textbox>
            </v:shape>
          </v:group>
        </w:pict>
      </w:r>
    </w:p>
    <w:p>
      <w:pPr>
        <w:ind w:left="692"/>
        <w:spacing w:before="256"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8"/>
        </w:rPr>
        <w:t>2024</w:t>
      </w:r>
      <w:r>
        <w:rPr>
          <w:rFonts w:ascii="Microsoft YaHei" w:hAnsi="Microsoft YaHei" w:eastAsia="Microsoft YaHei" w:cs="Microsoft YaHei"/>
          <w:sz w:val="22"/>
          <w:szCs w:val="22"/>
          <w:spacing w:val="-15"/>
        </w:rPr>
        <w:t xml:space="preserve"> </w:t>
      </w:r>
      <w:r>
        <w:rPr>
          <w:rFonts w:ascii="Microsoft YaHei" w:hAnsi="Microsoft YaHei" w:eastAsia="Microsoft YaHei" w:cs="Microsoft YaHei"/>
          <w:sz w:val="22"/>
          <w:szCs w:val="22"/>
          <w:spacing w:val="-8"/>
        </w:rPr>
        <w:t>年</w:t>
      </w:r>
      <w:r>
        <w:rPr>
          <w:rFonts w:ascii="Microsoft YaHei" w:hAnsi="Microsoft YaHei" w:eastAsia="Microsoft YaHei" w:cs="Microsoft YaHei"/>
          <w:sz w:val="22"/>
          <w:szCs w:val="22"/>
          <w:spacing w:val="-16"/>
        </w:rPr>
        <w:t xml:space="preserve"> </w:t>
      </w:r>
      <w:r>
        <w:rPr>
          <w:rFonts w:ascii="Microsoft YaHei" w:hAnsi="Microsoft YaHei" w:eastAsia="Microsoft YaHei" w:cs="Microsoft YaHei"/>
          <w:sz w:val="22"/>
          <w:szCs w:val="22"/>
          <w:spacing w:val="-8"/>
        </w:rPr>
        <w:t>4 月 29</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8"/>
        </w:rPr>
        <w:t>日-5 月 5</w:t>
      </w:r>
      <w:r>
        <w:rPr>
          <w:rFonts w:ascii="Microsoft YaHei" w:hAnsi="Microsoft YaHei" w:eastAsia="Microsoft YaHei" w:cs="Microsoft YaHei"/>
          <w:sz w:val="22"/>
          <w:szCs w:val="22"/>
          <w:spacing w:val="19"/>
        </w:rPr>
        <w:t xml:space="preserve"> </w:t>
      </w:r>
      <w:r>
        <w:rPr>
          <w:rFonts w:ascii="Microsoft YaHei" w:hAnsi="Microsoft YaHei" w:eastAsia="Microsoft YaHei" w:cs="Microsoft YaHei"/>
          <w:sz w:val="22"/>
          <w:szCs w:val="22"/>
          <w:spacing w:val="-8"/>
        </w:rPr>
        <w:t>日， 深交所</w:t>
      </w:r>
      <w:r>
        <w:rPr>
          <w:rFonts w:ascii="Microsoft YaHei" w:hAnsi="Microsoft YaHei" w:eastAsia="Microsoft YaHei" w:cs="Microsoft YaHei"/>
          <w:sz w:val="22"/>
          <w:szCs w:val="22"/>
          <w:spacing w:val="-9"/>
        </w:rPr>
        <w:t>就上市公司股权激励事项共发出 1 份关注函。</w:t>
      </w:r>
    </w:p>
    <w:p>
      <w:pPr>
        <w:spacing w:line="137" w:lineRule="exact"/>
        <w:rPr/>
      </w:pPr>
      <w:r/>
    </w:p>
    <w:tbl>
      <w:tblPr>
        <w:tblStyle w:val="TableNormal"/>
        <w:tblW w:w="9016" w:type="dxa"/>
        <w:tblInd w:w="534"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471"/>
        <w:gridCol w:w="1484"/>
        <w:gridCol w:w="1498"/>
        <w:gridCol w:w="4563"/>
      </w:tblGrid>
      <w:tr>
        <w:trPr>
          <w:trHeight w:val="640" w:hRule="atLeast"/>
        </w:trPr>
        <w:tc>
          <w:tcPr>
            <w:shd w:val="clear" w:fill="4BACC6"/>
            <w:tcW w:w="1471" w:type="dxa"/>
            <w:vAlign w:val="top"/>
          </w:tcPr>
          <w:p>
            <w:pPr>
              <w:pStyle w:val="TableText"/>
              <w:ind w:left="297"/>
              <w:spacing w:before="93" w:line="183" w:lineRule="auto"/>
              <w:rPr>
                <w:sz w:val="22"/>
                <w:szCs w:val="22"/>
              </w:rPr>
            </w:pPr>
            <w:r>
              <w:rPr>
                <w:sz w:val="22"/>
                <w:szCs w:val="22"/>
                <w:b/>
                <w:bCs/>
                <w:color w:val="FFFFFF"/>
                <w:spacing w:val="-1"/>
              </w:rPr>
              <w:t>公司代码</w:t>
            </w:r>
          </w:p>
        </w:tc>
        <w:tc>
          <w:tcPr>
            <w:shd w:val="clear" w:fill="4BACC6"/>
            <w:tcW w:w="1484" w:type="dxa"/>
            <w:vAlign w:val="top"/>
            <w:tcBorders>
              <w:top w:val="nil"/>
            </w:tcBorders>
          </w:tcPr>
          <w:p>
            <w:pPr>
              <w:pStyle w:val="TableText"/>
              <w:ind w:left="302"/>
              <w:spacing w:before="93" w:line="183" w:lineRule="auto"/>
              <w:rPr>
                <w:sz w:val="22"/>
                <w:szCs w:val="22"/>
              </w:rPr>
            </w:pPr>
            <w:r>
              <w:rPr>
                <w:sz w:val="22"/>
                <w:szCs w:val="22"/>
                <w:b/>
                <w:bCs/>
                <w:color w:val="FFFFFF"/>
                <w:spacing w:val="-1"/>
              </w:rPr>
              <w:t>公司简称</w:t>
            </w:r>
          </w:p>
        </w:tc>
        <w:tc>
          <w:tcPr>
            <w:shd w:val="clear" w:fill="4BACC6"/>
            <w:tcW w:w="1498" w:type="dxa"/>
            <w:vAlign w:val="top"/>
            <w:tcBorders>
              <w:top w:val="nil"/>
            </w:tcBorders>
          </w:tcPr>
          <w:p>
            <w:pPr>
              <w:pStyle w:val="TableText"/>
              <w:ind w:left="321"/>
              <w:spacing w:before="93" w:line="183" w:lineRule="auto"/>
              <w:rPr>
                <w:sz w:val="22"/>
                <w:szCs w:val="22"/>
              </w:rPr>
            </w:pPr>
            <w:r>
              <w:rPr>
                <w:sz w:val="22"/>
                <w:szCs w:val="22"/>
                <w:b/>
                <w:bCs/>
                <w:color w:val="FFFFFF"/>
                <w:spacing w:val="-4"/>
              </w:rPr>
              <w:t>函件类别</w:t>
            </w:r>
          </w:p>
        </w:tc>
        <w:tc>
          <w:tcPr>
            <w:shd w:val="clear" w:fill="4BACC6"/>
            <w:tcW w:w="4563" w:type="dxa"/>
            <w:vAlign w:val="top"/>
            <w:tcBorders>
              <w:top w:val="nil"/>
            </w:tcBorders>
          </w:tcPr>
          <w:p>
            <w:pPr>
              <w:pStyle w:val="TableText"/>
              <w:ind w:left="1840"/>
              <w:spacing w:before="91" w:line="184" w:lineRule="auto"/>
              <w:rPr>
                <w:sz w:val="22"/>
                <w:szCs w:val="22"/>
              </w:rPr>
            </w:pPr>
            <w:r>
              <w:rPr>
                <w:sz w:val="22"/>
                <w:szCs w:val="22"/>
                <w:b/>
                <w:bCs/>
                <w:color w:val="FFFFFF"/>
                <w:spacing w:val="-1"/>
              </w:rPr>
              <w:t>关注事项</w:t>
            </w:r>
          </w:p>
        </w:tc>
      </w:tr>
      <w:tr>
        <w:trPr>
          <w:trHeight w:val="10091" w:hRule="atLeast"/>
        </w:trPr>
        <w:tc>
          <w:tcPr>
            <w:tcW w:w="1471"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377"/>
              <w:spacing w:before="86" w:line="178" w:lineRule="auto"/>
              <w:rPr/>
            </w:pPr>
            <w:r>
              <w:rPr>
                <w:spacing w:val="3"/>
              </w:rPr>
              <w:t>300699</w:t>
            </w:r>
          </w:p>
        </w:tc>
        <w:tc>
          <w:tcPr>
            <w:tcW w:w="1484" w:type="dxa"/>
            <w:vAlign w:val="top"/>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318"/>
              <w:spacing w:before="86" w:line="189" w:lineRule="auto"/>
              <w:rPr/>
            </w:pPr>
            <w:r>
              <w:rPr>
                <w:spacing w:val="9"/>
              </w:rPr>
              <w:t>光威复材</w:t>
            </w:r>
          </w:p>
        </w:tc>
        <w:tc>
          <w:tcPr>
            <w:tcW w:w="1498" w:type="dxa"/>
            <w:vAlign w:val="top"/>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435"/>
              <w:spacing w:before="86" w:line="189" w:lineRule="auto"/>
              <w:rPr/>
            </w:pPr>
            <w:r>
              <w:rPr>
                <w:spacing w:val="8"/>
              </w:rPr>
              <w:t>关注函</w:t>
            </w:r>
          </w:p>
        </w:tc>
        <w:tc>
          <w:tcPr>
            <w:tcW w:w="4563" w:type="dxa"/>
            <w:vAlign w:val="top"/>
          </w:tcPr>
          <w:p>
            <w:pPr>
              <w:pStyle w:val="TableText"/>
              <w:ind w:left="106" w:right="255" w:firstLine="20"/>
              <w:spacing w:before="86" w:line="243" w:lineRule="auto"/>
              <w:rPr/>
            </w:pPr>
            <w:r>
              <w:rPr>
                <w:spacing w:val="8"/>
              </w:rPr>
              <w:t>1、请说明公司设定2022年限制性股票激励计</w:t>
            </w:r>
            <w:r>
              <w:rPr/>
              <w:t xml:space="preserve"> </w:t>
            </w:r>
            <w:r>
              <w:rPr>
                <w:spacing w:val="6"/>
              </w:rPr>
              <w:t>划考核指标的具体背景及考量因素， 公司目前</w:t>
            </w:r>
            <w:r>
              <w:rPr>
                <w:spacing w:val="10"/>
              </w:rPr>
              <w:t xml:space="preserve"> </w:t>
            </w:r>
            <w:r>
              <w:rPr>
                <w:spacing w:val="9"/>
              </w:rPr>
              <w:t>生产经营情况、外部经营环境及未来发展战略</w:t>
            </w:r>
            <w:r>
              <w:rPr>
                <w:spacing w:val="15"/>
              </w:rPr>
              <w:t xml:space="preserve"> </w:t>
            </w:r>
            <w:r>
              <w:rPr>
                <w:spacing w:val="6"/>
              </w:rPr>
              <w:t>是否发生重大变化， 在此基础上说明前期公司</w:t>
            </w:r>
            <w:r>
              <w:rPr>
                <w:spacing w:val="10"/>
              </w:rPr>
              <w:t xml:space="preserve"> </w:t>
            </w:r>
            <w:r>
              <w:rPr>
                <w:spacing w:val="6"/>
              </w:rPr>
              <w:t>层面业绩考核指标的设置是否审慎、合理， 是</w:t>
            </w:r>
            <w:r>
              <w:rPr>
                <w:spacing w:val="10"/>
              </w:rPr>
              <w:t xml:space="preserve"> </w:t>
            </w:r>
            <w:r>
              <w:rPr>
                <w:spacing w:val="6"/>
              </w:rPr>
              <w:t>否充分考虑公司战略方针， 是否存在炒作股价</w:t>
            </w:r>
            <w:r>
              <w:rPr>
                <w:spacing w:val="10"/>
              </w:rPr>
              <w:t xml:space="preserve"> </w:t>
            </w:r>
            <w:r>
              <w:rPr>
                <w:spacing w:val="6"/>
              </w:rPr>
              <w:t>等情形。</w:t>
            </w:r>
          </w:p>
          <w:p>
            <w:pPr>
              <w:pStyle w:val="TableText"/>
              <w:ind w:left="105" w:right="130" w:firstLine="11"/>
              <w:spacing w:before="83" w:line="248" w:lineRule="auto"/>
              <w:rPr/>
            </w:pPr>
            <w:r>
              <w:rPr>
                <w:spacing w:val="9"/>
              </w:rPr>
              <w:t>2、公司披露调整公司层面业绩考核指标的原因</w:t>
            </w:r>
            <w:r>
              <w:rPr>
                <w:spacing w:val="3"/>
              </w:rPr>
              <w:t xml:space="preserve"> </w:t>
            </w:r>
            <w:r>
              <w:rPr>
                <w:spacing w:val="9"/>
              </w:rPr>
              <w:t>主要是公司整体经营环境发生较大变化、供应</w:t>
            </w:r>
            <w:r>
              <w:rPr>
                <w:spacing w:val="5"/>
              </w:rPr>
              <w:t xml:space="preserve">   </w:t>
            </w:r>
            <w:r>
              <w:rPr>
                <w:spacing w:val="6"/>
              </w:rPr>
              <w:t>链体系调整、装备业务降价等， 对公司经营业</w:t>
            </w:r>
            <w:r>
              <w:rPr>
                <w:spacing w:val="3"/>
              </w:rPr>
              <w:t xml:space="preserve">   </w:t>
            </w:r>
            <w:r>
              <w:rPr>
                <w:spacing w:val="6"/>
              </w:rPr>
              <w:t>务和经营成果带来较大负面影响， 以及包头碳</w:t>
            </w:r>
            <w:r>
              <w:rPr>
                <w:spacing w:val="3"/>
              </w:rPr>
              <w:t xml:space="preserve">   </w:t>
            </w:r>
            <w:r>
              <w:rPr>
                <w:spacing w:val="9"/>
              </w:rPr>
              <w:t>纤维项目一期工程计划投产运营后可能面临市</w:t>
            </w:r>
            <w:r>
              <w:rPr>
                <w:spacing w:val="5"/>
              </w:rPr>
              <w:t xml:space="preserve">   </w:t>
            </w:r>
            <w:r>
              <w:rPr>
                <w:spacing w:val="9"/>
              </w:rPr>
              <w:t>场价格下降等挑战。请结合公司近三年财务数</w:t>
            </w:r>
            <w:r>
              <w:rPr>
                <w:spacing w:val="5"/>
              </w:rPr>
              <w:t xml:space="preserve">   </w:t>
            </w:r>
            <w:r>
              <w:rPr>
                <w:spacing w:val="9"/>
              </w:rPr>
              <w:t>据及变动情况、实际经营情况、所处行业发展</w:t>
            </w:r>
            <w:r>
              <w:rPr>
                <w:spacing w:val="5"/>
              </w:rPr>
              <w:t xml:space="preserve">   </w:t>
            </w:r>
            <w:r>
              <w:rPr>
                <w:spacing w:val="8"/>
              </w:rPr>
              <w:t>趋势及市场环境、</w:t>
            </w:r>
            <w:r>
              <w:rPr>
                <w:spacing w:val="-24"/>
              </w:rPr>
              <w:t xml:space="preserve"> </w:t>
            </w:r>
            <w:r>
              <w:rPr>
                <w:spacing w:val="8"/>
              </w:rPr>
              <w:t>同行业可比公司情况、经营</w:t>
            </w:r>
            <w:r>
              <w:rPr/>
              <w:t xml:space="preserve">   </w:t>
            </w:r>
            <w:r>
              <w:rPr>
                <w:spacing w:val="6"/>
              </w:rPr>
              <w:t>目标实现进度受影响的具体情况等， 详细说明</w:t>
            </w:r>
            <w:r>
              <w:rPr>
                <w:spacing w:val="3"/>
              </w:rPr>
              <w:t xml:space="preserve">   </w:t>
            </w:r>
            <w:r>
              <w:rPr>
                <w:spacing w:val="9"/>
              </w:rPr>
              <w:t>调整后的2022年限制性股票激励计划公司层面</w:t>
            </w:r>
            <w:r>
              <w:rPr/>
              <w:t xml:space="preserve">  </w:t>
            </w:r>
            <w:r>
              <w:rPr>
                <w:spacing w:val="6"/>
              </w:rPr>
              <w:t>业绩考核指标设定的依据及合理性， 是否符合</w:t>
            </w:r>
            <w:r>
              <w:rPr>
                <w:spacing w:val="3"/>
              </w:rPr>
              <w:t xml:space="preserve">   </w:t>
            </w:r>
            <w:r>
              <w:rPr>
                <w:spacing w:val="6"/>
              </w:rPr>
              <w:t>公司实际生产经营情况， 是否具有充分的激励</w:t>
            </w:r>
            <w:r>
              <w:rPr>
                <w:spacing w:val="3"/>
              </w:rPr>
              <w:t xml:space="preserve">   </w:t>
            </w:r>
            <w:r>
              <w:rPr>
                <w:spacing w:val="3"/>
              </w:rPr>
              <w:t>效果， 是否有利于上市公司的持续发展， 是否   </w:t>
            </w:r>
            <w:r>
              <w:rPr>
                <w:spacing w:val="9"/>
              </w:rPr>
              <w:t>符合《上市公司股权激励管理办法》第五十条</w:t>
            </w:r>
            <w:r>
              <w:rPr>
                <w:spacing w:val="5"/>
              </w:rPr>
              <w:t xml:space="preserve">   </w:t>
            </w:r>
            <w:r>
              <w:rPr>
                <w:spacing w:val="6"/>
              </w:rPr>
              <w:t>的规定。</w:t>
            </w:r>
          </w:p>
          <w:p>
            <w:pPr>
              <w:pStyle w:val="TableText"/>
              <w:ind w:left="107" w:right="130" w:firstLine="12"/>
              <w:spacing w:before="91" w:line="241" w:lineRule="auto"/>
              <w:rPr/>
            </w:pPr>
            <w:r>
              <w:rPr>
                <w:spacing w:val="9"/>
              </w:rPr>
              <w:t>3、请结合本次激励对象任职情况、业绩考核指</w:t>
            </w:r>
            <w:r>
              <w:rPr/>
              <w:t xml:space="preserve"> </w:t>
            </w:r>
            <w:r>
              <w:rPr>
                <w:spacing w:val="6"/>
              </w:rPr>
              <w:t>标设定及调整情况等， 说明公司是否存在降低</w:t>
            </w:r>
            <w:r>
              <w:rPr>
                <w:spacing w:val="3"/>
              </w:rPr>
              <w:t xml:space="preserve">   </w:t>
            </w:r>
            <w:r>
              <w:rPr>
                <w:spacing w:val="9"/>
              </w:rPr>
              <w:t>公司层面业绩考核指标向相关董事和高级管理</w:t>
            </w:r>
            <w:r>
              <w:rPr>
                <w:spacing w:val="4"/>
              </w:rPr>
              <w:t xml:space="preserve">   </w:t>
            </w:r>
            <w:r>
              <w:rPr>
                <w:spacing w:val="6"/>
              </w:rPr>
              <w:t>人员等激励对象变相输送利益的情形， 本次业</w:t>
            </w:r>
            <w:r>
              <w:rPr>
                <w:spacing w:val="3"/>
              </w:rPr>
              <w:t xml:space="preserve">   </w:t>
            </w:r>
            <w:r>
              <w:rPr>
                <w:spacing w:val="9"/>
              </w:rPr>
              <w:t>绩考核指标调整是否损害上市公司利益及中小</w:t>
            </w:r>
            <w:r>
              <w:rPr>
                <w:spacing w:val="4"/>
              </w:rPr>
              <w:t xml:space="preserve">   </w:t>
            </w:r>
            <w:r>
              <w:rPr>
                <w:spacing w:val="7"/>
              </w:rPr>
              <w:t>股东合法权益。</w:t>
            </w:r>
          </w:p>
        </w:tc>
      </w:tr>
    </w:tbl>
    <w:p>
      <w:pPr>
        <w:pStyle w:val="BodyText"/>
        <w:rPr/>
      </w:pPr>
      <w:r/>
    </w:p>
    <w:sectPr>
      <w:pgSz w:w="11910" w:h="16840"/>
      <w:pgMar w:top="400" w:right="1739" w:bottom="400" w:left="616"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drawing>
        <wp:anchor distT="0" distB="0" distL="0" distR="0" simplePos="0" relativeHeight="251658240" behindDoc="1" locked="0" layoutInCell="0" allowOverlap="1">
          <wp:simplePos x="0" y="0"/>
          <wp:positionH relativeFrom="page">
            <wp:posOffset>19811</wp:posOffset>
          </wp:positionH>
          <wp:positionV relativeFrom="page">
            <wp:posOffset>0</wp:posOffset>
          </wp:positionV>
          <wp:extent cx="7543038" cy="7498080"/>
          <wp:effectExtent l="0" t="0" r="0" b="0"/>
          <wp:wrapNone/>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7543038" cy="7498080"/>
                  </a:xfrm>
                  <a:prstGeom prst="rect">
                    <a:avLst/>
                  </a:prstGeom>
                </pic:spPr>
              </pic:pic>
            </a:graphicData>
          </a:graphic>
        </wp:anchor>
      </w:drawing>
    </w: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 w:type="paragraph" w:styleId="TableText">
    <w:name w:val="Table Text"/>
    <w:basedOn w:val="Normal"/>
    <w:semiHidden/>
    <w:qFormat/>
    <w:pPr/>
    <w:rPr>
      <w:rFonts w:ascii="Microsoft YaHei" w:hAnsi="Microsoft YaHei" w:eastAsia="Microsoft YaHei" w:cs="Microsoft YaHei"/>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8.png"/><Relationship Id="rId8" Type="http://schemas.openxmlformats.org/officeDocument/2006/relationships/image" Target="media/image7.jpeg"/><Relationship Id="rId7" Type="http://schemas.openxmlformats.org/officeDocument/2006/relationships/image" Target="media/image6.png"/><Relationship Id="rId6" Type="http://schemas.openxmlformats.org/officeDocument/2006/relationships/image" Target="media/image5.jpeg"/><Relationship Id="rId5" Type="http://schemas.openxmlformats.org/officeDocument/2006/relationships/image" Target="media/image4.png"/><Relationship Id="rId4" Type="http://schemas.openxmlformats.org/officeDocument/2006/relationships/image" Target="media/image3.png"/><Relationship Id="rId3" Type="http://schemas.openxmlformats.org/officeDocument/2006/relationships/image" Target="media/image2.jpeg"/><Relationship Id="rId21" Type="http://schemas.openxmlformats.org/officeDocument/2006/relationships/fontTable" Target="fontTable.xml"/><Relationship Id="rId20" Type="http://schemas.openxmlformats.org/officeDocument/2006/relationships/styles" Target="styles.xml"/><Relationship Id="rId2" Type="http://schemas.openxmlformats.org/officeDocument/2006/relationships/header" Target="header2.xml"/><Relationship Id="rId19" Type="http://schemas.openxmlformats.org/officeDocument/2006/relationships/settings" Target="settings.xml"/><Relationship Id="rId18" Type="http://schemas.openxmlformats.org/officeDocument/2006/relationships/image" Target="media/image16.jpeg"/><Relationship Id="rId17" Type="http://schemas.openxmlformats.org/officeDocument/2006/relationships/image" Target="media/image15.jpeg"/><Relationship Id="rId16" Type="http://schemas.openxmlformats.org/officeDocument/2006/relationships/image" Target="media/image14.jpeg"/><Relationship Id="rId15" Type="http://schemas.openxmlformats.org/officeDocument/2006/relationships/image" Target="media/image13.jpeg"/><Relationship Id="rId14" Type="http://schemas.openxmlformats.org/officeDocument/2006/relationships/footer" Target="footer1.xml"/><Relationship Id="rId13" Type="http://schemas.openxmlformats.org/officeDocument/2006/relationships/image" Target="media/image12.jpeg"/><Relationship Id="rId12" Type="http://schemas.openxmlformats.org/officeDocument/2006/relationships/image" Target="media/image11.png"/><Relationship Id="rId11" Type="http://schemas.openxmlformats.org/officeDocument/2006/relationships/image" Target="media/image10.jpeg"/><Relationship Id="rId10" Type="http://schemas.openxmlformats.org/officeDocument/2006/relationships/image" Target="media/image9.jpeg"/><Relationship Id="rId1"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白尚武</dc:creator>
  <dcterms:created xsi:type="dcterms:W3CDTF">2024-05-06T10:30:30Z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2024-06-03T11:01:01</vt:filetime>
  </property>
</Properties>
</file>