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3" w:lineRule="auto"/>
        <w:rPr/>
      </w:pPr>
      <w:r/>
    </w:p>
    <w:p>
      <w:pPr>
        <w:pStyle w:val="BodyText"/>
        <w:spacing w:line="253" w:lineRule="auto"/>
        <w:rPr/>
      </w:pPr>
      <w:r/>
    </w:p>
    <w:p>
      <w:pPr>
        <w:pStyle w:val="BodyText"/>
        <w:spacing w:line="253" w:lineRule="auto"/>
        <w:rPr/>
      </w:pPr>
      <w:r/>
    </w:p>
    <w:p>
      <w:pPr>
        <w:ind w:left="2584"/>
        <w:spacing w:before="351" w:line="215" w:lineRule="auto"/>
        <w:outlineLvl w:val="0"/>
        <w:rPr>
          <w:rFonts w:ascii="Microsoft YaHei" w:hAnsi="Microsoft YaHei" w:eastAsia="Microsoft YaHei" w:cs="Microsoft YaHei"/>
          <w:sz w:val="82"/>
          <w:szCs w:val="82"/>
        </w:rPr>
      </w:pPr>
      <w:r>
        <w:rPr>
          <w:rFonts w:ascii="Microsoft YaHei" w:hAnsi="Microsoft YaHei" w:eastAsia="Microsoft YaHei" w:cs="Microsoft YaHei"/>
          <w:sz w:val="82"/>
          <w:szCs w:val="82"/>
          <w:b/>
          <w:bCs/>
          <w:color w:val="FFFFFF"/>
          <w:spacing w:val="19"/>
        </w:rPr>
        <w:t>一周法规速递|监管动态</w:t>
      </w:r>
    </w:p>
    <w:p>
      <w:pPr>
        <w:ind w:left="5554"/>
        <w:spacing w:line="183" w:lineRule="auto"/>
        <w:rPr>
          <w:rFonts w:ascii="Microsoft YaHei" w:hAnsi="Microsoft YaHei" w:eastAsia="Microsoft YaHei" w:cs="Microsoft YaHei"/>
          <w:sz w:val="30"/>
          <w:szCs w:val="30"/>
        </w:rPr>
      </w:pPr>
      <w:r>
        <w:rPr>
          <w:rFonts w:ascii="Microsoft YaHei" w:hAnsi="Microsoft YaHei" w:eastAsia="Microsoft YaHei" w:cs="Microsoft YaHei"/>
          <w:sz w:val="30"/>
          <w:szCs w:val="30"/>
          <w:color w:val="FFFFFF"/>
          <w:spacing w:val="-2"/>
        </w:rPr>
        <w:t>2024年4月22日-2024年4月28日</w:t>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ind w:left="3671"/>
        <w:spacing w:before="129" w:line="202"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26"/>
        </w:rPr>
        <w:t>深圳价值在线咨询顾问有限公司</w:t>
      </w:r>
    </w:p>
    <w:p>
      <w:pPr>
        <w:ind w:left="4571"/>
        <w:spacing w:line="187"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11"/>
        </w:rPr>
        <w:t>2024年4月29日</w:t>
      </w:r>
    </w:p>
    <w:p>
      <w:pPr>
        <w:spacing w:line="187" w:lineRule="auto"/>
        <w:sectPr>
          <w:headerReference w:type="default" r:id="rId1"/>
          <w:pgSz w:w="11910" w:h="16840"/>
          <w:pgMar w:top="400" w:right="0" w:bottom="0" w:left="31" w:header="0" w:footer="0" w:gutter="0"/>
        </w:sectPr>
        <w:rPr>
          <w:rFonts w:ascii="Microsoft YaHei" w:hAnsi="Microsoft YaHei" w:eastAsia="Microsoft YaHei" w:cs="Microsoft YaHei"/>
          <w:sz w:val="30"/>
          <w:szCs w:val="30"/>
        </w:rPr>
      </w:pPr>
    </w:p>
    <w:p>
      <w:pPr>
        <w:ind w:left="2629"/>
        <w:spacing w:before="309" w:line="186" w:lineRule="auto"/>
        <w:outlineLvl w:val="0"/>
        <w:rPr>
          <w:rFonts w:ascii="Microsoft YaHei" w:hAnsi="Microsoft YaHei" w:eastAsia="Microsoft YaHei" w:cs="Microsoft YaHei"/>
          <w:sz w:val="42"/>
          <w:szCs w:val="42"/>
        </w:rPr>
      </w:pPr>
      <w:r>
        <w:pict>
          <v:rect id="_x0000_s2" style="position:absolute;margin-left:63.24pt;margin-top:65.76pt;mso-position-vertical-relative:page;mso-position-horizontal-relative:page;width:525.6pt;height:2.65pt;z-index:251659264;" o:allowincell="f" fillcolor="#A61C20" filled="true" stroked="false"/>
        </w:pict>
      </w:r>
      <w:r>
        <w:pict>
          <v:group id="_x0000_s4" style="position:absolute;margin-left:0pt;margin-top:20.04pt;mso-position-vertical-relative:page;mso-position-horizontal-relative:page;width:63.25pt;height:49.25pt;z-index:251658240;" o:allowincell="f" filled="false" stroked="false" coordsize="1265,985" coordorigin="0,0">
            <v:shape id="_x0000_s6" style="position:absolute;left:0;top:0;width:1265;height:985;" fillcolor="#A61C20" filled="true" stroked="false" coordsize="1265,985" coordorigin="0,0" path="m,l1264,0l1264,984l0,984l0,0xe"/>
            <v:shape id="_x0000_s8" style="position:absolute;left:167;top:0;width:876;height:936;" fillcolor="#FFFFFF" filled="true" stroked="false" coordsize="876,936" coordorigin="0,0" path="m439,936m439,936l367,928l300,909l237,878l180,840l127,787l84,729l48,662l21,590l7,513l0,429l7,350l21,271l48,199l84,132l127,74l180,21l213,0l379,0l369,0l307,19l247,52l194,96l148,148l110,208l84,278l64,352l57,429l64,508l84,583l110,652l148,712l194,768l247,808l307,842l369,864l439,868l655,868l640,878l578,909l511,928l439,936xm655,868m655,868l439,868l506,864l571,842l631,808l683,768l729,712l768,652l794,583l813,508l820,429l813,352l794,278l768,208l729,148l683,96l631,52l571,19l506,0l496,0l664,0l698,21l751,74l791,132l828,199l854,271l871,350l876,429l871,513l854,590l828,662l791,729l751,787l698,840l655,868xm439,194m439,194l415,187l396,172l384,148l379,122l384,96l396,74l415,60l439,55l463,60l480,74l492,96l499,122l492,148l480,172l463,187l439,194xm516,374m516,374l465,374l467,374l585,242l623,199l638,194l650,199l655,213l650,228l571,314l530,360l516,374xm446,494m446,494l429,494l410,484l396,468l386,444l386,420l396,398l410,379l429,369l451,367l460,372l463,374l516,374l492,398l444,398l424,403l415,424l417,448l434,463l484,463l475,477l463,487l446,494xm484,463m484,463l434,463l456,456l465,434l463,412l444,398l492,398l490,403l488,404l489,405l492,412l492,417l492,422l492,424l494,424l600,446l633,453l643,458l487,458l484,463xm626,489m626,489l523,468l489,458l643,458l645,463l650,475l643,487l626,489xm439,808m439,808l422,804l407,794l400,777l396,758l400,739l407,722l422,712l439,710l456,712l470,722l480,739l482,758l480,777l470,794l456,804l439,808e"/>
          </v:group>
        </w:pict>
      </w:r>
      <w:r>
        <w:rPr>
          <w:rFonts w:ascii="Microsoft YaHei" w:hAnsi="Microsoft YaHei" w:eastAsia="Microsoft YaHei" w:cs="Microsoft YaHei"/>
          <w:sz w:val="42"/>
          <w:szCs w:val="42"/>
          <w:spacing w:val="20"/>
        </w:rPr>
        <w:t>法规速递</w:t>
      </w:r>
    </w:p>
    <w:p>
      <w:pPr>
        <w:pStyle w:val="BodyText"/>
        <w:spacing w:line="325" w:lineRule="auto"/>
        <w:rPr/>
      </w:pPr>
      <w:r/>
    </w:p>
    <w:p>
      <w:pPr>
        <w:ind w:left="953"/>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1、上海证券交易所证券交易业务指南第4号</w:t>
      </w:r>
      <w:r>
        <w:rPr>
          <w:rFonts w:ascii="Microsoft YaHei" w:hAnsi="Microsoft YaHei" w:eastAsia="Microsoft YaHei" w:cs="Microsoft YaHei"/>
          <w:sz w:val="24"/>
          <w:szCs w:val="24"/>
          <w:b/>
          <w:bCs/>
          <w:color w:val="333333"/>
          <w:spacing w:val="-1"/>
        </w:rPr>
        <w:t>——证券代码段分配指南（2024年第1次修订）</w:t>
      </w:r>
    </w:p>
    <w:p>
      <w:pPr>
        <w:pStyle w:val="BodyText"/>
        <w:spacing w:line="245" w:lineRule="auto"/>
        <w:rPr/>
      </w:pPr>
      <w:r/>
    </w:p>
    <w:p>
      <w:pPr>
        <w:ind w:left="1369"/>
        <w:spacing w:before="95"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各市场参与人：</w:t>
      </w:r>
    </w:p>
    <w:p>
      <w:pPr>
        <w:pStyle w:val="BodyText"/>
        <w:spacing w:line="245" w:lineRule="auto"/>
        <w:rPr/>
      </w:pPr>
      <w:r/>
    </w:p>
    <w:p>
      <w:pPr>
        <w:ind w:left="1373"/>
        <w:spacing w:before="95" w:line="220"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为满足市场发展需要，上海证券交易所（以下简称本所）决定为非公开发行公司债券扩展分配并启用</w:t>
      </w:r>
    </w:p>
    <w:p>
      <w:pPr>
        <w:ind w:left="931" w:right="513" w:firstLine="9"/>
        <w:spacing w:before="1" w:line="221"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255000-257999代码段，并同步对《上海证券交易所证券交易业务指南</w:t>
      </w:r>
      <w:r>
        <w:rPr>
          <w:rFonts w:ascii="Microsoft YaHei" w:hAnsi="Microsoft YaHei" w:eastAsia="Microsoft YaHei" w:cs="Microsoft YaHei"/>
          <w:sz w:val="22"/>
          <w:szCs w:val="22"/>
          <w:spacing w:val="-6"/>
        </w:rPr>
        <w:t>第4号——证券代码段分配指南》进行</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4"/>
        </w:rPr>
        <w:t>修订（2024年第1次）。</w:t>
      </w:r>
    </w:p>
    <w:p>
      <w:pPr>
        <w:ind w:left="948" w:right="372" w:firstLine="422"/>
        <w:spacing w:before="324" w:line="221"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上述业务指南现予发布，并自发布之日起施行。业务指南全文可至本所官方网站（http://www.sse.com.cn</w:t>
      </w:r>
      <w:r>
        <w:rPr>
          <w:rFonts w:ascii="Microsoft YaHei" w:hAnsi="Microsoft YaHei" w:eastAsia="Microsoft YaHei" w:cs="Microsoft YaHei"/>
          <w:sz w:val="22"/>
          <w:szCs w:val="22"/>
          <w:spacing w:val="5"/>
        </w:rPr>
        <w:t xml:space="preserve"> </w:t>
      </w:r>
      <w:r>
        <w:rPr>
          <w:rFonts w:ascii="Microsoft YaHei" w:hAnsi="Microsoft YaHei" w:eastAsia="Microsoft YaHei" w:cs="Microsoft YaHei"/>
          <w:sz w:val="22"/>
          <w:szCs w:val="22"/>
          <w:spacing w:val="-6"/>
        </w:rPr>
        <w:t>）“规则”下的“本所业务指南与流程”栏目查询。请各市场参与人做</w:t>
      </w:r>
      <w:r>
        <w:rPr>
          <w:rFonts w:ascii="Microsoft YaHei" w:hAnsi="Microsoft YaHei" w:eastAsia="Microsoft YaHei" w:cs="Microsoft YaHei"/>
          <w:sz w:val="22"/>
          <w:szCs w:val="22"/>
          <w:spacing w:val="-7"/>
        </w:rPr>
        <w:t>好相关业务准备工作。</w:t>
      </w:r>
    </w:p>
    <w:p>
      <w:pPr>
        <w:pStyle w:val="BodyText"/>
        <w:spacing w:line="327" w:lineRule="auto"/>
        <w:rPr/>
      </w:pPr>
      <w:r/>
    </w:p>
    <w:p>
      <w:pPr>
        <w:pStyle w:val="BodyText"/>
        <w:spacing w:line="328" w:lineRule="auto"/>
        <w:rPr/>
      </w:pPr>
      <w:r/>
    </w:p>
    <w:p>
      <w:pPr>
        <w:ind w:left="9929"/>
        <w:spacing w:before="95" w:line="584" w:lineRule="exac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position w:val="28"/>
        </w:rPr>
        <w:t>上海证券交易所</w:t>
      </w:r>
    </w:p>
    <w:p>
      <w:pPr>
        <w:ind w:left="9785"/>
        <w:spacing w:before="2"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2024年04月22日</w:t>
      </w:r>
    </w:p>
    <w:p>
      <w:pPr>
        <w:pStyle w:val="BodyText"/>
        <w:spacing w:line="317" w:lineRule="auto"/>
        <w:rPr/>
      </w:pPr>
      <w:r/>
    </w:p>
    <w:p>
      <w:pPr>
        <w:pStyle w:val="BodyText"/>
        <w:spacing w:line="318" w:lineRule="auto"/>
        <w:rPr/>
      </w:pPr>
      <w:r/>
    </w:p>
    <w:p>
      <w:pPr>
        <w:ind w:firstLine="4812"/>
        <w:spacing w:before="1" w:line="2784" w:lineRule="exact"/>
        <w:rPr/>
      </w:pPr>
      <w:r>
        <w:rPr>
          <w:position w:val="-55"/>
        </w:rPr>
        <w:drawing>
          <wp:inline distT="0" distB="0" distL="0" distR="0">
            <wp:extent cx="1783079" cy="1767840"/>
            <wp:effectExtent l="0" t="0" r="0" b="0"/>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1783079" cy="1767840"/>
                    </a:xfrm>
                    <a:prstGeom prst="rect">
                      <a:avLst/>
                    </a:prstGeom>
                  </pic:spPr>
                </pic:pic>
              </a:graphicData>
            </a:graphic>
          </wp:inline>
        </w:drawing>
      </w:r>
    </w:p>
    <w:p>
      <w:pPr>
        <w:ind w:left="1533"/>
        <w:spacing w:before="340"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上海证券交易所证券交易业务指南第4号——证券代码段分配指南（202</w:t>
      </w:r>
      <w:r>
        <w:rPr>
          <w:rFonts w:ascii="Microsoft YaHei" w:hAnsi="Microsoft YaHei" w:eastAsia="Microsoft YaHei" w:cs="Microsoft YaHei"/>
          <w:sz w:val="24"/>
          <w:szCs w:val="24"/>
          <w:b/>
          <w:bCs/>
          <w:color w:val="333333"/>
          <w:spacing w:val="-1"/>
        </w:rPr>
        <w:t>4年第1次修订）</w:t>
      </w:r>
    </w:p>
    <w:p>
      <w:pPr>
        <w:spacing w:line="225" w:lineRule="auto"/>
        <w:sectPr>
          <w:headerReference w:type="default" r:id="rId2"/>
          <w:pgSz w:w="11910" w:h="16840"/>
          <w:pgMar w:top="400" w:right="133" w:bottom="0" w:left="0" w:header="0" w:footer="0" w:gutter="0"/>
        </w:sectPr>
        <w:rPr>
          <w:rFonts w:ascii="Microsoft YaHei" w:hAnsi="Microsoft YaHei" w:eastAsia="Microsoft YaHei" w:cs="Microsoft YaHei"/>
          <w:sz w:val="24"/>
          <w:szCs w:val="24"/>
        </w:rPr>
      </w:pPr>
    </w:p>
    <w:p>
      <w:pPr>
        <w:ind w:left="11"/>
        <w:spacing w:before="117"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2、关于持续做好大型企业逾期尚未支付中小企</w:t>
      </w:r>
      <w:r>
        <w:rPr>
          <w:rFonts w:ascii="Microsoft YaHei" w:hAnsi="Microsoft YaHei" w:eastAsia="Microsoft YaHei" w:cs="Microsoft YaHei"/>
          <w:sz w:val="24"/>
          <w:szCs w:val="24"/>
          <w:b/>
          <w:bCs/>
          <w:color w:val="333333"/>
          <w:spacing w:val="-1"/>
        </w:rPr>
        <w:t>业款项的信息披露工作的通知</w:t>
      </w:r>
    </w:p>
    <w:p>
      <w:pPr>
        <w:pStyle w:val="BodyText"/>
        <w:spacing w:line="270" w:lineRule="auto"/>
        <w:rPr/>
      </w:pPr>
      <w:r/>
    </w:p>
    <w:p>
      <w:pPr>
        <w:ind w:left="434"/>
        <w:spacing w:before="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各上市公司：</w:t>
      </w:r>
    </w:p>
    <w:p>
      <w:pPr>
        <w:pStyle w:val="BodyText"/>
        <w:spacing w:line="248" w:lineRule="auto"/>
        <w:rPr/>
      </w:pPr>
      <w:r/>
    </w:p>
    <w:p>
      <w:pPr>
        <w:ind w:right="24" w:firstLine="441"/>
        <w:spacing w:before="94" w:line="217"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为进一步落实《保障中小企业款项支付条例</w:t>
      </w:r>
      <w:r>
        <w:rPr>
          <w:rFonts w:ascii="Microsoft YaHei" w:hAnsi="Microsoft YaHei" w:eastAsia="Microsoft YaHei" w:cs="Microsoft YaHei"/>
          <w:sz w:val="22"/>
          <w:szCs w:val="22"/>
          <w:spacing w:val="-7"/>
        </w:rPr>
        <w:t>》</w:t>
      </w:r>
      <w:r>
        <w:rPr>
          <w:rFonts w:ascii="Microsoft YaHei" w:hAnsi="Microsoft YaHei" w:eastAsia="Microsoft YaHei" w:cs="Microsoft YaHei"/>
          <w:sz w:val="22"/>
          <w:szCs w:val="22"/>
          <w:spacing w:val="-39"/>
        </w:rPr>
        <w:t xml:space="preserve"> </w:t>
      </w:r>
      <w:r>
        <w:rPr>
          <w:rFonts w:ascii="Microsoft YaHei" w:hAnsi="Microsoft YaHei" w:eastAsia="Microsoft YaHei" w:cs="Microsoft YaHei"/>
          <w:sz w:val="22"/>
          <w:szCs w:val="22"/>
          <w:spacing w:val="-7"/>
        </w:rPr>
        <w:t>，防范上市公司拖欠中小企业账款，结合前期向各上市公司发</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布的《关于做好大型企业逾期尚未支付中小企业款项的信息披露工作的通知》，现就关于大型企业逾期尚未支付</w:t>
      </w:r>
      <w:r>
        <w:rPr>
          <w:rFonts w:ascii="Microsoft YaHei" w:hAnsi="Microsoft YaHei" w:eastAsia="Microsoft YaHei" w:cs="Microsoft YaHei"/>
          <w:sz w:val="22"/>
          <w:szCs w:val="22"/>
          <w:spacing w:val="2"/>
        </w:rPr>
        <w:t xml:space="preserve"> </w:t>
      </w:r>
      <w:r>
        <w:rPr>
          <w:rFonts w:ascii="Microsoft YaHei" w:hAnsi="Microsoft YaHei" w:eastAsia="Microsoft YaHei" w:cs="Microsoft YaHei"/>
          <w:sz w:val="22"/>
          <w:szCs w:val="22"/>
          <w:spacing w:val="-6"/>
        </w:rPr>
        <w:t>中小企业款项涉及的信息披露事项通知如下：</w:t>
      </w:r>
    </w:p>
    <w:p>
      <w:pPr>
        <w:pStyle w:val="BodyText"/>
        <w:spacing w:line="275" w:lineRule="auto"/>
        <w:rPr/>
      </w:pPr>
      <w:r/>
    </w:p>
    <w:p>
      <w:pPr>
        <w:pStyle w:val="BodyText"/>
        <w:spacing w:line="275" w:lineRule="auto"/>
        <w:rPr/>
      </w:pPr>
      <w:r/>
    </w:p>
    <w:p>
      <w:pPr>
        <w:pStyle w:val="BodyText"/>
        <w:spacing w:line="275" w:lineRule="auto"/>
        <w:rPr/>
      </w:pPr>
      <w:r/>
    </w:p>
    <w:p>
      <w:pPr>
        <w:ind w:left="8778" w:firstLine="2"/>
        <w:spacing w:before="94" w:line="317"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上市公司管理一部</w:t>
      </w:r>
      <w:r>
        <w:rPr>
          <w:rFonts w:ascii="Microsoft YaHei" w:hAnsi="Microsoft YaHei" w:eastAsia="Microsoft YaHei" w:cs="Microsoft YaHei"/>
          <w:sz w:val="22"/>
          <w:szCs w:val="22"/>
          <w:spacing w:val="4"/>
        </w:rPr>
        <w:t xml:space="preserve"> </w:t>
      </w:r>
      <w:r>
        <w:rPr>
          <w:rFonts w:ascii="Microsoft YaHei" w:hAnsi="Microsoft YaHei" w:eastAsia="Microsoft YaHei" w:cs="Microsoft YaHei"/>
          <w:sz w:val="22"/>
          <w:szCs w:val="22"/>
          <w:spacing w:val="-2"/>
        </w:rPr>
        <w:t>上市公司管理二部</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创业板公司管理部</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2024年4月26日</w:t>
      </w:r>
    </w:p>
    <w:p>
      <w:pPr>
        <w:pStyle w:val="BodyText"/>
        <w:spacing w:line="245" w:lineRule="auto"/>
        <w:rPr/>
      </w:pPr>
      <w:r/>
    </w:p>
    <w:p>
      <w:pPr>
        <w:pStyle w:val="BodyText"/>
        <w:spacing w:line="245" w:lineRule="auto"/>
        <w:rPr/>
      </w:pPr>
      <w:r/>
    </w:p>
    <w:p>
      <w:pPr>
        <w:pStyle w:val="BodyText"/>
        <w:spacing w:line="245" w:lineRule="auto"/>
        <w:rPr/>
      </w:pPr>
      <w:r/>
    </w:p>
    <w:p>
      <w:pPr>
        <w:ind w:firstLine="3841"/>
        <w:spacing w:before="1" w:line="2835" w:lineRule="exact"/>
        <w:rPr/>
      </w:pPr>
      <w:r>
        <w:rPr>
          <w:position w:val="-56"/>
        </w:rPr>
        <w:drawing>
          <wp:inline distT="0" distB="0" distL="0" distR="0">
            <wp:extent cx="1798320" cy="1800352"/>
            <wp:effectExtent l="0" t="0" r="0" b="0"/>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1798320" cy="1800352"/>
                    </a:xfrm>
                    <a:prstGeom prst="rect">
                      <a:avLst/>
                    </a:prstGeom>
                  </pic:spPr>
                </pic:pic>
              </a:graphicData>
            </a:graphic>
          </wp:inline>
        </w:drawing>
      </w:r>
    </w:p>
    <w:p>
      <w:pPr>
        <w:pStyle w:val="BodyText"/>
        <w:spacing w:line="253" w:lineRule="auto"/>
        <w:rPr/>
      </w:pPr>
      <w:r/>
    </w:p>
    <w:p>
      <w:pPr>
        <w:ind w:left="1421"/>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关于持续做好大型企业逾期尚未支付中小企业款项的信息披露</w:t>
      </w:r>
      <w:r>
        <w:rPr>
          <w:rFonts w:ascii="Microsoft YaHei" w:hAnsi="Microsoft YaHei" w:eastAsia="Microsoft YaHei" w:cs="Microsoft YaHei"/>
          <w:sz w:val="24"/>
          <w:szCs w:val="24"/>
          <w:b/>
          <w:bCs/>
          <w:color w:val="333333"/>
          <w:spacing w:val="-1"/>
        </w:rPr>
        <w:t>工作的通知</w:t>
      </w:r>
    </w:p>
    <w:p>
      <w:pPr>
        <w:spacing w:line="183" w:lineRule="auto"/>
        <w:sectPr>
          <w:pgSz w:w="11910" w:h="16840"/>
          <w:pgMar w:top="400" w:right="454" w:bottom="0" w:left="932" w:header="0" w:footer="0" w:gutter="0"/>
        </w:sectPr>
        <w:rPr>
          <w:rFonts w:ascii="Microsoft YaHei" w:hAnsi="Microsoft YaHei" w:eastAsia="Microsoft YaHei" w:cs="Microsoft YaHei"/>
          <w:sz w:val="24"/>
          <w:szCs w:val="24"/>
        </w:rPr>
      </w:pPr>
    </w:p>
    <w:p>
      <w:pPr>
        <w:ind w:left="17"/>
        <w:spacing w:before="67" w:line="225"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3、关于就《证监会系统离职人员入股拟上市企</w:t>
      </w:r>
      <w:r>
        <w:rPr>
          <w:rFonts w:ascii="Microsoft YaHei" w:hAnsi="Microsoft YaHei" w:eastAsia="Microsoft YaHei" w:cs="Microsoft YaHei"/>
          <w:sz w:val="24"/>
          <w:szCs w:val="24"/>
          <w:b/>
          <w:bCs/>
          <w:color w:val="333333"/>
          <w:spacing w:val="-1"/>
        </w:rPr>
        <w:t>业监管规定（试行）》公开征求意见的通知</w:t>
      </w:r>
    </w:p>
    <w:p>
      <w:pPr>
        <w:ind w:right="33" w:firstLine="441"/>
        <w:spacing w:before="305" w:line="217"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为进一步强化证监会系统离职人员入股拟上市企业的监管，证监会在《监管规则适用指引—发行类第2号》</w:t>
      </w:r>
      <w:r>
        <w:rPr>
          <w:rFonts w:ascii="Microsoft YaHei" w:hAnsi="Microsoft YaHei" w:eastAsia="Microsoft YaHei" w:cs="Microsoft YaHei"/>
          <w:sz w:val="22"/>
          <w:szCs w:val="22"/>
          <w:spacing w:val="1"/>
        </w:rPr>
        <w:t xml:space="preserve">  </w:t>
      </w:r>
      <w:r>
        <w:rPr>
          <w:rFonts w:ascii="Microsoft YaHei" w:hAnsi="Microsoft YaHei" w:eastAsia="Microsoft YaHei" w:cs="Microsoft YaHei"/>
          <w:sz w:val="22"/>
          <w:szCs w:val="22"/>
          <w:spacing w:val="-6"/>
        </w:rPr>
        <w:t>基础上，制定《证监会系统离职人员入股拟上市企业监管规定（试行）》，现向社会公开征求意见。公众可通过</w:t>
      </w:r>
      <w:r>
        <w:rPr>
          <w:rFonts w:ascii="Microsoft YaHei" w:hAnsi="Microsoft YaHei" w:eastAsia="Microsoft YaHei" w:cs="Microsoft YaHei"/>
          <w:sz w:val="22"/>
          <w:szCs w:val="22"/>
          <w:spacing w:val="2"/>
        </w:rPr>
        <w:t xml:space="preserve"> </w:t>
      </w:r>
      <w:r>
        <w:rPr>
          <w:rFonts w:ascii="Microsoft YaHei" w:hAnsi="Microsoft YaHei" w:eastAsia="Microsoft YaHei" w:cs="Microsoft YaHei"/>
          <w:sz w:val="22"/>
          <w:szCs w:val="22"/>
          <w:spacing w:val="-6"/>
        </w:rPr>
        <w:t>以下途径和方式提出反馈意见：</w:t>
      </w:r>
    </w:p>
    <w:p>
      <w:pPr>
        <w:pStyle w:val="BodyText"/>
        <w:spacing w:line="276" w:lineRule="auto"/>
        <w:rPr/>
      </w:pPr>
      <w:r/>
    </w:p>
    <w:p>
      <w:pPr>
        <w:pStyle w:val="BodyText"/>
        <w:spacing w:line="277" w:lineRule="auto"/>
        <w:rPr/>
      </w:pPr>
      <w:r/>
    </w:p>
    <w:p>
      <w:pPr>
        <w:pStyle w:val="BodyText"/>
        <w:spacing w:line="277" w:lineRule="auto"/>
        <w:rPr/>
      </w:pPr>
      <w:r/>
    </w:p>
    <w:p>
      <w:pPr>
        <w:spacing w:before="95" w:line="566"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9"/>
          <w:position w:val="27"/>
        </w:rPr>
        <w:t>中</w:t>
      </w:r>
      <w:r>
        <w:rPr>
          <w:rFonts w:ascii="Microsoft YaHei" w:hAnsi="Microsoft YaHei" w:eastAsia="Microsoft YaHei" w:cs="Microsoft YaHei"/>
          <w:sz w:val="22"/>
          <w:szCs w:val="22"/>
          <w:spacing w:val="-8"/>
          <w:position w:val="27"/>
        </w:rPr>
        <w:t>国证监</w:t>
      </w:r>
      <w:r>
        <w:rPr>
          <w:rFonts w:ascii="Microsoft YaHei" w:hAnsi="Microsoft YaHei" w:eastAsia="Microsoft YaHei" w:cs="Microsoft YaHei"/>
          <w:sz w:val="22"/>
          <w:szCs w:val="22"/>
          <w:spacing w:val="-2"/>
          <w:position w:val="27"/>
        </w:rPr>
        <w:t>会</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2024年4月26日</w:t>
      </w:r>
    </w:p>
    <w:p>
      <w:pPr>
        <w:pStyle w:val="BodyText"/>
        <w:spacing w:line="291" w:lineRule="auto"/>
        <w:rPr/>
      </w:pPr>
      <w:r/>
    </w:p>
    <w:p>
      <w:pPr>
        <w:pStyle w:val="BodyText"/>
        <w:spacing w:line="291" w:lineRule="auto"/>
        <w:rPr/>
      </w:pPr>
      <w:r/>
    </w:p>
    <w:p>
      <w:pPr>
        <w:pStyle w:val="BodyText"/>
        <w:spacing w:line="292" w:lineRule="auto"/>
        <w:rPr/>
      </w:pPr>
      <w:r/>
    </w:p>
    <w:p>
      <w:pPr>
        <w:ind w:firstLine="3877"/>
        <w:spacing w:line="2739" w:lineRule="exact"/>
        <w:rPr/>
      </w:pPr>
      <w:r>
        <w:rPr>
          <w:position w:val="-54"/>
        </w:rPr>
        <w:drawing>
          <wp:inline distT="0" distB="0" distL="0" distR="0">
            <wp:extent cx="1744980" cy="1739264"/>
            <wp:effectExtent l="0" t="0" r="0" b="0"/>
            <wp:docPr id="8" name="IM 8"/>
            <wp:cNvGraphicFramePr/>
            <a:graphic>
              <a:graphicData uri="http://schemas.openxmlformats.org/drawingml/2006/picture">
                <pic:pic>
                  <pic:nvPicPr>
                    <pic:cNvPr id="8" name="IM 8"/>
                    <pic:cNvPicPr/>
                  </pic:nvPicPr>
                  <pic:blipFill>
                    <a:blip r:embed="rId5"/>
                    <a:stretch>
                      <a:fillRect/>
                    </a:stretch>
                  </pic:blipFill>
                  <pic:spPr>
                    <a:xfrm rot="0">
                      <a:off x="0" y="0"/>
                      <a:ext cx="1744980" cy="1739264"/>
                    </a:xfrm>
                    <a:prstGeom prst="rect">
                      <a:avLst/>
                    </a:prstGeom>
                  </pic:spPr>
                </pic:pic>
              </a:graphicData>
            </a:graphic>
          </wp:inline>
        </w:drawing>
      </w:r>
    </w:p>
    <w:p>
      <w:pPr>
        <w:ind w:left="701"/>
        <w:spacing w:before="308"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关于就《证监会系统离职人员入股拟上市企业监管规定（试行）》公开征求</w:t>
      </w:r>
      <w:r>
        <w:rPr>
          <w:rFonts w:ascii="Microsoft YaHei" w:hAnsi="Microsoft YaHei" w:eastAsia="Microsoft YaHei" w:cs="Microsoft YaHei"/>
          <w:sz w:val="24"/>
          <w:szCs w:val="24"/>
          <w:b/>
          <w:bCs/>
          <w:color w:val="333333"/>
          <w:spacing w:val="-1"/>
        </w:rPr>
        <w:t>意见的通知</w:t>
      </w:r>
    </w:p>
    <w:p>
      <w:pPr>
        <w:spacing w:line="225" w:lineRule="auto"/>
        <w:sectPr>
          <w:pgSz w:w="11910" w:h="16840"/>
          <w:pgMar w:top="400" w:right="454" w:bottom="0" w:left="931" w:header="0" w:footer="0" w:gutter="0"/>
        </w:sectPr>
        <w:rPr>
          <w:rFonts w:ascii="Microsoft YaHei" w:hAnsi="Microsoft YaHei" w:eastAsia="Microsoft YaHei" w:cs="Microsoft YaHei"/>
          <w:sz w:val="24"/>
          <w:szCs w:val="24"/>
        </w:rPr>
      </w:pPr>
    </w:p>
    <w:p>
      <w:pPr>
        <w:spacing w:before="67" w:line="225"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4、中国证券登记结算有限责任公司深圳分公司证券质押业务表单（2024</w:t>
      </w:r>
      <w:r>
        <w:rPr>
          <w:rFonts w:ascii="Microsoft YaHei" w:hAnsi="Microsoft YaHei" w:eastAsia="Microsoft YaHei" w:cs="Microsoft YaHei"/>
          <w:sz w:val="24"/>
          <w:szCs w:val="24"/>
          <w:b/>
          <w:bCs/>
          <w:color w:val="333333"/>
          <w:spacing w:val="-1"/>
        </w:rPr>
        <w:t>年修订）</w:t>
      </w:r>
    </w:p>
    <w:p>
      <w:pPr>
        <w:pStyle w:val="BodyText"/>
        <w:spacing w:line="249" w:lineRule="auto"/>
        <w:rPr/>
      </w:pPr>
      <w:r/>
    </w:p>
    <w:p>
      <w:pPr>
        <w:ind w:left="434"/>
        <w:spacing w:before="95"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详情请查看附件。</w:t>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3" w:lineRule="auto"/>
        <w:rPr/>
      </w:pPr>
      <w:r/>
    </w:p>
    <w:p>
      <w:pPr>
        <w:pStyle w:val="BodyText"/>
        <w:spacing w:line="253" w:lineRule="auto"/>
        <w:rPr/>
      </w:pPr>
      <w:r/>
    </w:p>
    <w:p>
      <w:pPr>
        <w:pStyle w:val="BodyText"/>
        <w:spacing w:line="253" w:lineRule="auto"/>
        <w:rPr/>
      </w:pPr>
      <w:r/>
    </w:p>
    <w:p>
      <w:pPr>
        <w:pStyle w:val="BodyText"/>
        <w:spacing w:line="253" w:lineRule="auto"/>
        <w:rPr/>
      </w:pPr>
      <w:r/>
    </w:p>
    <w:p>
      <w:pPr>
        <w:spacing w:before="95" w:line="638"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position w:val="32"/>
        </w:rPr>
        <w:t>中国证券登记结算有限责任公司深圳分公司</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2024年04月26日</w:t>
      </w:r>
    </w:p>
    <w:p>
      <w:pPr>
        <w:ind w:firstLine="3826"/>
        <w:spacing w:before="241" w:line="2859" w:lineRule="exact"/>
        <w:rPr/>
      </w:pPr>
      <w:r>
        <w:rPr>
          <w:position w:val="-57"/>
        </w:rPr>
        <w:drawing>
          <wp:inline distT="0" distB="0" distL="0" distR="0">
            <wp:extent cx="1805939" cy="1815972"/>
            <wp:effectExtent l="0" t="0" r="0" b="0"/>
            <wp:docPr id="10" name="IM 10"/>
            <wp:cNvGraphicFramePr/>
            <a:graphic>
              <a:graphicData uri="http://schemas.openxmlformats.org/drawingml/2006/picture">
                <pic:pic>
                  <pic:nvPicPr>
                    <pic:cNvPr id="10" name="IM 10"/>
                    <pic:cNvPicPr/>
                  </pic:nvPicPr>
                  <pic:blipFill>
                    <a:blip r:embed="rId6"/>
                    <a:stretch>
                      <a:fillRect/>
                    </a:stretch>
                  </pic:blipFill>
                  <pic:spPr>
                    <a:xfrm rot="0">
                      <a:off x="0" y="0"/>
                      <a:ext cx="1805939" cy="1815972"/>
                    </a:xfrm>
                    <a:prstGeom prst="rect">
                      <a:avLst/>
                    </a:prstGeom>
                  </pic:spPr>
                </pic:pic>
              </a:graphicData>
            </a:graphic>
          </wp:inline>
        </w:drawing>
      </w:r>
    </w:p>
    <w:p>
      <w:pPr>
        <w:ind w:left="1134"/>
        <w:spacing w:before="307"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中国证券登记结算有限责任公司深圳分公司证券质押业务表单（2024年修订）</w:t>
      </w:r>
    </w:p>
    <w:p>
      <w:pPr>
        <w:spacing w:line="225" w:lineRule="auto"/>
        <w:sectPr>
          <w:pgSz w:w="11910" w:h="16840"/>
          <w:pgMar w:top="400" w:right="454" w:bottom="0" w:left="935" w:header="0" w:footer="0" w:gutter="0"/>
        </w:sectPr>
        <w:rPr>
          <w:rFonts w:ascii="Microsoft YaHei" w:hAnsi="Microsoft YaHei" w:eastAsia="Microsoft YaHei" w:cs="Microsoft YaHei"/>
          <w:sz w:val="24"/>
          <w:szCs w:val="24"/>
        </w:rPr>
      </w:pPr>
    </w:p>
    <w:p>
      <w:pPr>
        <w:spacing w:before="67" w:line="225"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5、中国结算北京分公司投资者业务申请表单（2024年修订）</w:t>
      </w:r>
    </w:p>
    <w:p>
      <w:pPr>
        <w:pStyle w:val="BodyText"/>
        <w:spacing w:line="249" w:lineRule="auto"/>
        <w:rPr/>
      </w:pPr>
      <w:r/>
    </w:p>
    <w:p>
      <w:pPr>
        <w:ind w:left="417"/>
        <w:spacing w:before="95"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详情请查看附件。</w:t>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3" w:lineRule="auto"/>
        <w:rPr/>
      </w:pPr>
      <w:r/>
    </w:p>
    <w:p>
      <w:pPr>
        <w:pStyle w:val="BodyText"/>
        <w:spacing w:line="253" w:lineRule="auto"/>
        <w:rPr/>
      </w:pPr>
      <w:r/>
    </w:p>
    <w:p>
      <w:pPr>
        <w:pStyle w:val="BodyText"/>
        <w:spacing w:line="253" w:lineRule="auto"/>
        <w:rPr/>
      </w:pPr>
      <w:r/>
    </w:p>
    <w:p>
      <w:pPr>
        <w:pStyle w:val="BodyText"/>
        <w:spacing w:line="253" w:lineRule="auto"/>
        <w:rPr/>
      </w:pPr>
      <w:r/>
    </w:p>
    <w:p>
      <w:pPr>
        <w:spacing w:before="95" w:line="638"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position w:val="32"/>
        </w:rPr>
        <w:t>中国证券登记结算有限责任公司北京分公司</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2024年04月26日</w:t>
      </w:r>
    </w:p>
    <w:p>
      <w:pPr>
        <w:ind w:firstLine="3810"/>
        <w:spacing w:before="241" w:line="2883" w:lineRule="exact"/>
        <w:rPr/>
      </w:pPr>
      <w:r>
        <w:rPr>
          <w:position w:val="-57"/>
        </w:rPr>
        <w:drawing>
          <wp:inline distT="0" distB="0" distL="0" distR="0">
            <wp:extent cx="1805939" cy="1831212"/>
            <wp:effectExtent l="0" t="0" r="0" b="0"/>
            <wp:docPr id="12" name="IM 12"/>
            <wp:cNvGraphicFramePr/>
            <a:graphic>
              <a:graphicData uri="http://schemas.openxmlformats.org/drawingml/2006/picture">
                <pic:pic>
                  <pic:nvPicPr>
                    <pic:cNvPr id="12" name="IM 12"/>
                    <pic:cNvPicPr/>
                  </pic:nvPicPr>
                  <pic:blipFill>
                    <a:blip r:embed="rId7"/>
                    <a:stretch>
                      <a:fillRect/>
                    </a:stretch>
                  </pic:blipFill>
                  <pic:spPr>
                    <a:xfrm rot="0">
                      <a:off x="0" y="0"/>
                      <a:ext cx="1805939" cy="1831212"/>
                    </a:xfrm>
                    <a:prstGeom prst="rect">
                      <a:avLst/>
                    </a:prstGeom>
                  </pic:spPr>
                </pic:pic>
              </a:graphicData>
            </a:graphic>
          </wp:inline>
        </w:drawing>
      </w:r>
    </w:p>
    <w:p>
      <w:pPr>
        <w:ind w:left="2197"/>
        <w:spacing w:before="307"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中国结算北京分公司投资者业务申请表单（2024年修订）</w:t>
      </w:r>
    </w:p>
    <w:p>
      <w:pPr>
        <w:spacing w:line="225" w:lineRule="auto"/>
        <w:sectPr>
          <w:pgSz w:w="11910" w:h="16840"/>
          <w:pgMar w:top="400" w:right="454" w:bottom="0" w:left="951" w:header="0" w:footer="0" w:gutter="0"/>
        </w:sectPr>
        <w:rPr>
          <w:rFonts w:ascii="Microsoft YaHei" w:hAnsi="Microsoft YaHei" w:eastAsia="Microsoft YaHei" w:cs="Microsoft YaHei"/>
          <w:sz w:val="24"/>
          <w:szCs w:val="24"/>
        </w:rPr>
      </w:pPr>
    </w:p>
    <w:p>
      <w:pPr>
        <w:spacing w:before="307"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6、中国结算上海分公司投资者业务部业务</w:t>
      </w:r>
      <w:r>
        <w:rPr>
          <w:rFonts w:ascii="Microsoft YaHei" w:hAnsi="Microsoft YaHei" w:eastAsia="Microsoft YaHei" w:cs="Microsoft YaHei"/>
          <w:sz w:val="24"/>
          <w:szCs w:val="24"/>
          <w:b/>
          <w:bCs/>
          <w:color w:val="333333"/>
          <w:spacing w:val="-1"/>
        </w:rPr>
        <w:t>申请表格（2024年修订）</w:t>
      </w:r>
    </w:p>
    <w:p>
      <w:pPr>
        <w:pStyle w:val="BodyText"/>
        <w:spacing w:line="249" w:lineRule="auto"/>
        <w:rPr/>
      </w:pPr>
      <w:r/>
    </w:p>
    <w:p>
      <w:pPr>
        <w:ind w:left="427"/>
        <w:spacing w:before="95"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详情请查看附件。</w:t>
      </w:r>
    </w:p>
    <w:p>
      <w:pPr>
        <w:pStyle w:val="BodyText"/>
        <w:spacing w:line="280" w:lineRule="auto"/>
        <w:rPr/>
      </w:pPr>
      <w:r/>
    </w:p>
    <w:p>
      <w:pPr>
        <w:pStyle w:val="BodyText"/>
        <w:spacing w:line="281" w:lineRule="auto"/>
        <w:rPr/>
      </w:pPr>
      <w:r/>
    </w:p>
    <w:p>
      <w:pPr>
        <w:pStyle w:val="BodyText"/>
        <w:spacing w:line="281" w:lineRule="auto"/>
        <w:rPr/>
      </w:pPr>
      <w:r/>
    </w:p>
    <w:p>
      <w:pPr>
        <w:spacing w:before="94" w:line="639"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position w:val="32"/>
        </w:rPr>
        <w:t>中国证券登记结算有限责任公司上海分公司</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2024年04月26日</w:t>
      </w:r>
    </w:p>
    <w:p>
      <w:pPr>
        <w:pStyle w:val="BodyText"/>
        <w:spacing w:line="301" w:lineRule="auto"/>
        <w:rPr/>
      </w:pPr>
      <w:r/>
    </w:p>
    <w:p>
      <w:pPr>
        <w:pStyle w:val="BodyText"/>
        <w:spacing w:line="302" w:lineRule="auto"/>
        <w:rPr/>
      </w:pPr>
      <w:r/>
    </w:p>
    <w:p>
      <w:pPr>
        <w:pStyle w:val="BodyText"/>
        <w:spacing w:line="302" w:lineRule="auto"/>
        <w:rPr/>
      </w:pPr>
      <w:r/>
    </w:p>
    <w:p>
      <w:pPr>
        <w:ind w:firstLine="3843"/>
        <w:spacing w:line="2791" w:lineRule="exact"/>
        <w:rPr/>
      </w:pPr>
      <w:r>
        <w:rPr>
          <w:position w:val="-55"/>
        </w:rPr>
        <w:drawing>
          <wp:inline distT="0" distB="0" distL="0" distR="0">
            <wp:extent cx="1783079" cy="1772793"/>
            <wp:effectExtent l="0" t="0" r="0" b="0"/>
            <wp:docPr id="14" name="IM 14"/>
            <wp:cNvGraphicFramePr/>
            <a:graphic>
              <a:graphicData uri="http://schemas.openxmlformats.org/drawingml/2006/picture">
                <pic:pic>
                  <pic:nvPicPr>
                    <pic:cNvPr id="14" name="IM 14"/>
                    <pic:cNvPicPr/>
                  </pic:nvPicPr>
                  <pic:blipFill>
                    <a:blip r:embed="rId8"/>
                    <a:stretch>
                      <a:fillRect/>
                    </a:stretch>
                  </pic:blipFill>
                  <pic:spPr>
                    <a:xfrm rot="0">
                      <a:off x="0" y="0"/>
                      <a:ext cx="1783079" cy="1772793"/>
                    </a:xfrm>
                    <a:prstGeom prst="rect">
                      <a:avLst/>
                    </a:prstGeom>
                  </pic:spPr>
                </pic:pic>
              </a:graphicData>
            </a:graphic>
          </wp:inline>
        </w:drawing>
      </w:r>
    </w:p>
    <w:p>
      <w:pPr>
        <w:ind w:left="1847"/>
        <w:spacing w:before="308"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中国结算上海分公司投资者业务部业务申请表格（2024年修订）</w:t>
      </w:r>
    </w:p>
    <w:p>
      <w:pPr>
        <w:spacing w:line="225" w:lineRule="auto"/>
        <w:sectPr>
          <w:pgSz w:w="11910" w:h="16840"/>
          <w:pgMar w:top="400" w:right="454" w:bottom="0" w:left="941" w:header="0" w:footer="0" w:gutter="0"/>
        </w:sectPr>
        <w:rPr>
          <w:rFonts w:ascii="Microsoft YaHei" w:hAnsi="Microsoft YaHei" w:eastAsia="Microsoft YaHei" w:cs="Microsoft YaHei"/>
          <w:sz w:val="24"/>
          <w:szCs w:val="24"/>
        </w:rPr>
      </w:pPr>
    </w:p>
    <w:p>
      <w:pPr>
        <w:ind w:left="8"/>
        <w:spacing w:before="307"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7、中华人民共和国进出口税则（2024年4月修订）</w:t>
      </w:r>
    </w:p>
    <w:p>
      <w:pPr>
        <w:ind w:right="43" w:firstLine="452"/>
        <w:spacing w:before="303" w:line="22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中华人民共和国关税法》已由中华人民共和国第十四届全国人民代表大会常务委员会第九次会议于2024</w:t>
      </w:r>
      <w:r>
        <w:rPr>
          <w:rFonts w:ascii="Microsoft YaHei" w:hAnsi="Microsoft YaHei" w:eastAsia="Microsoft YaHei" w:cs="Microsoft YaHei"/>
          <w:sz w:val="22"/>
          <w:szCs w:val="22"/>
          <w:spacing w:val="-7"/>
        </w:rPr>
        <w:t>年4</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月26日通过。现将《中华人民共和国关税法</w:t>
      </w:r>
      <w:r>
        <w:rPr>
          <w:rFonts w:ascii="Microsoft YaHei" w:hAnsi="Microsoft YaHei" w:eastAsia="Microsoft YaHei" w:cs="Microsoft YaHei"/>
          <w:sz w:val="22"/>
          <w:szCs w:val="22"/>
          <w:spacing w:val="-6"/>
        </w:rPr>
        <w:t>》所附《中华人民共和国进出口税则》予以发布，与《中华人民共   </w:t>
      </w:r>
      <w:r>
        <w:rPr>
          <w:rFonts w:ascii="Microsoft YaHei" w:hAnsi="Microsoft YaHei" w:eastAsia="Microsoft YaHei" w:cs="Microsoft YaHei"/>
          <w:sz w:val="22"/>
          <w:szCs w:val="22"/>
          <w:spacing w:val="-6"/>
        </w:rPr>
        <w:t>和国关税法》同步施行。</w:t>
      </w:r>
    </w:p>
    <w:p>
      <w:pPr>
        <w:pStyle w:val="BodyText"/>
        <w:spacing w:line="260" w:lineRule="auto"/>
        <w:rPr/>
      </w:pPr>
      <w:r/>
    </w:p>
    <w:p>
      <w:pPr>
        <w:spacing w:before="94" w:line="670"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9"/>
          <w:position w:val="35"/>
        </w:rPr>
        <w:t>国务院关税税</w:t>
      </w:r>
      <w:r>
        <w:rPr>
          <w:rFonts w:ascii="Microsoft YaHei" w:hAnsi="Microsoft YaHei" w:eastAsia="Microsoft YaHei" w:cs="Microsoft YaHei"/>
          <w:sz w:val="22"/>
          <w:szCs w:val="22"/>
          <w:spacing w:val="-8"/>
          <w:position w:val="35"/>
        </w:rPr>
        <w:t>则委员</w:t>
      </w:r>
      <w:r>
        <w:rPr>
          <w:rFonts w:ascii="Microsoft YaHei" w:hAnsi="Microsoft YaHei" w:eastAsia="Microsoft YaHei" w:cs="Microsoft YaHei"/>
          <w:sz w:val="22"/>
          <w:szCs w:val="22"/>
          <w:spacing w:val="-2"/>
          <w:position w:val="35"/>
        </w:rPr>
        <w:t>会</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2024年4月26日</w:t>
      </w:r>
    </w:p>
    <w:p>
      <w:pPr>
        <w:pStyle w:val="BodyText"/>
        <w:spacing w:line="306" w:lineRule="auto"/>
        <w:rPr/>
      </w:pPr>
      <w:r/>
    </w:p>
    <w:p>
      <w:pPr>
        <w:pStyle w:val="BodyText"/>
        <w:spacing w:line="306" w:lineRule="auto"/>
        <w:rPr/>
      </w:pPr>
      <w:r/>
    </w:p>
    <w:p>
      <w:pPr>
        <w:pStyle w:val="BodyText"/>
        <w:spacing w:line="307" w:lineRule="auto"/>
        <w:rPr/>
      </w:pPr>
      <w:r/>
    </w:p>
    <w:p>
      <w:pPr>
        <w:ind w:firstLine="3842"/>
        <w:spacing w:line="2810" w:lineRule="exact"/>
        <w:rPr/>
      </w:pPr>
      <w:r>
        <w:rPr>
          <w:position w:val="-56"/>
        </w:rPr>
        <w:drawing>
          <wp:inline distT="0" distB="0" distL="0" distR="0">
            <wp:extent cx="1790699" cy="1784604"/>
            <wp:effectExtent l="0" t="0" r="0" b="0"/>
            <wp:docPr id="16" name="IM 16"/>
            <wp:cNvGraphicFramePr/>
            <a:graphic>
              <a:graphicData uri="http://schemas.openxmlformats.org/drawingml/2006/picture">
                <pic:pic>
                  <pic:nvPicPr>
                    <pic:cNvPr id="16" name="IM 16"/>
                    <pic:cNvPicPr/>
                  </pic:nvPicPr>
                  <pic:blipFill>
                    <a:blip r:embed="rId9"/>
                    <a:stretch>
                      <a:fillRect/>
                    </a:stretch>
                  </pic:blipFill>
                  <pic:spPr>
                    <a:xfrm rot="0">
                      <a:off x="0" y="0"/>
                      <a:ext cx="1790699" cy="1784604"/>
                    </a:xfrm>
                    <a:prstGeom prst="rect">
                      <a:avLst/>
                    </a:prstGeom>
                  </pic:spPr>
                </pic:pic>
              </a:graphicData>
            </a:graphic>
          </wp:inline>
        </w:drawing>
      </w:r>
    </w:p>
    <w:p>
      <w:pPr>
        <w:ind w:left="2743"/>
        <w:spacing w:before="309"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中华人民共和国进出口税则（2024年4月修订）</w:t>
      </w:r>
    </w:p>
    <w:p>
      <w:pPr>
        <w:spacing w:line="225" w:lineRule="auto"/>
        <w:sectPr>
          <w:pgSz w:w="11910" w:h="16840"/>
          <w:pgMar w:top="400" w:right="452" w:bottom="0" w:left="931" w:header="0" w:footer="0" w:gutter="0"/>
        </w:sectPr>
        <w:rPr>
          <w:rFonts w:ascii="Microsoft YaHei" w:hAnsi="Microsoft YaHei" w:eastAsia="Microsoft YaHei" w:cs="Microsoft YaHei"/>
          <w:sz w:val="24"/>
          <w:szCs w:val="24"/>
        </w:rPr>
      </w:pPr>
    </w:p>
    <w:p>
      <w:pPr>
        <w:ind w:left="5"/>
        <w:spacing w:before="306" w:line="22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8、《中华人民共和国关税法》</w:t>
      </w:r>
    </w:p>
    <w:p>
      <w:pPr>
        <w:ind w:right="165" w:firstLine="430"/>
        <w:spacing w:before="295" w:line="216"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《中华人民共和国关税法》已由中华人民共</w:t>
      </w:r>
      <w:r>
        <w:rPr>
          <w:rFonts w:ascii="Microsoft YaHei" w:hAnsi="Microsoft YaHei" w:eastAsia="Microsoft YaHei" w:cs="Microsoft YaHei"/>
          <w:sz w:val="22"/>
          <w:szCs w:val="22"/>
          <w:spacing w:val="-6"/>
        </w:rPr>
        <w:t>和国第十四届全国人民代表大会常务委员会第九次会议于2024</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年4月26日通过，现予公布，自2024年12月1日起施行。</w:t>
      </w:r>
    </w:p>
    <w:p>
      <w:pPr>
        <w:pStyle w:val="BodyText"/>
        <w:spacing w:line="318" w:lineRule="auto"/>
        <w:rPr/>
      </w:pPr>
      <w:r/>
    </w:p>
    <w:p>
      <w:pPr>
        <w:pStyle w:val="BodyText"/>
        <w:spacing w:line="318" w:lineRule="auto"/>
        <w:rPr/>
      </w:pPr>
      <w:r/>
    </w:p>
    <w:p>
      <w:pPr>
        <w:pStyle w:val="BodyText"/>
        <w:spacing w:line="318" w:lineRule="auto"/>
        <w:rPr/>
      </w:pPr>
      <w:r/>
    </w:p>
    <w:p>
      <w:pPr>
        <w:spacing w:before="94" w:line="670"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9"/>
          <w:position w:val="35"/>
        </w:rPr>
        <w:t>中华</w:t>
      </w:r>
      <w:r>
        <w:rPr>
          <w:rFonts w:ascii="Microsoft YaHei" w:hAnsi="Microsoft YaHei" w:eastAsia="Microsoft YaHei" w:cs="Microsoft YaHei"/>
          <w:sz w:val="22"/>
          <w:szCs w:val="22"/>
          <w:spacing w:val="-8"/>
          <w:position w:val="35"/>
        </w:rPr>
        <w:t>人民共和国主席</w:t>
      </w:r>
      <w:r>
        <w:rPr>
          <w:rFonts w:ascii="Microsoft YaHei" w:hAnsi="Microsoft YaHei" w:eastAsia="Microsoft YaHei" w:cs="Microsoft YaHei"/>
          <w:sz w:val="22"/>
          <w:szCs w:val="22"/>
          <w:spacing w:val="50"/>
          <w:position w:val="35"/>
        </w:rPr>
        <w:t xml:space="preserve"> </w:t>
      </w:r>
      <w:r>
        <w:rPr>
          <w:rFonts w:ascii="Microsoft YaHei" w:hAnsi="Microsoft YaHei" w:eastAsia="Microsoft YaHei" w:cs="Microsoft YaHei"/>
          <w:sz w:val="22"/>
          <w:szCs w:val="22"/>
          <w:spacing w:val="-8"/>
          <w:position w:val="35"/>
        </w:rPr>
        <w:t>习近</w:t>
      </w:r>
      <w:r>
        <w:rPr>
          <w:rFonts w:ascii="Microsoft YaHei" w:hAnsi="Microsoft YaHei" w:eastAsia="Microsoft YaHei" w:cs="Microsoft YaHei"/>
          <w:sz w:val="22"/>
          <w:szCs w:val="22"/>
          <w:spacing w:val="-6"/>
          <w:position w:val="35"/>
        </w:rPr>
        <w:t>平</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9"/>
        </w:rPr>
        <w:t>2024年4月26日。</w:t>
      </w:r>
    </w:p>
    <w:p>
      <w:pPr>
        <w:pStyle w:val="BodyText"/>
        <w:spacing w:line="272" w:lineRule="auto"/>
        <w:rPr/>
      </w:pPr>
      <w:r/>
    </w:p>
    <w:p>
      <w:pPr>
        <w:pStyle w:val="BodyText"/>
        <w:spacing w:line="272" w:lineRule="auto"/>
        <w:rPr/>
      </w:pPr>
      <w:r/>
    </w:p>
    <w:p>
      <w:pPr>
        <w:pStyle w:val="BodyText"/>
        <w:spacing w:line="272" w:lineRule="auto"/>
        <w:rPr/>
      </w:pPr>
      <w:r/>
    </w:p>
    <w:p>
      <w:pPr>
        <w:pStyle w:val="BodyText"/>
        <w:spacing w:line="272" w:lineRule="auto"/>
        <w:rPr/>
      </w:pPr>
      <w:r/>
    </w:p>
    <w:p>
      <w:pPr>
        <w:pStyle w:val="BodyText"/>
        <w:spacing w:line="272" w:lineRule="auto"/>
        <w:rPr/>
      </w:pPr>
      <w:r/>
    </w:p>
    <w:p>
      <w:pPr>
        <w:pStyle w:val="BodyText"/>
        <w:spacing w:line="272" w:lineRule="auto"/>
        <w:rPr/>
      </w:pPr>
      <w:r/>
    </w:p>
    <w:p>
      <w:pPr>
        <w:ind w:firstLine="4083"/>
        <w:spacing w:before="1" w:line="2801" w:lineRule="exact"/>
        <w:rPr/>
      </w:pPr>
      <w:r>
        <w:rPr>
          <w:position w:val="-56"/>
        </w:rPr>
        <w:drawing>
          <wp:inline distT="0" distB="0" distL="0" distR="0">
            <wp:extent cx="1767839" cy="1779142"/>
            <wp:effectExtent l="0" t="0" r="0" b="0"/>
            <wp:docPr id="18" name="IM 18"/>
            <wp:cNvGraphicFramePr/>
            <a:graphic>
              <a:graphicData uri="http://schemas.openxmlformats.org/drawingml/2006/picture">
                <pic:pic>
                  <pic:nvPicPr>
                    <pic:cNvPr id="18" name="IM 18"/>
                    <pic:cNvPicPr/>
                  </pic:nvPicPr>
                  <pic:blipFill>
                    <a:blip r:embed="rId10"/>
                    <a:stretch>
                      <a:fillRect/>
                    </a:stretch>
                  </pic:blipFill>
                  <pic:spPr>
                    <a:xfrm rot="0">
                      <a:off x="0" y="0"/>
                      <a:ext cx="1767839" cy="1779142"/>
                    </a:xfrm>
                    <a:prstGeom prst="rect">
                      <a:avLst/>
                    </a:prstGeom>
                  </pic:spPr>
                </pic:pic>
              </a:graphicData>
            </a:graphic>
          </wp:inline>
        </w:drawing>
      </w:r>
    </w:p>
    <w:p>
      <w:pPr>
        <w:ind w:left="3818"/>
        <w:spacing w:before="307" w:line="22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《中华人民共和国关税法》</w:t>
      </w:r>
    </w:p>
    <w:p>
      <w:pPr>
        <w:spacing w:line="229" w:lineRule="auto"/>
        <w:sectPr>
          <w:pgSz w:w="11910" w:h="16840"/>
          <w:pgMar w:top="400" w:right="452" w:bottom="0" w:left="932" w:header="0" w:footer="0" w:gutter="0"/>
        </w:sectPr>
        <w:rPr>
          <w:rFonts w:ascii="Microsoft YaHei" w:hAnsi="Microsoft YaHei" w:eastAsia="Microsoft YaHei" w:cs="Microsoft YaHei"/>
          <w:sz w:val="24"/>
          <w:szCs w:val="24"/>
        </w:rPr>
      </w:pPr>
    </w:p>
    <w:p>
      <w:pPr>
        <w:pStyle w:val="BodyText"/>
        <w:spacing w:line="268" w:lineRule="auto"/>
        <w:rPr/>
      </w:pPr>
      <w:r>
        <w:pict>
          <v:rect id="_x0000_s10" style="position:absolute;margin-left:67.8pt;margin-top:91.8pt;mso-position-vertical-relative:page;mso-position-horizontal-relative:page;width:525.65pt;height:2.65pt;z-index:251675648;" o:allowincell="f" fillcolor="#A61C20" filled="true" stroked="false"/>
        </w:pict>
      </w:r>
      <w:r>
        <w:pict>
          <v:group id="_x0000_s12" style="position:absolute;margin-left:0pt;margin-top:38.04pt;mso-position-vertical-relative:page;mso-position-horizontal-relative:page;width:67.85pt;height:56.8pt;z-index:251674624;" o:allowincell="f" filled="false" stroked="false" coordsize="1356,1135" coordorigin="0,0">
            <v:shape id="_x0000_s14" style="position:absolute;left:0;top:0;width:1356;height:1135;" fillcolor="#A61C20" filled="true" stroked="false" coordsize="1356,1135" coordorigin="0,0" path="m,l1356,0l1356,1135l0,1135l0,0xe"/>
            <v:shape id="_x0000_s16" style="position:absolute;left:223;top:170;width:819;height:911;" fillcolor="#FFFFFF" filled="true" stroked="false" coordsize="819,911" coordorigin="0,0" path="m595,777l223,777l213,770l213,731l223,724l595,724l604,731l604,770l595,777xm580,708l237,708l225,698l225,688l213,635l179,583l136,532l88,480l43,424l11,362l0,297l0,290l4,237l21,187l50,144l83,105l127,71l175,48l230,26l287,11l347,2l410,0l470,2l530,11l588,26l640,48l688,71l732,105l736,108l364,108l360,117l360,124l355,148l352,151l232,151l201,175l189,184l177,194l172,199l172,208l177,215l206,242l208,244l208,249l201,259l196,268l191,280l184,290l184,291l182,291l179,292l170,292l124,297l115,302l115,371l124,374l136,376l180,381l182,381l184,382l184,384l191,395l196,405l201,415l208,424l208,429l201,436l191,444l177,460l172,465l172,472l177,480l225,515l232,520l352,520l355,540l360,549l360,559l364,564l648,564l636,578l604,628l592,688l592,698l580,708xm524,182l523,182l496,172l482,168l468,164l466,164l468,163l465,160l465,148l460,136l460,124l458,117l451,108l736,108l768,144l772,151l585,151l576,153l566,158l529,181l528,182l525,182m292,182l290,181l287,182l280,175l271,170l261,163l251,158l242,153l232,151l352,151l352,160l351,162l349,164l347,165l335,168l321,172l307,177l293,181l292,182m686,520l585,520l648,472l645,465l640,460l624,444l616,436l607,428l607,427l609,424l616,415l621,405l626,395l631,384l631,384l636,381l638,381l684,376l693,374l703,371l703,302l693,297l684,297l648,292l638,292l636,292l631,291l631,290l626,280l621,268l616,259l609,248l607,247l607,244l609,242l640,215l645,208l648,199l640,194l628,184l616,175l592,158l585,151l772,151l794,187l811,237l818,290l818,297l804,362l772,422l729,475l686,520xm410,448l355,439l307,415l278,379l266,335l278,295l307,259l355,235l410,228l465,235l508,259l540,295l549,335l540,379l508,415l465,439l410,448xm352,520l242,520l251,515l261,511l271,504l280,499l288,493l290,491l292,491l307,496l321,504l335,506l347,508l352,511l352,515l352,520xm648,564l451,564l458,559l460,549l460,540l465,525l464,513l466,511l466,510l468,508l496,504l508,496l523,491l527,491l530,494l540,499l547,504l556,511l566,515l576,520l686,520l681,528l648,564xm559,911l256,911l247,904l247,864l256,859l559,859l568,864l568,904l559,911xm580,844l235,844l227,840l227,796l235,791l580,791l592,796l592,840l580,844e"/>
          </v:group>
        </w:pict>
      </w:r>
      <w:r/>
    </w:p>
    <w:p>
      <w:pPr>
        <w:pStyle w:val="BodyText"/>
        <w:spacing w:line="268" w:lineRule="auto"/>
        <w:rPr/>
      </w:pPr>
      <w:r/>
    </w:p>
    <w:p>
      <w:pPr>
        <w:ind w:left="1715"/>
        <w:spacing w:before="180" w:line="186" w:lineRule="auto"/>
        <w:rPr>
          <w:rFonts w:ascii="Microsoft YaHei" w:hAnsi="Microsoft YaHei" w:eastAsia="Microsoft YaHei" w:cs="Microsoft YaHei"/>
          <w:sz w:val="42"/>
          <w:szCs w:val="42"/>
        </w:rPr>
      </w:pPr>
      <w:r>
        <w:rPr>
          <w:rFonts w:ascii="Microsoft YaHei" w:hAnsi="Microsoft YaHei" w:eastAsia="Microsoft YaHei" w:cs="Microsoft YaHei"/>
          <w:sz w:val="42"/>
          <w:szCs w:val="42"/>
          <w:spacing w:val="18"/>
        </w:rPr>
        <w:t>监管动态</w:t>
      </w:r>
    </w:p>
    <w:p>
      <w:pPr>
        <w:pStyle w:val="BodyText"/>
        <w:spacing w:line="268" w:lineRule="auto"/>
        <w:rPr/>
      </w:pPr>
      <w:r/>
    </w:p>
    <w:p>
      <w:pPr>
        <w:pStyle w:val="BodyText"/>
        <w:spacing w:line="268" w:lineRule="auto"/>
        <w:rPr/>
      </w:pPr>
      <w:r/>
    </w:p>
    <w:p>
      <w:pPr>
        <w:ind w:firstLine="19"/>
        <w:spacing w:line="924" w:lineRule="exact"/>
        <w:rPr/>
      </w:pPr>
      <w:r>
        <w:rPr>
          <w:position w:val="-18"/>
        </w:rPr>
        <w:pict>
          <v:group id="_x0000_s18" style="mso-position-vertical-relative:line;mso-position-horizontal-relative:char;width:112.1pt;height:46.25pt;" filled="false" stroked="false" coordsize="2241,925" coordorigin="0,0">
            <v:shape id="_x0000_s20" style="position:absolute;left:0;top:0;width:2241;height:925;" filled="false" stroked="false" type="#_x0000_t75">
              <v:imagedata o:title="" r:id="rId12"/>
            </v:shape>
            <v:shape id="_x0000_s22" style="position:absolute;left:-20;top:-20;width:2281;height:965;" filled="false" stroked="false" type="#_x0000_t202">
              <v:fill on="false"/>
              <v:stroke on="false"/>
              <v:path/>
              <v:imagedata o:title=""/>
              <o:lock v:ext="edit" aspectratio="false"/>
              <v:textbox inset="0mm,0mm,0mm,0mm">
                <w:txbxContent>
                  <w:p>
                    <w:pPr>
                      <w:ind w:left="397"/>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4"/>
                      </w:rPr>
                      <w:t>市场监管概览</w:t>
                    </w:r>
                  </w:p>
                </w:txbxContent>
              </v:textbox>
            </v:shape>
          </v:group>
        </w:pict>
      </w:r>
    </w:p>
    <w:p>
      <w:pPr>
        <w:pStyle w:val="BodyText"/>
        <w:spacing w:line="314" w:lineRule="auto"/>
        <w:rPr/>
      </w:pPr>
      <w:r/>
    </w:p>
    <w:p>
      <w:pPr>
        <w:ind w:left="446" w:right="316" w:firstLine="456"/>
        <w:spacing w:before="94"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2024年4月22日-4月28日</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2"/>
        </w:rPr>
        <w:t>，证监会作出4份监管文书；证</w:t>
      </w:r>
      <w:r>
        <w:rPr>
          <w:rFonts w:ascii="Microsoft YaHei" w:hAnsi="Microsoft YaHei" w:eastAsia="Microsoft YaHei" w:cs="Microsoft YaHei"/>
          <w:sz w:val="22"/>
          <w:szCs w:val="22"/>
          <w:spacing w:val="-3"/>
        </w:rPr>
        <w:t>监局作出43份监管文书；上交所作出·0份监管文书；深</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交所作出18份监管文书。</w:t>
      </w:r>
    </w:p>
    <w:p>
      <w:pPr>
        <w:pStyle w:val="BodyText"/>
        <w:spacing w:line="273" w:lineRule="auto"/>
        <w:rPr/>
      </w:pPr>
      <w:r/>
    </w:p>
    <w:p>
      <w:pPr>
        <w:ind w:left="453" w:right="501" w:firstLine="446"/>
        <w:spacing w:before="95" w:line="199"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2024年4月22日-4月28日</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3"/>
        </w:rPr>
        <w:t>，证监会作出1份行政处罚决定事先告知书</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3"/>
        </w:rPr>
        <w:t>，对3个对象进行立案调</w:t>
      </w:r>
      <w:r>
        <w:rPr>
          <w:rFonts w:ascii="Microsoft YaHei" w:hAnsi="Microsoft YaHei" w:eastAsia="Microsoft YaHei" w:cs="Microsoft YaHei"/>
          <w:sz w:val="22"/>
          <w:szCs w:val="22"/>
          <w:spacing w:val="-4"/>
        </w:rPr>
        <w:t>查；证监局作出1</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份行政处罚决定事先告知书</w:t>
      </w:r>
      <w:r>
        <w:rPr>
          <w:rFonts w:ascii="Microsoft YaHei" w:hAnsi="Microsoft YaHei" w:eastAsia="Microsoft YaHei" w:cs="Microsoft YaHei"/>
          <w:sz w:val="22"/>
          <w:szCs w:val="22"/>
          <w:spacing w:val="-27"/>
        </w:rPr>
        <w:t xml:space="preserve"> </w:t>
      </w:r>
      <w:r>
        <w:rPr>
          <w:rFonts w:ascii="Microsoft YaHei" w:hAnsi="Microsoft YaHei" w:eastAsia="Microsoft YaHei" w:cs="Microsoft YaHei"/>
          <w:sz w:val="22"/>
          <w:szCs w:val="22"/>
          <w:spacing w:val="-3"/>
        </w:rPr>
        <w:t>，2份行政处罚决定书，40份行政监管措施决定书。</w:t>
      </w:r>
    </w:p>
    <w:p>
      <w:pPr>
        <w:pStyle w:val="BodyText"/>
        <w:spacing w:line="273" w:lineRule="auto"/>
        <w:rPr/>
      </w:pPr>
      <w:r/>
    </w:p>
    <w:p>
      <w:pPr>
        <w:ind w:left="454" w:right="513" w:firstLine="446"/>
        <w:spacing w:before="94" w:line="20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2024年4月22日-4月28日</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2"/>
        </w:rPr>
        <w:t>，上交所公司</w:t>
      </w:r>
      <w:r>
        <w:rPr>
          <w:rFonts w:ascii="Microsoft YaHei" w:hAnsi="Microsoft YaHei" w:eastAsia="Microsoft YaHei" w:cs="Microsoft YaHei"/>
          <w:sz w:val="22"/>
          <w:szCs w:val="22"/>
          <w:spacing w:val="-3"/>
        </w:rPr>
        <w:t>监管部门作出6份监管警示函，对3宗行为予以纪律处分。同时，加大</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信息披露和股价异常的联动监管，针对公司披露敏感信息或股价发生明显异常的</w:t>
      </w:r>
      <w:r>
        <w:rPr>
          <w:rFonts w:ascii="Microsoft YaHei" w:hAnsi="Microsoft YaHei" w:eastAsia="Microsoft YaHei" w:cs="Microsoft YaHei"/>
          <w:sz w:val="22"/>
          <w:szCs w:val="22"/>
          <w:spacing w:val="-16"/>
        </w:rPr>
        <w:t xml:space="preserve"> </w:t>
      </w:r>
      <w:r>
        <w:rPr>
          <w:rFonts w:ascii="Microsoft YaHei" w:hAnsi="Microsoft YaHei" w:eastAsia="Microsoft YaHei" w:cs="Microsoft YaHei"/>
          <w:sz w:val="22"/>
          <w:szCs w:val="22"/>
          <w:spacing w:val="-3"/>
        </w:rPr>
        <w:t>，提请启动内幕交易、异常交易核</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查5单。</w:t>
      </w:r>
    </w:p>
    <w:p>
      <w:pPr>
        <w:pStyle w:val="BodyText"/>
        <w:spacing w:line="274" w:lineRule="auto"/>
        <w:rPr/>
      </w:pPr>
      <w:r/>
    </w:p>
    <w:p>
      <w:pPr>
        <w:ind w:left="453" w:right="588" w:firstLine="438"/>
        <w:spacing w:before="95" w:line="195"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2024年4月22日-4月28日，上交所公司监管部门作出9份监</w:t>
      </w:r>
      <w:r>
        <w:rPr>
          <w:rFonts w:ascii="Microsoft YaHei" w:hAnsi="Microsoft YaHei" w:eastAsia="Microsoft YaHei" w:cs="Microsoft YaHei"/>
          <w:sz w:val="22"/>
          <w:szCs w:val="22"/>
          <w:spacing w:val="-6"/>
        </w:rPr>
        <w:t>管警示函，对1宗行为予以纪律处分。同时，加大信</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息披露和股价异常的联动监管，针对公司披露敏感信息或股价发生明显异常的，提请启动内幕交易、异常交易核查7</w:t>
      </w:r>
      <w:r>
        <w:rPr>
          <w:rFonts w:ascii="Microsoft YaHei" w:hAnsi="Microsoft YaHei" w:eastAsia="Microsoft YaHei" w:cs="Microsoft YaHei"/>
          <w:sz w:val="22"/>
          <w:szCs w:val="22"/>
          <w:spacing w:val="2"/>
        </w:rPr>
        <w:t xml:space="preserve"> </w:t>
      </w:r>
      <w:r>
        <w:rPr>
          <w:rFonts w:ascii="Microsoft YaHei" w:hAnsi="Microsoft YaHei" w:eastAsia="Microsoft YaHei" w:cs="Microsoft YaHei"/>
          <w:sz w:val="22"/>
          <w:szCs w:val="22"/>
          <w:spacing w:val="-1"/>
        </w:rPr>
        <w:t>单。</w:t>
      </w:r>
    </w:p>
    <w:p>
      <w:pPr>
        <w:ind w:firstLine="1751"/>
        <w:spacing w:line="8958" w:lineRule="exact"/>
        <w:rPr/>
      </w:pPr>
      <w:r>
        <w:rPr>
          <w:position w:val="-179"/>
        </w:rPr>
        <w:drawing>
          <wp:inline distT="0" distB="0" distL="0" distR="0">
            <wp:extent cx="5304790" cy="5688647"/>
            <wp:effectExtent l="0" t="0" r="0" b="0"/>
            <wp:docPr id="20" name="IM 20"/>
            <wp:cNvGraphicFramePr/>
            <a:graphic>
              <a:graphicData uri="http://schemas.openxmlformats.org/drawingml/2006/picture">
                <pic:pic>
                  <pic:nvPicPr>
                    <pic:cNvPr id="20" name="IM 20"/>
                    <pic:cNvPicPr/>
                  </pic:nvPicPr>
                  <pic:blipFill>
                    <a:blip r:embed="rId13"/>
                    <a:stretch>
                      <a:fillRect/>
                    </a:stretch>
                  </pic:blipFill>
                  <pic:spPr>
                    <a:xfrm rot="0">
                      <a:off x="0" y="0"/>
                      <a:ext cx="5304790" cy="5688647"/>
                    </a:xfrm>
                    <a:prstGeom prst="rect">
                      <a:avLst/>
                    </a:prstGeom>
                  </pic:spPr>
                </pic:pic>
              </a:graphicData>
            </a:graphic>
          </wp:inline>
        </w:drawing>
      </w:r>
    </w:p>
    <w:p>
      <w:pPr>
        <w:spacing w:line="8958" w:lineRule="exact"/>
        <w:sectPr>
          <w:footerReference w:type="default" r:id="rId11"/>
          <w:pgSz w:w="11910" w:h="16840"/>
          <w:pgMar w:top="400" w:right="41" w:bottom="1" w:left="0" w:header="0" w:footer="0" w:gutter="0"/>
        </w:sectPr>
        <w:rPr/>
      </w:pPr>
    </w:p>
    <w:p>
      <w:pPr>
        <w:spacing w:line="924" w:lineRule="exact"/>
        <w:rPr/>
      </w:pPr>
      <w:r>
        <w:rPr>
          <w:position w:val="-18"/>
        </w:rPr>
        <w:pict>
          <v:group id="_x0000_s24" style="mso-position-vertical-relative:line;mso-position-horizontal-relative:char;width:188.3pt;height:46.25pt;" filled="false" stroked="false" coordsize="3766,925" coordorigin="0,0">
            <v:shape id="_x0000_s26" style="position:absolute;left:0;top:0;width:3766;height:925;" filled="false" stroked="false" type="#_x0000_t75">
              <v:imagedata o:title="" r:id="rId14"/>
            </v:shape>
            <v:shape id="_x0000_s28" style="position:absolute;left:-20;top:-20;width:3806;height:965;" filled="false" stroked="false" type="#_x0000_t202">
              <v:fill on="false"/>
              <v:stroke on="false"/>
              <v:path/>
              <v:imagedata o:title=""/>
              <o:lock v:ext="edit" aspectratio="false"/>
              <v:textbox inset="0mm,0mm,0mm,0mm">
                <w:txbxContent>
                  <w:p>
                    <w:pPr>
                      <w:ind w:left="389"/>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证监会证监局监管动态</w:t>
                    </w:r>
                  </w:p>
                </w:txbxContent>
              </v:textbox>
            </v:shape>
          </v:group>
        </w:pict>
      </w:r>
    </w:p>
    <w:p>
      <w:pPr>
        <w:spacing w:before="171" w:line="185"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2024年4月15日-4月21日</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3"/>
        </w:rPr>
        <w:t>，证监会作出1份行政处罚决定事先告知书</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3"/>
        </w:rPr>
        <w:t>，对3个对象进</w:t>
      </w:r>
      <w:r>
        <w:rPr>
          <w:rFonts w:ascii="Microsoft YaHei" w:hAnsi="Microsoft YaHei" w:eastAsia="Microsoft YaHei" w:cs="Microsoft YaHei"/>
          <w:sz w:val="22"/>
          <w:szCs w:val="22"/>
          <w:spacing w:val="-4"/>
        </w:rPr>
        <w:t>行立案调查；证监局</w:t>
      </w:r>
    </w:p>
    <w:p>
      <w:pPr>
        <w:ind w:left="434"/>
        <w:spacing w:before="4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作出1份行政处罚决定事先告知书</w:t>
      </w:r>
      <w:r>
        <w:rPr>
          <w:rFonts w:ascii="Microsoft YaHei" w:hAnsi="Microsoft YaHei" w:eastAsia="Microsoft YaHei" w:cs="Microsoft YaHei"/>
          <w:sz w:val="22"/>
          <w:szCs w:val="22"/>
          <w:spacing w:val="-21"/>
        </w:rPr>
        <w:t xml:space="preserve"> </w:t>
      </w:r>
      <w:r>
        <w:rPr>
          <w:rFonts w:ascii="Microsoft YaHei" w:hAnsi="Microsoft YaHei" w:eastAsia="Microsoft YaHei" w:cs="Microsoft YaHei"/>
          <w:sz w:val="22"/>
          <w:szCs w:val="22"/>
          <w:spacing w:val="-3"/>
        </w:rPr>
        <w:t>，2份行政处罚决定书，40份行政监管措施决定书。</w:t>
      </w:r>
    </w:p>
    <w:p>
      <w:pPr>
        <w:pStyle w:val="BodyText"/>
        <w:spacing w:line="293" w:lineRule="auto"/>
        <w:rPr/>
      </w:pPr>
      <w:r/>
    </w:p>
    <w:p>
      <w:pPr>
        <w:ind w:left="15"/>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5"/>
        </w:rPr>
        <w:t>（  1</w:t>
      </w:r>
      <w:r>
        <w:rPr>
          <w:rFonts w:ascii="Microsoft YaHei" w:hAnsi="Microsoft YaHei" w:eastAsia="Microsoft YaHei" w:cs="Microsoft YaHei"/>
          <w:sz w:val="24"/>
          <w:szCs w:val="24"/>
          <w:b/>
          <w:bCs/>
          <w:color w:val="333333"/>
          <w:spacing w:val="68"/>
        </w:rPr>
        <w:t xml:space="preserve"> </w:t>
      </w:r>
      <w:r>
        <w:rPr>
          <w:rFonts w:ascii="Microsoft YaHei" w:hAnsi="Microsoft YaHei" w:eastAsia="Microsoft YaHei" w:cs="Microsoft YaHei"/>
          <w:sz w:val="24"/>
          <w:szCs w:val="24"/>
          <w:b/>
          <w:bCs/>
          <w:color w:val="333333"/>
          <w:spacing w:val="-5"/>
        </w:rPr>
        <w:t>）</w:t>
      </w:r>
      <w:r>
        <w:rPr>
          <w:rFonts w:ascii="Microsoft YaHei" w:hAnsi="Microsoft YaHei" w:eastAsia="Microsoft YaHei" w:cs="Microsoft YaHei"/>
          <w:sz w:val="24"/>
          <w:szCs w:val="24"/>
          <w:b/>
          <w:bCs/>
          <w:spacing w:val="-5"/>
        </w:rPr>
        <w:t>行政处罚决定事先告知书</w:t>
      </w:r>
    </w:p>
    <w:p>
      <w:pPr>
        <w:spacing w:before="36"/>
        <w:rPr/>
      </w:pPr>
      <w:r/>
    </w:p>
    <w:tbl>
      <w:tblPr>
        <w:tblStyle w:val="TableNormal"/>
        <w:tblW w:w="8782" w:type="dxa"/>
        <w:tblInd w:w="1070"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083"/>
        <w:gridCol w:w="1148"/>
        <w:gridCol w:w="6551"/>
      </w:tblGrid>
      <w:tr>
        <w:trPr>
          <w:trHeight w:val="709" w:hRule="atLeast"/>
        </w:trPr>
        <w:tc>
          <w:tcPr>
            <w:shd w:val="clear" w:fill="4F81BD"/>
            <w:tcW w:w="1083" w:type="dxa"/>
            <w:vAlign w:val="top"/>
            <w:tcBorders>
              <w:bottom w:val="single" w:color="4F81BD" w:sz="2" w:space="0"/>
            </w:tcBorders>
          </w:tcPr>
          <w:p>
            <w:pPr>
              <w:pStyle w:val="TableText"/>
              <w:ind w:left="116"/>
              <w:spacing w:before="270" w:line="189" w:lineRule="auto"/>
              <w:rPr/>
            </w:pPr>
            <w:r>
              <w:rPr>
                <w:b/>
                <w:bCs/>
                <w:color w:val="FFFFFF"/>
                <w:spacing w:val="8"/>
              </w:rPr>
              <w:t>公司代码</w:t>
            </w:r>
          </w:p>
        </w:tc>
        <w:tc>
          <w:tcPr>
            <w:shd w:val="clear" w:fill="4F81BD"/>
            <w:tcW w:w="1148" w:type="dxa"/>
            <w:vAlign w:val="top"/>
            <w:tcBorders>
              <w:bottom w:val="single" w:color="4F81BD" w:sz="2" w:space="0"/>
            </w:tcBorders>
          </w:tcPr>
          <w:p>
            <w:pPr>
              <w:pStyle w:val="TableText"/>
              <w:ind w:left="144"/>
              <w:spacing w:before="270" w:line="189" w:lineRule="auto"/>
              <w:rPr/>
            </w:pPr>
            <w:r>
              <w:rPr>
                <w:b/>
                <w:bCs/>
                <w:color w:val="FFFFFF"/>
                <w:spacing w:val="8"/>
              </w:rPr>
              <w:t>公司简称</w:t>
            </w:r>
          </w:p>
        </w:tc>
        <w:tc>
          <w:tcPr>
            <w:shd w:val="clear" w:fill="4F81BD"/>
            <w:tcW w:w="6551" w:type="dxa"/>
            <w:vAlign w:val="top"/>
            <w:tcBorders>
              <w:bottom w:val="single" w:color="4F81BD" w:sz="2" w:space="0"/>
            </w:tcBorders>
          </w:tcPr>
          <w:p>
            <w:pPr>
              <w:pStyle w:val="TableText"/>
              <w:ind w:left="2847"/>
              <w:spacing w:before="270" w:line="189" w:lineRule="auto"/>
              <w:rPr/>
            </w:pPr>
            <w:r>
              <w:rPr>
                <w:b/>
                <w:bCs/>
                <w:color w:val="FFFFFF"/>
                <w:spacing w:val="8"/>
              </w:rPr>
              <w:t>违规行为</w:t>
            </w:r>
          </w:p>
        </w:tc>
      </w:tr>
      <w:tr>
        <w:trPr>
          <w:trHeight w:val="1799" w:hRule="atLeast"/>
        </w:trPr>
        <w:tc>
          <w:tcPr>
            <w:shd w:val="clear" w:fill="B8CCE4"/>
            <w:tcW w:w="1083" w:type="dxa"/>
            <w:vAlign w:val="top"/>
            <w:tcBorders>
              <w:top w:val="single" w:color="4F81BD" w:sz="2" w:space="0"/>
            </w:tcBorders>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171"/>
              <w:spacing w:before="85" w:line="178" w:lineRule="auto"/>
              <w:rPr/>
            </w:pPr>
            <w:r>
              <w:rPr>
                <w:spacing w:val="3"/>
              </w:rPr>
              <w:t>000566</w:t>
            </w:r>
          </w:p>
        </w:tc>
        <w:tc>
          <w:tcPr>
            <w:shd w:val="clear" w:fill="B8CCE4"/>
            <w:tcW w:w="1148" w:type="dxa"/>
            <w:vAlign w:val="top"/>
            <w:tcBorders>
              <w:top w:val="single" w:color="4F81BD" w:sz="2" w:space="0"/>
            </w:tcBorders>
          </w:tcPr>
          <w:p>
            <w:pPr>
              <w:spacing w:line="357" w:lineRule="auto"/>
              <w:rPr>
                <w:rFonts w:ascii="Arial"/>
                <w:sz w:val="21"/>
              </w:rPr>
            </w:pPr>
            <w:r/>
          </w:p>
          <w:p>
            <w:pPr>
              <w:spacing w:line="357" w:lineRule="auto"/>
              <w:rPr>
                <w:rFonts w:ascii="Arial"/>
                <w:sz w:val="21"/>
              </w:rPr>
            </w:pPr>
            <w:r/>
          </w:p>
          <w:p>
            <w:pPr>
              <w:pStyle w:val="TableText"/>
              <w:ind w:left="143"/>
              <w:spacing w:before="86" w:line="189" w:lineRule="auto"/>
              <w:rPr/>
            </w:pPr>
            <w:r>
              <w:rPr>
                <w:spacing w:val="8"/>
              </w:rPr>
              <w:t>海南海药</w:t>
            </w:r>
          </w:p>
        </w:tc>
        <w:tc>
          <w:tcPr>
            <w:shd w:val="clear" w:fill="B8CCE4"/>
            <w:tcW w:w="6551" w:type="dxa"/>
            <w:vAlign w:val="top"/>
            <w:tcBorders>
              <w:top w:val="single" w:color="4F81BD" w:sz="2" w:space="0"/>
            </w:tcBorders>
          </w:tcPr>
          <w:p>
            <w:pPr>
              <w:spacing w:line="356" w:lineRule="auto"/>
              <w:rPr>
                <w:rFonts w:ascii="Arial"/>
                <w:sz w:val="21"/>
              </w:rPr>
            </w:pPr>
            <w:r/>
          </w:p>
          <w:p>
            <w:pPr>
              <w:pStyle w:val="TableText"/>
              <w:ind w:left="97" w:right="134" w:firstLine="1"/>
              <w:spacing w:before="86" w:line="231" w:lineRule="auto"/>
              <w:jc w:val="both"/>
              <w:rPr/>
            </w:pPr>
            <w:r>
              <w:rPr>
                <w:spacing w:val="7"/>
              </w:rPr>
              <w:t>海南海药未按规定在2018年年度报告、</w:t>
            </w:r>
            <w:r>
              <w:rPr>
                <w:spacing w:val="-34"/>
              </w:rPr>
              <w:t xml:space="preserve"> </w:t>
            </w:r>
            <w:r>
              <w:rPr>
                <w:spacing w:val="7"/>
              </w:rPr>
              <w:t>2019年年度报告、</w:t>
            </w:r>
            <w:r>
              <w:rPr>
                <w:spacing w:val="-36"/>
              </w:rPr>
              <w:t xml:space="preserve"> </w:t>
            </w:r>
            <w:r>
              <w:rPr>
                <w:spacing w:val="7"/>
              </w:rPr>
              <w:t>2020年年</w:t>
            </w:r>
            <w:r>
              <w:rPr/>
              <w:t xml:space="preserve"> </w:t>
            </w:r>
            <w:r>
              <w:rPr>
                <w:spacing w:val="6"/>
              </w:rPr>
              <w:t>度报告、</w:t>
            </w:r>
            <w:r>
              <w:rPr>
                <w:spacing w:val="-22"/>
              </w:rPr>
              <w:t xml:space="preserve"> </w:t>
            </w:r>
            <w:r>
              <w:rPr>
                <w:spacing w:val="6"/>
              </w:rPr>
              <w:t>2021年年度报告、</w:t>
            </w:r>
            <w:r>
              <w:rPr>
                <w:spacing w:val="-36"/>
              </w:rPr>
              <w:t xml:space="preserve"> </w:t>
            </w:r>
            <w:r>
              <w:rPr>
                <w:spacing w:val="6"/>
              </w:rPr>
              <w:t>2022年年度报告中披露</w:t>
            </w:r>
            <w:r>
              <w:rPr>
                <w:b/>
                <w:bCs/>
                <w:spacing w:val="6"/>
              </w:rPr>
              <w:t>关联交易</w:t>
            </w:r>
            <w:r>
              <w:rPr>
                <w:b/>
                <w:bCs/>
                <w:spacing w:val="-26"/>
              </w:rPr>
              <w:t xml:space="preserve"> </w:t>
            </w:r>
            <w:r>
              <w:rPr>
                <w:spacing w:val="6"/>
              </w:rPr>
              <w:t>，构成</w:t>
            </w:r>
            <w:r>
              <w:rPr/>
              <w:t xml:space="preserve">  </w:t>
            </w:r>
            <w:r>
              <w:rPr>
                <w:b/>
                <w:bCs/>
                <w:spacing w:val="7"/>
              </w:rPr>
              <w:t>重大遗漏。</w:t>
            </w:r>
          </w:p>
        </w:tc>
      </w:tr>
      <w:tr>
        <w:trPr>
          <w:trHeight w:val="3136" w:hRule="atLeast"/>
        </w:trPr>
        <w:tc>
          <w:tcPr>
            <w:tcW w:w="8782" w:type="dxa"/>
            <w:vAlign w:val="top"/>
            <w:gridSpan w:val="3"/>
          </w:tcPr>
          <w:p>
            <w:pPr>
              <w:spacing w:line="310" w:lineRule="auto"/>
              <w:rPr>
                <w:rFonts w:ascii="Arial"/>
                <w:sz w:val="21"/>
              </w:rPr>
            </w:pPr>
            <w:r/>
          </w:p>
          <w:p>
            <w:pPr>
              <w:spacing w:line="311" w:lineRule="auto"/>
              <w:rPr>
                <w:rFonts w:ascii="Arial"/>
                <w:sz w:val="21"/>
              </w:rPr>
            </w:pPr>
            <w:r/>
          </w:p>
          <w:p>
            <w:pPr>
              <w:pStyle w:val="TableText"/>
              <w:ind w:left="122"/>
              <w:spacing w:before="86" w:line="237" w:lineRule="auto"/>
              <w:rPr/>
            </w:pPr>
            <w:r>
              <w:rPr>
                <w:b/>
                <w:bCs/>
                <w:spacing w:val="9"/>
              </w:rPr>
              <w:t>【行政处罚决定】</w:t>
            </w:r>
            <w:r>
              <w:rPr>
                <w:spacing w:val="9"/>
              </w:rPr>
              <w:t>中国证券监督管理委员会海</w:t>
            </w:r>
            <w:r>
              <w:rPr>
                <w:spacing w:val="8"/>
              </w:rPr>
              <w:t>南监管局决定：</w:t>
            </w:r>
          </w:p>
          <w:p>
            <w:pPr>
              <w:pStyle w:val="TableText"/>
              <w:ind w:left="124"/>
              <w:spacing w:before="64" w:line="189" w:lineRule="auto"/>
              <w:rPr/>
            </w:pPr>
            <w:r>
              <w:rPr>
                <w:spacing w:val="7"/>
              </w:rPr>
              <w:t>1、对海南海药股份有限公司责令改正</w:t>
            </w:r>
            <w:r>
              <w:rPr>
                <w:spacing w:val="-25"/>
              </w:rPr>
              <w:t xml:space="preserve"> </w:t>
            </w:r>
            <w:r>
              <w:rPr>
                <w:spacing w:val="7"/>
              </w:rPr>
              <w:t>，给予警告</w:t>
            </w:r>
            <w:r>
              <w:rPr>
                <w:spacing w:val="-28"/>
              </w:rPr>
              <w:t xml:space="preserve"> </w:t>
            </w:r>
            <w:r>
              <w:rPr>
                <w:spacing w:val="6"/>
              </w:rPr>
              <w:t>，并处以200万元的罚款。</w:t>
            </w:r>
          </w:p>
          <w:p>
            <w:pPr>
              <w:pStyle w:val="TableText"/>
              <w:ind w:left="133" w:right="103" w:hanging="19"/>
              <w:spacing w:before="88" w:line="221" w:lineRule="auto"/>
              <w:rPr/>
            </w:pPr>
            <w:r>
              <w:rPr>
                <w:spacing w:val="11"/>
              </w:rPr>
              <w:t>2、对实际控制人,时任董事长,时任董事,时任总经理刘某承给予警告</w:t>
            </w:r>
            <w:r>
              <w:rPr>
                <w:spacing w:val="-9"/>
              </w:rPr>
              <w:t xml:space="preserve"> </w:t>
            </w:r>
            <w:r>
              <w:rPr>
                <w:spacing w:val="11"/>
              </w:rPr>
              <w:t>，并处以270万元的罚款</w:t>
            </w:r>
            <w:r>
              <w:rPr/>
              <w:t xml:space="preserve"> </w:t>
            </w:r>
            <w:r>
              <w:rPr>
                <w:spacing w:val="8"/>
              </w:rPr>
              <w:t>,  其中作为直接负责的主管人员处以120万元的罚款</w:t>
            </w:r>
            <w:r>
              <w:rPr>
                <w:spacing w:val="-25"/>
              </w:rPr>
              <w:t xml:space="preserve"> </w:t>
            </w:r>
            <w:r>
              <w:rPr>
                <w:spacing w:val="8"/>
              </w:rPr>
              <w:t>，作为实际控制人处以150万元的罚款。</w:t>
            </w:r>
          </w:p>
          <w:p>
            <w:pPr>
              <w:pStyle w:val="TableText"/>
              <w:ind w:left="117"/>
              <w:spacing w:before="88" w:line="190" w:lineRule="auto"/>
              <w:rPr/>
            </w:pPr>
            <w:r>
              <w:rPr>
                <w:spacing w:val="7"/>
              </w:rPr>
              <w:t>3、对时任高管,时任董事王某给予警告</w:t>
            </w:r>
            <w:r>
              <w:rPr>
                <w:spacing w:val="-16"/>
              </w:rPr>
              <w:t xml:space="preserve"> </w:t>
            </w:r>
            <w:r>
              <w:rPr>
                <w:spacing w:val="7"/>
              </w:rPr>
              <w:t>，并处以60万元的罚款。</w:t>
            </w:r>
          </w:p>
        </w:tc>
      </w:tr>
      <w:tr>
        <w:trPr>
          <w:trHeight w:val="676" w:hRule="atLeast"/>
        </w:trPr>
        <w:tc>
          <w:tcPr>
            <w:shd w:val="clear" w:fill="B8CCE4"/>
            <w:tcW w:w="1083" w:type="dxa"/>
            <w:vAlign w:val="top"/>
          </w:tcPr>
          <w:p>
            <w:pPr>
              <w:pStyle w:val="TableText"/>
              <w:ind w:left="171"/>
              <w:spacing w:before="261" w:line="179" w:lineRule="auto"/>
              <w:rPr/>
            </w:pPr>
            <w:r>
              <w:rPr>
                <w:spacing w:val="3"/>
              </w:rPr>
              <w:t>002134</w:t>
            </w:r>
          </w:p>
        </w:tc>
        <w:tc>
          <w:tcPr>
            <w:shd w:val="clear" w:fill="B8CCE4"/>
            <w:tcW w:w="1148" w:type="dxa"/>
            <w:vAlign w:val="top"/>
          </w:tcPr>
          <w:p>
            <w:pPr>
              <w:pStyle w:val="TableText"/>
              <w:ind w:left="143"/>
              <w:spacing w:before="248" w:line="189" w:lineRule="auto"/>
              <w:rPr/>
            </w:pPr>
            <w:r>
              <w:rPr>
                <w:spacing w:val="8"/>
              </w:rPr>
              <w:t>天津普林</w:t>
            </w:r>
          </w:p>
        </w:tc>
        <w:tc>
          <w:tcPr>
            <w:shd w:val="clear" w:fill="B8CCE4"/>
            <w:tcW w:w="6551" w:type="dxa"/>
            <w:vAlign w:val="top"/>
          </w:tcPr>
          <w:p>
            <w:pPr>
              <w:pStyle w:val="TableText"/>
              <w:ind w:left="112"/>
              <w:spacing w:before="248" w:line="189" w:lineRule="auto"/>
              <w:rPr/>
            </w:pPr>
            <w:r>
              <w:rPr>
                <w:b/>
                <w:bCs/>
                <w:spacing w:val="6"/>
              </w:rPr>
              <w:t>内幕交易</w:t>
            </w:r>
            <w:r>
              <w:rPr>
                <w:spacing w:val="6"/>
              </w:rPr>
              <w:t>公司股票。</w:t>
            </w:r>
          </w:p>
        </w:tc>
      </w:tr>
      <w:tr>
        <w:trPr>
          <w:trHeight w:val="1297" w:hRule="atLeast"/>
        </w:trPr>
        <w:tc>
          <w:tcPr>
            <w:tcW w:w="8782" w:type="dxa"/>
            <w:vAlign w:val="top"/>
            <w:gridSpan w:val="3"/>
          </w:tcPr>
          <w:p>
            <w:pPr>
              <w:spacing w:line="244" w:lineRule="auto"/>
              <w:rPr>
                <w:rFonts w:ascii="Arial"/>
                <w:sz w:val="21"/>
              </w:rPr>
            </w:pPr>
            <w:r/>
          </w:p>
          <w:p>
            <w:pPr>
              <w:pStyle w:val="TableText"/>
              <w:ind w:left="105" w:right="146" w:firstLine="17"/>
              <w:spacing w:before="85" w:line="236" w:lineRule="auto"/>
              <w:rPr/>
            </w:pPr>
            <w:r>
              <w:rPr>
                <w:b/>
                <w:bCs/>
                <w:spacing w:val="7"/>
              </w:rPr>
              <w:t>【行政处罚决定】</w:t>
            </w:r>
            <w:r>
              <w:rPr>
                <w:spacing w:val="7"/>
              </w:rPr>
              <w:t>中国证券监督管理委员会山西监管局决定</w:t>
            </w:r>
            <w:r>
              <w:rPr>
                <w:spacing w:val="-18"/>
              </w:rPr>
              <w:t xml:space="preserve"> </w:t>
            </w:r>
            <w:r>
              <w:rPr>
                <w:spacing w:val="7"/>
              </w:rPr>
              <w:t>：对冉某夫处以600,00</w:t>
            </w:r>
            <w:r>
              <w:rPr>
                <w:spacing w:val="6"/>
              </w:rPr>
              <w:t>0元罚款；</w:t>
            </w:r>
            <w:r>
              <w:rPr/>
              <w:t xml:space="preserve"> </w:t>
            </w:r>
            <w:r>
              <w:rPr>
                <w:spacing w:val="7"/>
              </w:rPr>
              <w:t>对李伟处以550,000元罚款。</w:t>
            </w:r>
          </w:p>
        </w:tc>
      </w:tr>
    </w:tbl>
    <w:p>
      <w:pPr>
        <w:pStyle w:val="BodyText"/>
        <w:rPr/>
      </w:pPr>
      <w:r/>
    </w:p>
    <w:p>
      <w:pPr>
        <w:sectPr>
          <w:pgSz w:w="11910" w:h="16840"/>
          <w:pgMar w:top="374" w:right="661" w:bottom="400" w:left="463" w:header="0" w:footer="0" w:gutter="0"/>
        </w:sectPr>
        <w:rPr/>
      </w:pPr>
    </w:p>
    <w:p>
      <w:pPr>
        <w:spacing w:before="47"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3"/>
        </w:rPr>
        <w:t>（2）行政处罚决定事先告知书</w:t>
      </w:r>
    </w:p>
    <w:p>
      <w:pPr>
        <w:spacing w:before="46"/>
        <w:rPr/>
      </w:pPr>
      <w:r/>
    </w:p>
    <w:p>
      <w:pPr>
        <w:spacing w:before="45"/>
        <w:rPr/>
      </w:pPr>
      <w:r/>
    </w:p>
    <w:tbl>
      <w:tblPr>
        <w:tblStyle w:val="TableNormal"/>
        <w:tblW w:w="8804" w:type="dxa"/>
        <w:tblInd w:w="82"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330"/>
        <w:gridCol w:w="1343"/>
        <w:gridCol w:w="6131"/>
      </w:tblGrid>
      <w:tr>
        <w:trPr>
          <w:trHeight w:val="387" w:hRule="atLeast"/>
        </w:trPr>
        <w:tc>
          <w:tcPr>
            <w:shd w:val="clear" w:fill="4F81BD"/>
            <w:tcW w:w="1330" w:type="dxa"/>
            <w:vAlign w:val="top"/>
            <w:tcBorders>
              <w:bottom w:val="single" w:color="4F81BD" w:sz="2" w:space="0"/>
            </w:tcBorders>
          </w:tcPr>
          <w:p>
            <w:pPr>
              <w:pStyle w:val="TableText"/>
              <w:ind w:left="239"/>
              <w:spacing w:before="109" w:line="187" w:lineRule="auto"/>
              <w:rPr/>
            </w:pPr>
            <w:r>
              <w:rPr>
                <w:b/>
                <w:bCs/>
                <w:color w:val="FFFFFF"/>
                <w:spacing w:val="8"/>
              </w:rPr>
              <w:t>公司代码</w:t>
            </w:r>
          </w:p>
        </w:tc>
        <w:tc>
          <w:tcPr>
            <w:shd w:val="clear" w:fill="4F81BD"/>
            <w:tcW w:w="1343" w:type="dxa"/>
            <w:vAlign w:val="top"/>
            <w:tcBorders>
              <w:bottom w:val="single" w:color="4F81BD" w:sz="2" w:space="0"/>
            </w:tcBorders>
          </w:tcPr>
          <w:p>
            <w:pPr>
              <w:pStyle w:val="TableText"/>
              <w:ind w:left="244"/>
              <w:spacing w:before="109" w:line="187" w:lineRule="auto"/>
              <w:rPr/>
            </w:pPr>
            <w:r>
              <w:rPr>
                <w:b/>
                <w:bCs/>
                <w:color w:val="FFFFFF"/>
                <w:spacing w:val="8"/>
              </w:rPr>
              <w:t>公司简称</w:t>
            </w:r>
          </w:p>
        </w:tc>
        <w:tc>
          <w:tcPr>
            <w:shd w:val="clear" w:fill="4F81BD"/>
            <w:tcW w:w="6131" w:type="dxa"/>
            <w:vAlign w:val="top"/>
            <w:tcBorders>
              <w:bottom w:val="single" w:color="4F81BD" w:sz="2" w:space="0"/>
            </w:tcBorders>
          </w:tcPr>
          <w:p>
            <w:pPr>
              <w:pStyle w:val="TableText"/>
              <w:ind w:left="2639"/>
              <w:spacing w:before="109" w:line="187" w:lineRule="auto"/>
              <w:rPr/>
            </w:pPr>
            <w:r>
              <w:rPr>
                <w:b/>
                <w:bCs/>
                <w:color w:val="FFFFFF"/>
                <w:spacing w:val="8"/>
              </w:rPr>
              <w:t>违规行为</w:t>
            </w:r>
          </w:p>
        </w:tc>
      </w:tr>
      <w:tr>
        <w:trPr>
          <w:trHeight w:val="728" w:hRule="atLeast"/>
        </w:trPr>
        <w:tc>
          <w:tcPr>
            <w:shd w:val="clear" w:fill="B8CCE4"/>
            <w:tcW w:w="1330" w:type="dxa"/>
            <w:vAlign w:val="top"/>
            <w:tcBorders>
              <w:top w:val="single" w:color="4F81BD" w:sz="2" w:space="0"/>
            </w:tcBorders>
          </w:tcPr>
          <w:p>
            <w:pPr>
              <w:pStyle w:val="TableText"/>
              <w:ind w:left="295"/>
              <w:spacing w:before="280" w:line="179" w:lineRule="auto"/>
              <w:rPr/>
            </w:pPr>
            <w:r>
              <w:rPr>
                <w:spacing w:val="3"/>
              </w:rPr>
              <w:t>002581</w:t>
            </w:r>
          </w:p>
        </w:tc>
        <w:tc>
          <w:tcPr>
            <w:shd w:val="clear" w:fill="B8CCE4"/>
            <w:tcW w:w="1343" w:type="dxa"/>
            <w:vAlign w:val="top"/>
            <w:tcBorders>
              <w:top w:val="single" w:color="4F81BD" w:sz="2" w:space="0"/>
            </w:tcBorders>
          </w:tcPr>
          <w:p>
            <w:pPr>
              <w:pStyle w:val="TableText"/>
              <w:ind w:left="242"/>
              <w:spacing w:before="267" w:line="189" w:lineRule="auto"/>
              <w:rPr/>
            </w:pPr>
            <w:r>
              <w:rPr>
                <w:spacing w:val="8"/>
              </w:rPr>
              <w:t>未名医药</w:t>
            </w:r>
          </w:p>
        </w:tc>
        <w:tc>
          <w:tcPr>
            <w:shd w:val="clear" w:fill="B8CCE4"/>
            <w:tcW w:w="6131" w:type="dxa"/>
            <w:vAlign w:val="top"/>
            <w:tcBorders>
              <w:top w:val="single" w:color="4F81BD" w:sz="2" w:space="0"/>
            </w:tcBorders>
          </w:tcPr>
          <w:p>
            <w:pPr>
              <w:pStyle w:val="TableText"/>
              <w:ind w:left="99" w:right="141"/>
              <w:spacing w:before="88" w:line="220" w:lineRule="auto"/>
              <w:rPr/>
            </w:pPr>
            <w:r>
              <w:rPr>
                <w:spacing w:val="10"/>
              </w:rPr>
              <w:t>未按规定披露关联方及非经营性关联交易；未按</w:t>
            </w:r>
            <w:r>
              <w:rPr>
                <w:spacing w:val="9"/>
              </w:rPr>
              <w:t>规定及时披露重</w:t>
            </w:r>
            <w:r>
              <w:rPr/>
              <w:t xml:space="preserve"> </w:t>
            </w:r>
            <w:r>
              <w:rPr>
                <w:spacing w:val="8"/>
              </w:rPr>
              <w:t>要合同及合同履行的重大进展。</w:t>
            </w:r>
          </w:p>
        </w:tc>
      </w:tr>
      <w:tr>
        <w:trPr>
          <w:trHeight w:val="6478" w:hRule="atLeast"/>
        </w:trPr>
        <w:tc>
          <w:tcPr>
            <w:tcW w:w="8804" w:type="dxa"/>
            <w:vAlign w:val="top"/>
            <w:gridSpan w:val="3"/>
          </w:tcPr>
          <w:p>
            <w:pPr>
              <w:pStyle w:val="TableText"/>
              <w:ind w:left="123"/>
              <w:spacing w:before="42" w:line="233" w:lineRule="auto"/>
              <w:rPr/>
            </w:pPr>
            <w:r>
              <w:rPr>
                <w:b/>
                <w:bCs/>
                <w:spacing w:val="8"/>
              </w:rPr>
              <w:t>【行政处罚决定（拟）】</w:t>
            </w:r>
            <w:r>
              <w:rPr>
                <w:spacing w:val="8"/>
              </w:rPr>
              <w:t>中国证券监督管理委员会拟决定：</w:t>
            </w:r>
          </w:p>
          <w:p>
            <w:pPr>
              <w:pStyle w:val="TableText"/>
              <w:ind w:left="139"/>
              <w:spacing w:before="30" w:line="229" w:lineRule="auto"/>
              <w:rPr/>
            </w:pPr>
            <w:r>
              <w:rPr>
                <w:spacing w:val="7"/>
              </w:rPr>
              <w:t>（一）对山东未名生物医药股份有限公司责令改正</w:t>
            </w:r>
            <w:r>
              <w:rPr>
                <w:spacing w:val="-25"/>
              </w:rPr>
              <w:t xml:space="preserve"> </w:t>
            </w:r>
            <w:r>
              <w:rPr>
                <w:spacing w:val="7"/>
              </w:rPr>
              <w:t>，给予警告</w:t>
            </w:r>
            <w:r>
              <w:rPr>
                <w:spacing w:val="-28"/>
              </w:rPr>
              <w:t xml:space="preserve"> </w:t>
            </w:r>
            <w:r>
              <w:rPr>
                <w:spacing w:val="6"/>
              </w:rPr>
              <w:t>，并处以310万元罚款。</w:t>
            </w:r>
          </w:p>
          <w:p>
            <w:pPr>
              <w:pStyle w:val="TableText"/>
              <w:ind w:left="139"/>
              <w:spacing w:before="32" w:line="229" w:lineRule="auto"/>
              <w:rPr/>
            </w:pPr>
            <w:r>
              <w:rPr>
                <w:spacing w:val="7"/>
              </w:rPr>
              <w:t>（二）对实际控制人,时任董事长潘某华给予警告</w:t>
            </w:r>
            <w:r>
              <w:rPr>
                <w:spacing w:val="-25"/>
              </w:rPr>
              <w:t xml:space="preserve"> </w:t>
            </w:r>
            <w:r>
              <w:rPr>
                <w:spacing w:val="7"/>
              </w:rPr>
              <w:t>，并处以240万元</w:t>
            </w:r>
            <w:r>
              <w:rPr>
                <w:spacing w:val="6"/>
              </w:rPr>
              <w:t>罚款。</w:t>
            </w:r>
          </w:p>
          <w:p>
            <w:pPr>
              <w:pStyle w:val="TableText"/>
              <w:ind w:left="139"/>
              <w:spacing w:before="32" w:line="229" w:lineRule="auto"/>
              <w:rPr/>
            </w:pPr>
            <w:r>
              <w:rPr>
                <w:spacing w:val="6"/>
              </w:rPr>
              <w:t>（三）对时任董事罗某顺给予警告</w:t>
            </w:r>
            <w:r>
              <w:rPr>
                <w:spacing w:val="-15"/>
              </w:rPr>
              <w:t xml:space="preserve"> </w:t>
            </w:r>
            <w:r>
              <w:rPr>
                <w:spacing w:val="6"/>
              </w:rPr>
              <w:t>，并处以140万元罚款。</w:t>
            </w:r>
          </w:p>
          <w:p>
            <w:pPr>
              <w:pStyle w:val="TableText"/>
              <w:ind w:left="139"/>
              <w:spacing w:before="33" w:line="229" w:lineRule="auto"/>
              <w:rPr/>
            </w:pPr>
            <w:r>
              <w:rPr>
                <w:spacing w:val="6"/>
              </w:rPr>
              <w:t>（四）对时任董事杨某敏给予警告</w:t>
            </w:r>
            <w:r>
              <w:rPr>
                <w:spacing w:val="-15"/>
              </w:rPr>
              <w:t xml:space="preserve"> </w:t>
            </w:r>
            <w:r>
              <w:rPr>
                <w:spacing w:val="6"/>
              </w:rPr>
              <w:t>，并处以120万元罚款。</w:t>
            </w:r>
          </w:p>
          <w:p>
            <w:pPr>
              <w:pStyle w:val="TableText"/>
              <w:ind w:left="139"/>
              <w:spacing w:before="32" w:line="229" w:lineRule="auto"/>
              <w:rPr/>
            </w:pPr>
            <w:r>
              <w:rPr>
                <w:spacing w:val="6"/>
              </w:rPr>
              <w:t>（五）对时任董秘赵某给予警告</w:t>
            </w:r>
            <w:r>
              <w:rPr>
                <w:spacing w:val="-19"/>
              </w:rPr>
              <w:t xml:space="preserve"> </w:t>
            </w:r>
            <w:r>
              <w:rPr>
                <w:spacing w:val="6"/>
              </w:rPr>
              <w:t>，并处以30万元罚款。</w:t>
            </w:r>
          </w:p>
          <w:p>
            <w:pPr>
              <w:pStyle w:val="TableText"/>
              <w:ind w:left="135" w:right="102" w:firstLine="4"/>
              <w:spacing w:before="33" w:line="234" w:lineRule="auto"/>
              <w:rPr/>
            </w:pPr>
            <w:r>
              <w:rPr>
                <w:spacing w:val="11"/>
              </w:rPr>
              <w:t>（六）</w:t>
            </w:r>
            <w:r>
              <w:rPr>
                <w:spacing w:val="-28"/>
              </w:rPr>
              <w:t xml:space="preserve"> </w:t>
            </w:r>
            <w:r>
              <w:rPr>
                <w:spacing w:val="11"/>
              </w:rPr>
              <w:t>对时任监事赵某蓉、</w:t>
            </w:r>
            <w:r>
              <w:rPr>
                <w:spacing w:val="-35"/>
              </w:rPr>
              <w:t xml:space="preserve"> </w:t>
            </w:r>
            <w:r>
              <w:rPr>
                <w:spacing w:val="11"/>
              </w:rPr>
              <w:t>时任总经理丁某国、</w:t>
            </w:r>
            <w:r>
              <w:rPr>
                <w:spacing w:val="-34"/>
              </w:rPr>
              <w:t xml:space="preserve"> </w:t>
            </w:r>
            <w:r>
              <w:rPr>
                <w:spacing w:val="11"/>
              </w:rPr>
              <w:t>时任董事徐某然、</w:t>
            </w:r>
            <w:r>
              <w:rPr>
                <w:spacing w:val="-35"/>
              </w:rPr>
              <w:t xml:space="preserve"> </w:t>
            </w:r>
            <w:r>
              <w:rPr>
                <w:spacing w:val="11"/>
              </w:rPr>
              <w:t>时任董事张某诺给予警告</w:t>
            </w:r>
            <w:r>
              <w:rPr/>
              <w:t xml:space="preserve"> </w:t>
            </w:r>
            <w:r>
              <w:rPr>
                <w:spacing w:val="6"/>
              </w:rPr>
              <w:t>,</w:t>
            </w:r>
            <w:r>
              <w:rPr>
                <w:spacing w:val="15"/>
                <w:w w:val="101"/>
              </w:rPr>
              <w:t xml:space="preserve">  </w:t>
            </w:r>
            <w:r>
              <w:rPr>
                <w:spacing w:val="6"/>
              </w:rPr>
              <w:t>并分别处以20万元罚款。</w:t>
            </w:r>
          </w:p>
          <w:p>
            <w:pPr>
              <w:pStyle w:val="TableText"/>
              <w:ind w:left="139"/>
              <w:spacing w:before="51" w:line="229" w:lineRule="auto"/>
              <w:rPr/>
            </w:pPr>
            <w:r>
              <w:rPr>
                <w:spacing w:val="7"/>
              </w:rPr>
              <w:t>（七）对时任财务总监赖某博给予警告</w:t>
            </w:r>
            <w:r>
              <w:rPr>
                <w:spacing w:val="-28"/>
              </w:rPr>
              <w:t xml:space="preserve"> </w:t>
            </w:r>
            <w:r>
              <w:rPr>
                <w:spacing w:val="7"/>
              </w:rPr>
              <w:t>，并处以1</w:t>
            </w:r>
            <w:r>
              <w:rPr>
                <w:spacing w:val="6"/>
              </w:rPr>
              <w:t>0万元罚款。</w:t>
            </w:r>
          </w:p>
          <w:p>
            <w:pPr>
              <w:pStyle w:val="TableText"/>
              <w:ind w:left="139"/>
              <w:spacing w:before="32" w:line="229" w:lineRule="auto"/>
              <w:rPr/>
            </w:pPr>
            <w:r>
              <w:rPr>
                <w:spacing w:val="6"/>
              </w:rPr>
              <w:t>（八）对时任财务总监方某给予警告</w:t>
            </w:r>
            <w:r>
              <w:rPr>
                <w:spacing w:val="-10"/>
              </w:rPr>
              <w:t xml:space="preserve"> </w:t>
            </w:r>
            <w:r>
              <w:rPr>
                <w:spacing w:val="6"/>
              </w:rPr>
              <w:t>，并处以5万元罚款。</w:t>
            </w:r>
          </w:p>
          <w:p>
            <w:pPr>
              <w:pStyle w:val="TableText"/>
              <w:ind w:left="104" w:right="102" w:firstLine="10"/>
              <w:spacing w:before="75" w:line="243" w:lineRule="auto"/>
              <w:rPr/>
            </w:pPr>
            <w:r>
              <w:rPr>
                <w:spacing w:val="11"/>
              </w:rPr>
              <w:t>当事人实际控制人,时任董事长潘某华违法情节较为严重</w:t>
            </w:r>
            <w:r>
              <w:rPr>
                <w:spacing w:val="-23"/>
              </w:rPr>
              <w:t xml:space="preserve"> </w:t>
            </w:r>
            <w:r>
              <w:rPr>
                <w:spacing w:val="11"/>
              </w:rPr>
              <w:t>，</w:t>
            </w:r>
            <w:r>
              <w:rPr>
                <w:spacing w:val="-37"/>
              </w:rPr>
              <w:t xml:space="preserve"> </w:t>
            </w:r>
            <w:r>
              <w:rPr>
                <w:spacing w:val="11"/>
              </w:rPr>
              <w:t>当事人</w:t>
            </w:r>
            <w:r>
              <w:rPr>
                <w:spacing w:val="10"/>
              </w:rPr>
              <w:t>时任董事罗某顺、</w:t>
            </w:r>
            <w:r>
              <w:rPr>
                <w:spacing w:val="-38"/>
              </w:rPr>
              <w:t xml:space="preserve"> </w:t>
            </w:r>
            <w:r>
              <w:rPr>
                <w:spacing w:val="10"/>
              </w:rPr>
              <w:t>时任董事</w:t>
            </w:r>
            <w:r>
              <w:rPr/>
              <w:t xml:space="preserve"> </w:t>
            </w:r>
            <w:r>
              <w:rPr>
                <w:spacing w:val="11"/>
              </w:rPr>
              <w:t>杨某敏违法情节严重</w:t>
            </w:r>
            <w:r>
              <w:rPr>
                <w:spacing w:val="-13"/>
              </w:rPr>
              <w:t xml:space="preserve"> </w:t>
            </w:r>
            <w:r>
              <w:rPr>
                <w:spacing w:val="11"/>
              </w:rPr>
              <w:t>，依据2005年《证券法》第二百三十三条、《证券法》第二百二十一条</w:t>
            </w:r>
            <w:r>
              <w:rPr/>
              <w:t xml:space="preserve"> </w:t>
            </w:r>
            <w:r>
              <w:rPr>
                <w:spacing w:val="9"/>
              </w:rPr>
              <w:t>和《证券市场禁入规定》（证监会令第115号）第三条、第五条</w:t>
            </w:r>
            <w:r>
              <w:rPr>
                <w:spacing w:val="-12"/>
              </w:rPr>
              <w:t xml:space="preserve"> </w:t>
            </w:r>
            <w:r>
              <w:rPr>
                <w:spacing w:val="9"/>
              </w:rPr>
              <w:t>，《证券市场禁入规定》（证</w:t>
            </w:r>
            <w:r>
              <w:rPr/>
              <w:t xml:space="preserve"> </w:t>
            </w:r>
            <w:r>
              <w:rPr>
                <w:spacing w:val="12"/>
              </w:rPr>
              <w:t>监会令第185号）</w:t>
            </w:r>
            <w:r>
              <w:rPr>
                <w:spacing w:val="-34"/>
              </w:rPr>
              <w:t xml:space="preserve"> </w:t>
            </w:r>
            <w:r>
              <w:rPr>
                <w:spacing w:val="12"/>
              </w:rPr>
              <w:t>第三条、第七条的规定</w:t>
            </w:r>
            <w:r>
              <w:rPr>
                <w:spacing w:val="-21"/>
              </w:rPr>
              <w:t xml:space="preserve"> </w:t>
            </w:r>
            <w:r>
              <w:rPr>
                <w:spacing w:val="12"/>
              </w:rPr>
              <w:t>，</w:t>
            </w:r>
            <w:r>
              <w:rPr>
                <w:spacing w:val="-29"/>
              </w:rPr>
              <w:t xml:space="preserve"> </w:t>
            </w:r>
            <w:r>
              <w:rPr>
                <w:spacing w:val="12"/>
              </w:rPr>
              <w:t>中国证券监督管理委员会拟决定</w:t>
            </w:r>
            <w:r>
              <w:rPr>
                <w:spacing w:val="-13"/>
              </w:rPr>
              <w:t xml:space="preserve"> </w:t>
            </w:r>
            <w:r>
              <w:rPr>
                <w:spacing w:val="12"/>
              </w:rPr>
              <w:t>：对潘</w:t>
            </w:r>
            <w:r>
              <w:rPr>
                <w:spacing w:val="11"/>
              </w:rPr>
              <w:t>某华采取</w:t>
            </w:r>
            <w:r>
              <w:rPr/>
              <w:t xml:space="preserve"> </w:t>
            </w:r>
            <w:r>
              <w:rPr>
                <w:spacing w:val="8"/>
              </w:rPr>
              <w:t>10年市场禁入措施</w:t>
            </w:r>
            <w:r>
              <w:rPr>
                <w:spacing w:val="-28"/>
              </w:rPr>
              <w:t xml:space="preserve"> </w:t>
            </w:r>
            <w:r>
              <w:rPr>
                <w:spacing w:val="8"/>
              </w:rPr>
              <w:t>，对罗某顺、杨某敏采取5年市场禁入措施</w:t>
            </w:r>
            <w:r>
              <w:rPr>
                <w:spacing w:val="-28"/>
              </w:rPr>
              <w:t xml:space="preserve"> </w:t>
            </w:r>
            <w:r>
              <w:rPr>
                <w:spacing w:val="8"/>
              </w:rPr>
              <w:t>，</w:t>
            </w:r>
            <w:r>
              <w:rPr>
                <w:spacing w:val="-25"/>
              </w:rPr>
              <w:t xml:space="preserve"> </w:t>
            </w:r>
            <w:r>
              <w:rPr>
                <w:spacing w:val="8"/>
              </w:rPr>
              <w:t>自中国证券监</w:t>
            </w:r>
            <w:r>
              <w:rPr>
                <w:spacing w:val="7"/>
              </w:rPr>
              <w:t>督管理委员会宣</w:t>
            </w:r>
            <w:r>
              <w:rPr/>
              <w:t xml:space="preserve"> </w:t>
            </w:r>
            <w:r>
              <w:rPr>
                <w:spacing w:val="12"/>
              </w:rPr>
              <w:t>布决定之日起</w:t>
            </w:r>
            <w:r>
              <w:rPr>
                <w:spacing w:val="-21"/>
              </w:rPr>
              <w:t xml:space="preserve"> </w:t>
            </w:r>
            <w:r>
              <w:rPr>
                <w:spacing w:val="12"/>
              </w:rPr>
              <w:t>，在禁入期间内</w:t>
            </w:r>
            <w:r>
              <w:rPr>
                <w:spacing w:val="-24"/>
              </w:rPr>
              <w:t xml:space="preserve"> </w:t>
            </w:r>
            <w:r>
              <w:rPr>
                <w:spacing w:val="12"/>
              </w:rPr>
              <w:t>，</w:t>
            </w:r>
            <w:r>
              <w:rPr>
                <w:spacing w:val="-33"/>
              </w:rPr>
              <w:t xml:space="preserve"> </w:t>
            </w:r>
            <w:r>
              <w:rPr>
                <w:spacing w:val="12"/>
              </w:rPr>
              <w:t>除不得继续在原机构从事证券业务或者担任原上市公司、非</w:t>
            </w:r>
            <w:r>
              <w:rPr/>
              <w:t xml:space="preserve"> </w:t>
            </w:r>
            <w:r>
              <w:rPr>
                <w:spacing w:val="14"/>
              </w:rPr>
              <w:t>上市公众公司董事、监事、高级管理人员职务外</w:t>
            </w:r>
            <w:r>
              <w:rPr>
                <w:spacing w:val="-20"/>
              </w:rPr>
              <w:t xml:space="preserve"> </w:t>
            </w:r>
            <w:r>
              <w:rPr>
                <w:spacing w:val="13"/>
              </w:rPr>
              <w:t>，也不得在其他任何机构中从事证券业务或</w:t>
            </w:r>
            <w:r>
              <w:rPr/>
              <w:t xml:space="preserve"> </w:t>
            </w:r>
            <w:r>
              <w:rPr>
                <w:spacing w:val="9"/>
              </w:rPr>
              <w:t>者担任其他上市公司、非上市公众公司董事、监事、高级管理人员职务。</w:t>
            </w:r>
          </w:p>
        </w:tc>
      </w:tr>
      <w:tr>
        <w:trPr>
          <w:trHeight w:val="5039" w:hRule="atLeast"/>
        </w:trPr>
        <w:tc>
          <w:tcPr>
            <w:shd w:val="clear" w:fill="B8CCE4"/>
            <w:tcW w:w="1330"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295"/>
              <w:spacing w:before="86" w:line="179" w:lineRule="auto"/>
              <w:rPr/>
            </w:pPr>
            <w:r>
              <w:rPr>
                <w:spacing w:val="3"/>
              </w:rPr>
              <w:t>002145</w:t>
            </w:r>
          </w:p>
        </w:tc>
        <w:tc>
          <w:tcPr>
            <w:shd w:val="clear" w:fill="B8CCE4"/>
            <w:tcW w:w="1343"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257"/>
              <w:spacing w:before="85" w:line="190" w:lineRule="auto"/>
              <w:rPr/>
            </w:pPr>
            <w:r>
              <w:rPr>
                <w:spacing w:val="5"/>
              </w:rPr>
              <w:t>中核钛白</w:t>
            </w:r>
          </w:p>
        </w:tc>
        <w:tc>
          <w:tcPr>
            <w:shd w:val="clear" w:fill="B8CCE4"/>
            <w:tcW w:w="6131" w:type="dxa"/>
            <w:vAlign w:val="top"/>
          </w:tcPr>
          <w:p>
            <w:pPr>
              <w:pStyle w:val="TableText"/>
              <w:ind w:left="97" w:right="102" w:firstLine="2"/>
              <w:spacing w:before="104" w:line="246" w:lineRule="auto"/>
              <w:jc w:val="both"/>
              <w:rPr/>
            </w:pPr>
            <w:r>
              <w:rPr>
                <w:spacing w:val="10"/>
              </w:rPr>
              <w:t>实际控制人王某龙、其他关系方洪某炜通过衍生品</w:t>
            </w:r>
            <w:r>
              <w:rPr>
                <w:spacing w:val="9"/>
              </w:rPr>
              <w:t>交易安排</w:t>
            </w:r>
            <w:r>
              <w:rPr>
                <w:spacing w:val="-25"/>
              </w:rPr>
              <w:t xml:space="preserve"> </w:t>
            </w:r>
            <w:r>
              <w:rPr>
                <w:spacing w:val="9"/>
              </w:rPr>
              <w:t>，实</w:t>
            </w:r>
            <w:r>
              <w:rPr/>
              <w:t xml:space="preserve"> </w:t>
            </w:r>
            <w:r>
              <w:rPr>
                <w:spacing w:val="9"/>
              </w:rPr>
              <w:t>质参与非公开发行</w:t>
            </w:r>
            <w:r>
              <w:rPr>
                <w:spacing w:val="-26"/>
              </w:rPr>
              <w:t xml:space="preserve"> </w:t>
            </w:r>
            <w:r>
              <w:rPr>
                <w:spacing w:val="9"/>
              </w:rPr>
              <w:t>，并以市价融券卖出</w:t>
            </w:r>
            <w:r>
              <w:rPr>
                <w:spacing w:val="-25"/>
              </w:rPr>
              <w:t xml:space="preserve"> </w:t>
            </w:r>
            <w:r>
              <w:rPr>
                <w:spacing w:val="9"/>
              </w:rPr>
              <w:t>，提前</w:t>
            </w:r>
            <w:r>
              <w:rPr>
                <w:spacing w:val="8"/>
              </w:rPr>
              <w:t>锁定与非公开发行</w:t>
            </w:r>
            <w:r>
              <w:rPr/>
              <w:t xml:space="preserve"> </w:t>
            </w:r>
            <w:r>
              <w:rPr>
                <w:spacing w:val="9"/>
              </w:rPr>
              <w:t>股票折扣价之间的价差收益</w:t>
            </w:r>
            <w:r>
              <w:rPr>
                <w:spacing w:val="-26"/>
              </w:rPr>
              <w:t xml:space="preserve"> </w:t>
            </w:r>
            <w:r>
              <w:rPr>
                <w:spacing w:val="9"/>
              </w:rPr>
              <w:t>，变相规避限售期规定；</w:t>
            </w:r>
            <w:r>
              <w:rPr>
                <w:spacing w:val="-28"/>
              </w:rPr>
              <w:t xml:space="preserve"> </w:t>
            </w:r>
            <w:r>
              <w:rPr>
                <w:spacing w:val="8"/>
              </w:rPr>
              <w:t>中信中证为</w:t>
            </w:r>
            <w:r>
              <w:rPr/>
              <w:t xml:space="preserve"> </w:t>
            </w:r>
            <w:r>
              <w:rPr>
                <w:spacing w:val="11"/>
              </w:rPr>
              <w:t>实际控制人王某龙、其他关系方洪某炜违反限制性规定转让股票</w:t>
            </w:r>
            <w:r>
              <w:rPr>
                <w:spacing w:val="3"/>
              </w:rPr>
              <w:t xml:space="preserve"> </w:t>
            </w:r>
            <w:r>
              <w:rPr>
                <w:spacing w:val="10"/>
              </w:rPr>
              <w:t>行为制定套利方案、搭建交易架构、提供杠杆资金支持等；</w:t>
            </w:r>
            <w:r>
              <w:rPr>
                <w:spacing w:val="-28"/>
              </w:rPr>
              <w:t xml:space="preserve"> </w:t>
            </w:r>
            <w:r>
              <w:rPr>
                <w:spacing w:val="10"/>
              </w:rPr>
              <w:t>中信</w:t>
            </w:r>
            <w:r>
              <w:rPr/>
              <w:t xml:space="preserve"> </w:t>
            </w:r>
            <w:r>
              <w:rPr>
                <w:spacing w:val="10"/>
              </w:rPr>
              <w:t>证券知悉客户融券目的是定增套利</w:t>
            </w:r>
            <w:r>
              <w:rPr>
                <w:spacing w:val="-25"/>
              </w:rPr>
              <w:t xml:space="preserve"> </w:t>
            </w:r>
            <w:r>
              <w:rPr>
                <w:spacing w:val="10"/>
              </w:rPr>
              <w:t>，配合其提供融券服务</w:t>
            </w:r>
            <w:r>
              <w:rPr>
                <w:spacing w:val="9"/>
              </w:rPr>
              <w:t>；海通</w:t>
            </w:r>
            <w:r>
              <w:rPr/>
              <w:t xml:space="preserve"> </w:t>
            </w:r>
            <w:r>
              <w:rPr>
                <w:spacing w:val="11"/>
              </w:rPr>
              <w:t>证券以自己名义按照中信中证的报价指令认购中核钛白非公开发</w:t>
            </w:r>
            <w:r>
              <w:rPr>
                <w:spacing w:val="3"/>
              </w:rPr>
              <w:t xml:space="preserve"> </w:t>
            </w:r>
            <w:r>
              <w:rPr>
                <w:spacing w:val="10"/>
              </w:rPr>
              <w:t>行股票</w:t>
            </w:r>
            <w:r>
              <w:rPr>
                <w:spacing w:val="-25"/>
              </w:rPr>
              <w:t xml:space="preserve"> </w:t>
            </w:r>
            <w:r>
              <w:rPr>
                <w:spacing w:val="10"/>
              </w:rPr>
              <w:t>，客观上帮助中信中证及其客户取得股票收益；实</w:t>
            </w:r>
            <w:r>
              <w:rPr>
                <w:spacing w:val="9"/>
              </w:rPr>
              <w:t>际控制</w:t>
            </w:r>
            <w:r>
              <w:rPr/>
              <w:t xml:space="preserve"> </w:t>
            </w:r>
            <w:r>
              <w:rPr>
                <w:spacing w:val="10"/>
              </w:rPr>
              <w:t>人王某龙在其他关系方洪某炜反限制性规定转让股票过程</w:t>
            </w:r>
            <w:r>
              <w:rPr>
                <w:spacing w:val="9"/>
              </w:rPr>
              <w:t>中</w:t>
            </w:r>
            <w:r>
              <w:rPr>
                <w:spacing w:val="-25"/>
              </w:rPr>
              <w:t xml:space="preserve"> </w:t>
            </w:r>
            <w:r>
              <w:rPr>
                <w:spacing w:val="9"/>
              </w:rPr>
              <w:t>，参</w:t>
            </w:r>
            <w:r>
              <w:rPr/>
              <w:t xml:space="preserve"> </w:t>
            </w:r>
            <w:r>
              <w:rPr>
                <w:spacing w:val="9"/>
              </w:rPr>
              <w:t>与商议定增融券套利方案</w:t>
            </w:r>
            <w:r>
              <w:rPr>
                <w:spacing w:val="-20"/>
              </w:rPr>
              <w:t xml:space="preserve"> </w:t>
            </w:r>
            <w:r>
              <w:rPr>
                <w:spacing w:val="9"/>
              </w:rPr>
              <w:t>，联系并建议洪某炜加入套利；</w:t>
            </w:r>
            <w:r>
              <w:rPr>
                <w:spacing w:val="-39"/>
              </w:rPr>
              <w:t xml:space="preserve"> </w:t>
            </w:r>
            <w:r>
              <w:rPr>
                <w:spacing w:val="9"/>
              </w:rPr>
              <w:t>王某龙</w:t>
            </w:r>
            <w:r>
              <w:rPr/>
              <w:t xml:space="preserve"> </w:t>
            </w:r>
            <w:r>
              <w:rPr>
                <w:spacing w:val="14"/>
              </w:rPr>
              <w:t>作为中核钛白实际控制人</w:t>
            </w:r>
            <w:r>
              <w:rPr>
                <w:spacing w:val="-20"/>
              </w:rPr>
              <w:t xml:space="preserve"> </w:t>
            </w:r>
            <w:r>
              <w:rPr>
                <w:spacing w:val="14"/>
              </w:rPr>
              <w:t>，在中核钛白2023年非公开发行股票</w:t>
            </w:r>
            <w:r>
              <w:rPr/>
              <w:t xml:space="preserve"> </w:t>
            </w:r>
            <w:r>
              <w:rPr>
                <w:spacing w:val="9"/>
              </w:rPr>
              <w:t>过程中</w:t>
            </w:r>
            <w:r>
              <w:rPr>
                <w:spacing w:val="-22"/>
              </w:rPr>
              <w:t xml:space="preserve"> </w:t>
            </w:r>
            <w:r>
              <w:rPr>
                <w:spacing w:val="9"/>
              </w:rPr>
              <w:t>，</w:t>
            </w:r>
            <w:r>
              <w:rPr>
                <w:spacing w:val="-37"/>
              </w:rPr>
              <w:t xml:space="preserve"> </w:t>
            </w:r>
            <w:r>
              <w:rPr>
                <w:spacing w:val="9"/>
              </w:rPr>
              <w:t>隐瞒其通过一系列交易安排实际参与非公开发行的情况</w:t>
            </w:r>
            <w:r>
              <w:rPr/>
              <w:t xml:space="preserve"> </w:t>
            </w:r>
            <w:r>
              <w:rPr>
                <w:spacing w:val="16"/>
              </w:rPr>
              <w:t>,  导致中核钛白非公开发行  A股股票相</w:t>
            </w:r>
            <w:r>
              <w:rPr>
                <w:spacing w:val="15"/>
              </w:rPr>
              <w:t>关发行情况报告书存在</w:t>
            </w:r>
            <w:r>
              <w:rPr/>
              <w:t xml:space="preserve"> </w:t>
            </w:r>
            <w:r>
              <w:rPr>
                <w:spacing w:val="7"/>
              </w:rPr>
              <w:t>虚假记载。</w:t>
            </w:r>
          </w:p>
        </w:tc>
      </w:tr>
      <w:tr>
        <w:trPr>
          <w:trHeight w:val="2530" w:hRule="atLeast"/>
        </w:trPr>
        <w:tc>
          <w:tcPr>
            <w:tcW w:w="8804" w:type="dxa"/>
            <w:vAlign w:val="top"/>
            <w:gridSpan w:val="3"/>
          </w:tcPr>
          <w:p>
            <w:pPr>
              <w:pStyle w:val="TableText"/>
              <w:ind w:left="123"/>
              <w:spacing w:before="60" w:line="233" w:lineRule="auto"/>
              <w:rPr/>
            </w:pPr>
            <w:r>
              <w:rPr>
                <w:b/>
                <w:bCs/>
                <w:spacing w:val="8"/>
              </w:rPr>
              <w:t>【行政处罚决定（拟）】</w:t>
            </w:r>
            <w:r>
              <w:rPr>
                <w:spacing w:val="8"/>
              </w:rPr>
              <w:t>中国证监会拟决定：</w:t>
            </w:r>
          </w:p>
          <w:p>
            <w:pPr>
              <w:pStyle w:val="TableText"/>
              <w:ind w:left="105" w:right="102" w:firstLine="34"/>
              <w:spacing w:before="31" w:line="245" w:lineRule="auto"/>
              <w:jc w:val="both"/>
              <w:rPr/>
            </w:pPr>
            <w:r>
              <w:rPr>
                <w:spacing w:val="11"/>
              </w:rPr>
              <w:t>（一</w:t>
            </w:r>
            <w:r>
              <w:rPr>
                <w:spacing w:val="-19"/>
              </w:rPr>
              <w:t xml:space="preserve"> </w:t>
            </w:r>
            <w:r>
              <w:rPr>
                <w:spacing w:val="11"/>
              </w:rPr>
              <w:t>）依据《证券法》第一百八十六条的规定</w:t>
            </w:r>
            <w:r>
              <w:rPr>
                <w:spacing w:val="-23"/>
              </w:rPr>
              <w:t xml:space="preserve"> </w:t>
            </w:r>
            <w:r>
              <w:rPr>
                <w:spacing w:val="11"/>
              </w:rPr>
              <w:t>，对王某龙、洪某炜、</w:t>
            </w:r>
            <w:r>
              <w:rPr>
                <w:spacing w:val="-31"/>
              </w:rPr>
              <w:t xml:space="preserve"> </w:t>
            </w:r>
            <w:r>
              <w:rPr>
                <w:spacing w:val="11"/>
              </w:rPr>
              <w:t>中信中证资本管理有限</w:t>
            </w:r>
            <w:r>
              <w:rPr/>
              <w:t xml:space="preserve"> </w:t>
            </w:r>
            <w:r>
              <w:rPr>
                <w:spacing w:val="14"/>
              </w:rPr>
              <w:t>公司、</w:t>
            </w:r>
            <w:r>
              <w:rPr>
                <w:spacing w:val="-31"/>
              </w:rPr>
              <w:t xml:space="preserve"> </w:t>
            </w:r>
            <w:r>
              <w:rPr>
                <w:spacing w:val="14"/>
              </w:rPr>
              <w:t>中信证券股份有限公司、海通证券股份有限公司、韩某辰违反限</w:t>
            </w:r>
            <w:r>
              <w:rPr>
                <w:spacing w:val="13"/>
              </w:rPr>
              <w:t>制性规定转让股票的</w:t>
            </w:r>
            <w:r>
              <w:rPr/>
              <w:t xml:space="preserve"> </w:t>
            </w:r>
            <w:r>
              <w:rPr>
                <w:spacing w:val="7"/>
              </w:rPr>
              <w:t>违法行为</w:t>
            </w:r>
            <w:r>
              <w:rPr>
                <w:spacing w:val="-26"/>
              </w:rPr>
              <w:t xml:space="preserve"> </w:t>
            </w:r>
            <w:r>
              <w:rPr>
                <w:spacing w:val="7"/>
              </w:rPr>
              <w:t>，责令改正</w:t>
            </w:r>
            <w:r>
              <w:rPr>
                <w:spacing w:val="-25"/>
              </w:rPr>
              <w:t xml:space="preserve"> </w:t>
            </w:r>
            <w:r>
              <w:rPr>
                <w:spacing w:val="7"/>
              </w:rPr>
              <w:t>，给予警告</w:t>
            </w:r>
            <w:r>
              <w:rPr>
                <w:spacing w:val="-26"/>
              </w:rPr>
              <w:t xml:space="preserve"> </w:t>
            </w:r>
            <w:r>
              <w:rPr>
                <w:spacing w:val="7"/>
              </w:rPr>
              <w:t>，没收违法所得77,531,959.84元</w:t>
            </w:r>
            <w:r>
              <w:rPr>
                <w:spacing w:val="-25"/>
              </w:rPr>
              <w:t xml:space="preserve"> </w:t>
            </w:r>
            <w:r>
              <w:rPr>
                <w:spacing w:val="7"/>
              </w:rPr>
              <w:t>，其中没收王某龙违法</w:t>
            </w:r>
            <w:r>
              <w:rPr>
                <w:spacing w:val="6"/>
              </w:rPr>
              <w:t>所得</w:t>
            </w:r>
            <w:r>
              <w:rPr/>
              <w:t xml:space="preserve"> </w:t>
            </w:r>
            <w:r>
              <w:rPr>
                <w:spacing w:val="9"/>
              </w:rPr>
              <w:t>60,637,954.37元</w:t>
            </w:r>
            <w:r>
              <w:rPr>
                <w:spacing w:val="-20"/>
              </w:rPr>
              <w:t xml:space="preserve"> </w:t>
            </w:r>
            <w:r>
              <w:rPr>
                <w:spacing w:val="9"/>
              </w:rPr>
              <w:t>，没收洪某炜违法所得14,193,879.43元</w:t>
            </w:r>
            <w:r>
              <w:rPr>
                <w:spacing w:val="-21"/>
              </w:rPr>
              <w:t xml:space="preserve"> </w:t>
            </w:r>
            <w:r>
              <w:rPr>
                <w:spacing w:val="9"/>
              </w:rPr>
              <w:t>，没收中信</w:t>
            </w:r>
            <w:r>
              <w:rPr>
                <w:spacing w:val="8"/>
              </w:rPr>
              <w:t>证券股份有限公司违法</w:t>
            </w:r>
            <w:r>
              <w:rPr/>
              <w:t xml:space="preserve"> </w:t>
            </w:r>
            <w:r>
              <w:rPr>
                <w:spacing w:val="7"/>
              </w:rPr>
              <w:t>所得1,910,680.83元</w:t>
            </w:r>
            <w:r>
              <w:rPr>
                <w:spacing w:val="-28"/>
              </w:rPr>
              <w:t xml:space="preserve"> </w:t>
            </w:r>
            <w:r>
              <w:rPr>
                <w:spacing w:val="7"/>
              </w:rPr>
              <w:t>，没收海通</w:t>
            </w:r>
            <w:r>
              <w:rPr>
                <w:spacing w:val="6"/>
              </w:rPr>
              <w:t>证券股份有限公司违法所得789,445.21元；</w:t>
            </w:r>
          </w:p>
          <w:p>
            <w:pPr>
              <w:pStyle w:val="TableText"/>
              <w:ind w:left="106"/>
              <w:spacing w:before="88" w:line="178" w:lineRule="auto"/>
              <w:rPr/>
            </w:pPr>
            <w:r>
              <w:rPr>
                <w:spacing w:val="13"/>
              </w:rPr>
              <w:t>对王某龙与中信中证资本管理有限公司、</w:t>
            </w:r>
            <w:r>
              <w:rPr>
                <w:spacing w:val="-15"/>
              </w:rPr>
              <w:t xml:space="preserve"> </w:t>
            </w:r>
            <w:r>
              <w:rPr>
                <w:spacing w:val="13"/>
              </w:rPr>
              <w:t>中信证券股份有限公司、海通证券股份有限公司、</w:t>
            </w:r>
          </w:p>
        </w:tc>
      </w:tr>
    </w:tbl>
    <w:p>
      <w:pPr>
        <w:pStyle w:val="BodyText"/>
        <w:spacing w:line="14" w:lineRule="auto"/>
        <w:rPr>
          <w:sz w:val="2"/>
        </w:rPr>
      </w:pPr>
      <w:r/>
    </w:p>
    <w:p>
      <w:pPr>
        <w:spacing w:line="14" w:lineRule="auto"/>
        <w:sectPr>
          <w:pgSz w:w="11910" w:h="16840"/>
          <w:pgMar w:top="400" w:right="1577" w:bottom="177" w:left="1438" w:header="0" w:footer="0" w:gutter="0"/>
        </w:sectPr>
        <w:rPr>
          <w:sz w:val="2"/>
          <w:szCs w:val="2"/>
        </w:rPr>
      </w:pPr>
    </w:p>
    <w:tbl>
      <w:tblPr>
        <w:tblStyle w:val="TableNormal"/>
        <w:tblW w:w="8804"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330"/>
        <w:gridCol w:w="1343"/>
        <w:gridCol w:w="6131"/>
      </w:tblGrid>
      <w:tr>
        <w:trPr>
          <w:trHeight w:val="3978" w:hRule="atLeast"/>
        </w:trPr>
        <w:tc>
          <w:tcPr>
            <w:tcW w:w="8804" w:type="dxa"/>
            <w:vAlign w:val="top"/>
            <w:gridSpan w:val="3"/>
            <w:tcBorders>
              <w:top w:val="single" w:color="4F81BD" w:sz="2" w:space="0"/>
            </w:tcBorders>
          </w:tcPr>
          <w:p>
            <w:pPr>
              <w:pStyle w:val="TableText"/>
              <w:ind w:left="105" w:right="102" w:firstLine="2"/>
              <w:spacing w:before="104"/>
              <w:jc w:val="both"/>
              <w:rPr/>
            </w:pPr>
            <w:r>
              <w:rPr>
                <w:spacing w:val="9"/>
              </w:rPr>
              <w:t>韩某辰违反限制性规定转让股票的共同违法行为处以罚</w:t>
            </w:r>
            <w:r>
              <w:rPr>
                <w:spacing w:val="8"/>
              </w:rPr>
              <w:t>款120,000,000元</w:t>
            </w:r>
            <w:r>
              <w:rPr>
                <w:spacing w:val="-26"/>
              </w:rPr>
              <w:t xml:space="preserve"> </w:t>
            </w:r>
            <w:r>
              <w:rPr>
                <w:spacing w:val="8"/>
              </w:rPr>
              <w:t>，其中由王某龙承担</w:t>
            </w:r>
            <w:r>
              <w:rPr/>
              <w:t xml:space="preserve"> </w:t>
            </w:r>
            <w:r>
              <w:rPr>
                <w:spacing w:val="7"/>
              </w:rPr>
              <w:t>50%即60,000,000元</w:t>
            </w:r>
            <w:r>
              <w:rPr>
                <w:spacing w:val="-23"/>
              </w:rPr>
              <w:t xml:space="preserve"> </w:t>
            </w:r>
            <w:r>
              <w:rPr>
                <w:spacing w:val="7"/>
              </w:rPr>
              <w:t>，</w:t>
            </w:r>
            <w:r>
              <w:rPr>
                <w:spacing w:val="-34"/>
              </w:rPr>
              <w:t xml:space="preserve"> </w:t>
            </w:r>
            <w:r>
              <w:rPr>
                <w:spacing w:val="7"/>
              </w:rPr>
              <w:t>中信中证资本管理有限公司承担30%即36,000,000元</w:t>
            </w:r>
            <w:r>
              <w:rPr>
                <w:spacing w:val="-23"/>
              </w:rPr>
              <w:t xml:space="preserve"> </w:t>
            </w:r>
            <w:r>
              <w:rPr>
                <w:spacing w:val="7"/>
              </w:rPr>
              <w:t>，</w:t>
            </w:r>
            <w:r>
              <w:rPr>
                <w:spacing w:val="-34"/>
              </w:rPr>
              <w:t xml:space="preserve"> </w:t>
            </w:r>
            <w:r>
              <w:rPr>
                <w:spacing w:val="7"/>
              </w:rPr>
              <w:t>中信</w:t>
            </w:r>
            <w:r>
              <w:rPr>
                <w:spacing w:val="6"/>
              </w:rPr>
              <w:t>证券股份</w:t>
            </w:r>
            <w:r>
              <w:rPr/>
              <w:t xml:space="preserve"> </w:t>
            </w:r>
            <w:r>
              <w:rPr>
                <w:spacing w:val="9"/>
              </w:rPr>
              <w:t>有限公司承担15%即18,000,000元</w:t>
            </w:r>
            <w:r>
              <w:rPr>
                <w:spacing w:val="-14"/>
              </w:rPr>
              <w:t xml:space="preserve"> </w:t>
            </w:r>
            <w:r>
              <w:rPr>
                <w:spacing w:val="9"/>
              </w:rPr>
              <w:t>，海通证券股份有限公司承担4.5%即5,400,000元</w:t>
            </w:r>
            <w:r>
              <w:rPr>
                <w:spacing w:val="-20"/>
              </w:rPr>
              <w:t xml:space="preserve"> </w:t>
            </w:r>
            <w:r>
              <w:rPr>
                <w:spacing w:val="9"/>
              </w:rPr>
              <w:t>，韩某</w:t>
            </w:r>
            <w:r>
              <w:rPr/>
              <w:t xml:space="preserve"> </w:t>
            </w:r>
            <w:r>
              <w:rPr>
                <w:spacing w:val="6"/>
              </w:rPr>
              <w:t>辰承担0.5%即600,000元；</w:t>
            </w:r>
          </w:p>
          <w:p>
            <w:pPr>
              <w:pStyle w:val="TableText"/>
              <w:ind w:left="105" w:right="102"/>
              <w:spacing w:before="62" w:line="243" w:lineRule="auto"/>
              <w:jc w:val="both"/>
              <w:rPr/>
            </w:pPr>
            <w:r>
              <w:rPr>
                <w:spacing w:val="13"/>
              </w:rPr>
              <w:t>对洪某炜与王某龙、</w:t>
            </w:r>
            <w:r>
              <w:rPr>
                <w:spacing w:val="-29"/>
              </w:rPr>
              <w:t xml:space="preserve"> </w:t>
            </w:r>
            <w:r>
              <w:rPr>
                <w:spacing w:val="13"/>
              </w:rPr>
              <w:t>中信中证资本管理有限公司、</w:t>
            </w:r>
            <w:r>
              <w:rPr>
                <w:spacing w:val="-31"/>
              </w:rPr>
              <w:t xml:space="preserve"> </w:t>
            </w:r>
            <w:r>
              <w:rPr>
                <w:spacing w:val="13"/>
              </w:rPr>
              <w:t>中信证券股份有限公司、海通证券股份有</w:t>
            </w:r>
            <w:r>
              <w:rPr/>
              <w:t xml:space="preserve"> </w:t>
            </w:r>
            <w:r>
              <w:rPr>
                <w:spacing w:val="11"/>
              </w:rPr>
              <w:t>限公司、韩某辰违反限制性规定转让股票的共同违法行为处以罚款35,000,000元</w:t>
            </w:r>
            <w:r>
              <w:rPr>
                <w:spacing w:val="-12"/>
              </w:rPr>
              <w:t xml:space="preserve"> </w:t>
            </w:r>
            <w:r>
              <w:rPr>
                <w:spacing w:val="11"/>
              </w:rPr>
              <w:t>，其中由王</w:t>
            </w:r>
            <w:r>
              <w:rPr/>
              <w:t xml:space="preserve"> </w:t>
            </w:r>
            <w:r>
              <w:rPr>
                <w:spacing w:val="8"/>
              </w:rPr>
              <w:t>某龙承担30%即10,500,000元</w:t>
            </w:r>
            <w:r>
              <w:rPr>
                <w:spacing w:val="-23"/>
              </w:rPr>
              <w:t xml:space="preserve"> </w:t>
            </w:r>
            <w:r>
              <w:rPr>
                <w:spacing w:val="8"/>
              </w:rPr>
              <w:t>，</w:t>
            </w:r>
            <w:r>
              <w:rPr>
                <w:spacing w:val="-34"/>
              </w:rPr>
              <w:t xml:space="preserve"> </w:t>
            </w:r>
            <w:r>
              <w:rPr>
                <w:spacing w:val="8"/>
              </w:rPr>
              <w:t>中</w:t>
            </w:r>
            <w:r>
              <w:rPr>
                <w:spacing w:val="7"/>
              </w:rPr>
              <w:t>信中证资本管理有限公司承担30%即10,500,000元</w:t>
            </w:r>
            <w:r>
              <w:rPr>
                <w:spacing w:val="-23"/>
              </w:rPr>
              <w:t xml:space="preserve"> </w:t>
            </w:r>
            <w:r>
              <w:rPr>
                <w:spacing w:val="7"/>
              </w:rPr>
              <w:t>，洪浩</w:t>
            </w:r>
            <w:r>
              <w:rPr/>
              <w:t xml:space="preserve"> </w:t>
            </w:r>
            <w:r>
              <w:rPr>
                <w:spacing w:val="8"/>
              </w:rPr>
              <w:t>炜承担20%即7,000,000元</w:t>
            </w:r>
            <w:r>
              <w:rPr>
                <w:spacing w:val="-14"/>
              </w:rPr>
              <w:t xml:space="preserve"> </w:t>
            </w:r>
            <w:r>
              <w:rPr>
                <w:spacing w:val="8"/>
              </w:rPr>
              <w:t>，</w:t>
            </w:r>
            <w:r>
              <w:rPr>
                <w:spacing w:val="-32"/>
              </w:rPr>
              <w:t xml:space="preserve"> </w:t>
            </w:r>
            <w:r>
              <w:rPr>
                <w:spacing w:val="8"/>
              </w:rPr>
              <w:t>中信证券股份有限公司承担15%即5,250,000元</w:t>
            </w:r>
            <w:r>
              <w:rPr>
                <w:spacing w:val="-23"/>
              </w:rPr>
              <w:t xml:space="preserve"> </w:t>
            </w:r>
            <w:r>
              <w:rPr>
                <w:spacing w:val="8"/>
              </w:rPr>
              <w:t>，海通证券股份</w:t>
            </w:r>
            <w:r>
              <w:rPr/>
              <w:t xml:space="preserve"> </w:t>
            </w:r>
            <w:r>
              <w:rPr>
                <w:spacing w:val="6"/>
              </w:rPr>
              <w:t>有限公司承担4.5%即1,575,000元</w:t>
            </w:r>
            <w:r>
              <w:rPr>
                <w:spacing w:val="-22"/>
              </w:rPr>
              <w:t xml:space="preserve"> </w:t>
            </w:r>
            <w:r>
              <w:rPr>
                <w:spacing w:val="6"/>
              </w:rPr>
              <w:t>，韩某辰承担0.5%即175,000元。</w:t>
            </w:r>
          </w:p>
          <w:p>
            <w:pPr>
              <w:pStyle w:val="TableText"/>
              <w:ind w:left="115" w:right="102" w:firstLine="24"/>
              <w:spacing w:before="27" w:line="232" w:lineRule="auto"/>
              <w:jc w:val="both"/>
              <w:rPr/>
            </w:pPr>
            <w:r>
              <w:rPr>
                <w:spacing w:val="21"/>
              </w:rPr>
              <w:t>（二</w:t>
            </w:r>
            <w:r>
              <w:rPr>
                <w:spacing w:val="-21"/>
              </w:rPr>
              <w:t xml:space="preserve"> </w:t>
            </w:r>
            <w:r>
              <w:rPr>
                <w:spacing w:val="21"/>
              </w:rPr>
              <w:t>）</w:t>
            </w:r>
            <w:r>
              <w:rPr>
                <w:spacing w:val="-35"/>
              </w:rPr>
              <w:t xml:space="preserve"> </w:t>
            </w:r>
            <w:r>
              <w:rPr>
                <w:spacing w:val="21"/>
              </w:rPr>
              <w:t>依据《证券法》第一</w:t>
            </w:r>
            <w:r>
              <w:rPr>
                <w:spacing w:val="-35"/>
              </w:rPr>
              <w:t xml:space="preserve"> </w:t>
            </w:r>
            <w:r>
              <w:rPr>
                <w:spacing w:val="21"/>
              </w:rPr>
              <w:t>百九十七条第二款的规定</w:t>
            </w:r>
            <w:r>
              <w:rPr>
                <w:spacing w:val="-11"/>
              </w:rPr>
              <w:t xml:space="preserve"> </w:t>
            </w:r>
            <w:r>
              <w:rPr>
                <w:spacing w:val="21"/>
              </w:rPr>
              <w:t>，</w:t>
            </w:r>
            <w:r>
              <w:rPr>
                <w:spacing w:val="-33"/>
              </w:rPr>
              <w:t xml:space="preserve"> </w:t>
            </w:r>
            <w:r>
              <w:rPr>
                <w:spacing w:val="20"/>
              </w:rPr>
              <w:t>对王某龙信息披露违法行为处以</w:t>
            </w:r>
            <w:r>
              <w:rPr/>
              <w:t xml:space="preserve"> </w:t>
            </w:r>
            <w:r>
              <w:rPr>
                <w:spacing w:val="4"/>
              </w:rPr>
              <w:t>2,000,000元罚款。</w:t>
            </w:r>
          </w:p>
        </w:tc>
      </w:tr>
      <w:tr>
        <w:trPr>
          <w:trHeight w:val="1083" w:hRule="atLeast"/>
        </w:trPr>
        <w:tc>
          <w:tcPr>
            <w:shd w:val="clear" w:fill="B8CCE4"/>
            <w:tcW w:w="1330" w:type="dxa"/>
            <w:vAlign w:val="top"/>
          </w:tcPr>
          <w:p>
            <w:pPr>
              <w:spacing w:line="375" w:lineRule="auto"/>
              <w:rPr>
                <w:rFonts w:ascii="Arial"/>
                <w:sz w:val="21"/>
              </w:rPr>
            </w:pPr>
            <w:r/>
          </w:p>
          <w:p>
            <w:pPr>
              <w:pStyle w:val="TableText"/>
              <w:ind w:left="298"/>
              <w:spacing w:before="86" w:line="178" w:lineRule="auto"/>
              <w:rPr/>
            </w:pPr>
            <w:r>
              <w:rPr>
                <w:spacing w:val="3"/>
              </w:rPr>
              <w:t>600070</w:t>
            </w:r>
          </w:p>
        </w:tc>
        <w:tc>
          <w:tcPr>
            <w:shd w:val="clear" w:fill="B8CCE4"/>
            <w:tcW w:w="1343" w:type="dxa"/>
            <w:vAlign w:val="top"/>
          </w:tcPr>
          <w:p>
            <w:pPr>
              <w:spacing w:line="360" w:lineRule="auto"/>
              <w:rPr>
                <w:rFonts w:ascii="Arial"/>
                <w:sz w:val="21"/>
              </w:rPr>
            </w:pPr>
            <w:r/>
          </w:p>
          <w:p>
            <w:pPr>
              <w:pStyle w:val="TableText"/>
              <w:ind w:left="341"/>
              <w:spacing w:before="86" w:line="189" w:lineRule="auto"/>
              <w:rPr/>
            </w:pPr>
            <w:r>
              <w:rPr/>
              <w:t>ST</w:t>
            </w:r>
            <w:r>
              <w:rPr>
                <w:spacing w:val="7"/>
              </w:rPr>
              <w:t>富润</w:t>
            </w:r>
          </w:p>
        </w:tc>
        <w:tc>
          <w:tcPr>
            <w:shd w:val="clear" w:fill="B8CCE4"/>
            <w:tcW w:w="6131" w:type="dxa"/>
            <w:vAlign w:val="top"/>
          </w:tcPr>
          <w:p>
            <w:pPr>
              <w:pStyle w:val="TableText"/>
              <w:ind w:left="99" w:right="105"/>
              <w:spacing w:before="52" w:line="238" w:lineRule="auto"/>
              <w:jc w:val="both"/>
              <w:rPr/>
            </w:pPr>
            <w:r>
              <w:rPr>
                <w:spacing w:val="15"/>
              </w:rPr>
              <w:t>浙江富润发布《关于前期</w:t>
            </w:r>
            <w:r>
              <w:rPr>
                <w:b/>
                <w:bCs/>
                <w:spacing w:val="15"/>
              </w:rPr>
              <w:t>会计差错更正及追溯调整</w:t>
            </w:r>
            <w:r>
              <w:rPr>
                <w:spacing w:val="15"/>
              </w:rPr>
              <w:t>的公告》</w:t>
            </w:r>
            <w:r>
              <w:rPr>
                <w:spacing w:val="-18"/>
              </w:rPr>
              <w:t xml:space="preserve"> </w:t>
            </w:r>
            <w:r>
              <w:rPr>
                <w:spacing w:val="15"/>
              </w:rPr>
              <w:t>,对</w:t>
            </w:r>
            <w:r>
              <w:rPr/>
              <w:t xml:space="preserve"> </w:t>
            </w:r>
            <w:r>
              <w:rPr>
                <w:spacing w:val="8"/>
              </w:rPr>
              <w:t>2020年年报、</w:t>
            </w:r>
            <w:r>
              <w:rPr>
                <w:spacing w:val="-22"/>
              </w:rPr>
              <w:t xml:space="preserve"> </w:t>
            </w:r>
            <w:r>
              <w:rPr>
                <w:spacing w:val="8"/>
              </w:rPr>
              <w:t>2021年年报和2022年半年报等报告的相关财务数</w:t>
            </w:r>
            <w:r>
              <w:rPr/>
              <w:t xml:space="preserve"> </w:t>
            </w:r>
            <w:r>
              <w:rPr>
                <w:spacing w:val="7"/>
              </w:rPr>
              <w:t>据进行调整。</w:t>
            </w:r>
          </w:p>
        </w:tc>
      </w:tr>
      <w:tr>
        <w:trPr>
          <w:trHeight w:val="1812" w:hRule="atLeast"/>
        </w:trPr>
        <w:tc>
          <w:tcPr>
            <w:tcW w:w="8804" w:type="dxa"/>
            <w:vAlign w:val="top"/>
            <w:gridSpan w:val="3"/>
          </w:tcPr>
          <w:p>
            <w:pPr>
              <w:pStyle w:val="TableText"/>
              <w:ind w:left="123"/>
              <w:spacing w:before="49" w:line="233" w:lineRule="auto"/>
              <w:rPr/>
            </w:pPr>
            <w:r>
              <w:rPr>
                <w:b/>
                <w:bCs/>
                <w:spacing w:val="9"/>
              </w:rPr>
              <w:t>【行政处罚决定（拟）】</w:t>
            </w:r>
            <w:r>
              <w:rPr>
                <w:spacing w:val="9"/>
              </w:rPr>
              <w:t>中国证券监督管理委员会浙江监管局拟</w:t>
            </w:r>
            <w:r>
              <w:rPr>
                <w:spacing w:val="8"/>
              </w:rPr>
              <w:t>决定：</w:t>
            </w:r>
          </w:p>
          <w:p>
            <w:pPr>
              <w:pStyle w:val="TableText"/>
              <w:ind w:left="139"/>
              <w:spacing w:before="30" w:line="229" w:lineRule="auto"/>
              <w:rPr/>
            </w:pPr>
            <w:r>
              <w:rPr>
                <w:spacing w:val="7"/>
              </w:rPr>
              <w:t>（一）对浙江富润数字科技股份有限公司责令改正</w:t>
            </w:r>
            <w:r>
              <w:rPr>
                <w:spacing w:val="-25"/>
              </w:rPr>
              <w:t xml:space="preserve"> </w:t>
            </w:r>
            <w:r>
              <w:rPr>
                <w:spacing w:val="7"/>
              </w:rPr>
              <w:t>，给予警告</w:t>
            </w:r>
            <w:r>
              <w:rPr>
                <w:spacing w:val="-28"/>
              </w:rPr>
              <w:t xml:space="preserve"> </w:t>
            </w:r>
            <w:r>
              <w:rPr>
                <w:spacing w:val="6"/>
              </w:rPr>
              <w:t>，并处以550万元罚款；</w:t>
            </w:r>
          </w:p>
          <w:p>
            <w:pPr>
              <w:pStyle w:val="TableText"/>
              <w:ind w:left="109" w:right="105" w:firstLine="30"/>
              <w:spacing w:before="32" w:line="234" w:lineRule="auto"/>
              <w:rPr/>
            </w:pPr>
            <w:r>
              <w:rPr>
                <w:spacing w:val="11"/>
              </w:rPr>
              <w:t>（二）对时任董事长赵某中、时任高管,时任总经理江某归</w:t>
            </w:r>
            <w:r>
              <w:rPr>
                <w:spacing w:val="10"/>
              </w:rPr>
              <w:t>、时任高管,时任董事付某鹏给予警</w:t>
            </w:r>
            <w:r>
              <w:rPr/>
              <w:t xml:space="preserve"> </w:t>
            </w:r>
            <w:r>
              <w:rPr>
                <w:spacing w:val="5"/>
              </w:rPr>
              <w:t>告</w:t>
            </w:r>
            <w:r>
              <w:rPr>
                <w:spacing w:val="-17"/>
              </w:rPr>
              <w:t xml:space="preserve"> </w:t>
            </w:r>
            <w:r>
              <w:rPr>
                <w:spacing w:val="5"/>
              </w:rPr>
              <w:t>，并分别处以250万元罚款；</w:t>
            </w:r>
          </w:p>
          <w:p>
            <w:pPr>
              <w:pStyle w:val="TableText"/>
              <w:ind w:left="139"/>
              <w:spacing w:before="50" w:line="216" w:lineRule="auto"/>
              <w:rPr/>
            </w:pPr>
            <w:r>
              <w:rPr>
                <w:spacing w:val="7"/>
              </w:rPr>
              <w:t>（三）对时任财务总监王某、时任董秘张某兰给予警告</w:t>
            </w:r>
            <w:r>
              <w:rPr>
                <w:spacing w:val="-8"/>
              </w:rPr>
              <w:t xml:space="preserve"> </w:t>
            </w:r>
            <w:r>
              <w:rPr>
                <w:spacing w:val="7"/>
              </w:rPr>
              <w:t>，并分别处以70万元罚款。</w:t>
            </w:r>
          </w:p>
        </w:tc>
      </w:tr>
    </w:tbl>
    <w:p>
      <w:pPr>
        <w:pStyle w:val="BodyText"/>
        <w:rPr/>
      </w:pPr>
      <w:r/>
    </w:p>
    <w:p>
      <w:pPr>
        <w:sectPr>
          <w:pgSz w:w="11910" w:h="16840"/>
          <w:pgMar w:top="400" w:right="1577" w:bottom="400" w:left="1513" w:header="0" w:footer="0" w:gutter="0"/>
        </w:sectPr>
        <w:rPr/>
      </w:pPr>
    </w:p>
    <w:p>
      <w:pPr>
        <w:spacing w:before="311"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7"/>
        </w:rPr>
        <w:t>（  3</w:t>
      </w:r>
      <w:r>
        <w:rPr>
          <w:rFonts w:ascii="Microsoft YaHei" w:hAnsi="Microsoft YaHei" w:eastAsia="Microsoft YaHei" w:cs="Microsoft YaHei"/>
          <w:sz w:val="24"/>
          <w:szCs w:val="24"/>
          <w:b/>
          <w:bCs/>
          <w:color w:val="333333"/>
          <w:spacing w:val="65"/>
        </w:rPr>
        <w:t xml:space="preserve"> </w:t>
      </w:r>
      <w:r>
        <w:rPr>
          <w:rFonts w:ascii="Microsoft YaHei" w:hAnsi="Microsoft YaHei" w:eastAsia="Microsoft YaHei" w:cs="Microsoft YaHei"/>
          <w:sz w:val="24"/>
          <w:szCs w:val="24"/>
          <w:b/>
          <w:bCs/>
          <w:color w:val="333333"/>
          <w:spacing w:val="-7"/>
        </w:rPr>
        <w:t>）行政监管措施</w:t>
      </w:r>
    </w:p>
    <w:p>
      <w:pPr>
        <w:spacing w:line="192" w:lineRule="exact"/>
        <w:rPr/>
      </w:pPr>
      <w:r/>
    </w:p>
    <w:tbl>
      <w:tblPr>
        <w:tblStyle w:val="TableNormal"/>
        <w:tblW w:w="8668" w:type="dxa"/>
        <w:tblInd w:w="1133"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424"/>
        <w:gridCol w:w="1343"/>
        <w:gridCol w:w="5901"/>
      </w:tblGrid>
      <w:tr>
        <w:trPr>
          <w:trHeight w:val="387" w:hRule="atLeast"/>
        </w:trPr>
        <w:tc>
          <w:tcPr>
            <w:shd w:val="clear" w:fill="4F81BD"/>
            <w:tcW w:w="1424" w:type="dxa"/>
            <w:vAlign w:val="top"/>
            <w:tcBorders>
              <w:bottom w:val="single" w:color="4F81BD" w:sz="2" w:space="0"/>
            </w:tcBorders>
          </w:tcPr>
          <w:p>
            <w:pPr>
              <w:pStyle w:val="TableText"/>
              <w:ind w:left="285"/>
              <w:spacing w:before="108" w:line="188" w:lineRule="auto"/>
              <w:rPr/>
            </w:pPr>
            <w:r>
              <w:rPr>
                <w:b/>
                <w:bCs/>
                <w:color w:val="FFFFFF"/>
                <w:spacing w:val="8"/>
              </w:rPr>
              <w:t>公司代码</w:t>
            </w:r>
          </w:p>
        </w:tc>
        <w:tc>
          <w:tcPr>
            <w:shd w:val="clear" w:fill="4F81BD"/>
            <w:tcW w:w="1343" w:type="dxa"/>
            <w:vAlign w:val="top"/>
            <w:tcBorders>
              <w:bottom w:val="single" w:color="4F81BD" w:sz="2" w:space="0"/>
            </w:tcBorders>
          </w:tcPr>
          <w:p>
            <w:pPr>
              <w:pStyle w:val="TableText"/>
              <w:ind w:left="243"/>
              <w:spacing w:before="108" w:line="188" w:lineRule="auto"/>
              <w:rPr/>
            </w:pPr>
            <w:r>
              <w:rPr>
                <w:b/>
                <w:bCs/>
                <w:color w:val="FFFFFF"/>
                <w:spacing w:val="8"/>
              </w:rPr>
              <w:t>公司简称</w:t>
            </w:r>
          </w:p>
        </w:tc>
        <w:tc>
          <w:tcPr>
            <w:shd w:val="clear" w:fill="4F81BD"/>
            <w:tcW w:w="5901" w:type="dxa"/>
            <w:vAlign w:val="top"/>
            <w:tcBorders>
              <w:bottom w:val="single" w:color="4F81BD" w:sz="2" w:space="0"/>
            </w:tcBorders>
          </w:tcPr>
          <w:p>
            <w:pPr>
              <w:pStyle w:val="TableText"/>
              <w:ind w:left="2524"/>
              <w:spacing w:before="108" w:line="188" w:lineRule="auto"/>
              <w:rPr/>
            </w:pPr>
            <w:r>
              <w:rPr>
                <w:b/>
                <w:bCs/>
                <w:color w:val="FFFFFF"/>
                <w:spacing w:val="8"/>
              </w:rPr>
              <w:t>违规行为</w:t>
            </w:r>
          </w:p>
        </w:tc>
      </w:tr>
      <w:tr>
        <w:trPr>
          <w:trHeight w:val="1879" w:hRule="atLeast"/>
        </w:trPr>
        <w:tc>
          <w:tcPr>
            <w:shd w:val="clear" w:fill="B8CCE4"/>
            <w:tcW w:w="1424" w:type="dxa"/>
            <w:vAlign w:val="top"/>
            <w:tcBorders>
              <w:top w:val="single" w:color="4F81BD" w:sz="2" w:space="0"/>
            </w:tcBorders>
          </w:tcPr>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346"/>
              <w:spacing w:before="86" w:line="178" w:lineRule="auto"/>
              <w:rPr/>
            </w:pPr>
            <w:r>
              <w:rPr>
                <w:spacing w:val="3"/>
              </w:rPr>
              <w:t>600338</w:t>
            </w:r>
          </w:p>
        </w:tc>
        <w:tc>
          <w:tcPr>
            <w:shd w:val="clear" w:fill="B8CCE4"/>
            <w:tcW w:w="1343" w:type="dxa"/>
            <w:vAlign w:val="top"/>
            <w:tcBorders>
              <w:top w:val="single" w:color="4F81BD" w:sz="2" w:space="0"/>
            </w:tcBorders>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245"/>
              <w:spacing w:before="85" w:line="189" w:lineRule="auto"/>
              <w:rPr/>
            </w:pPr>
            <w:r>
              <w:rPr>
                <w:spacing w:val="8"/>
              </w:rPr>
              <w:t>西藏珠峰</w:t>
            </w:r>
          </w:p>
        </w:tc>
        <w:tc>
          <w:tcPr>
            <w:shd w:val="clear" w:fill="B8CCE4"/>
            <w:tcW w:w="5901" w:type="dxa"/>
            <w:vAlign w:val="top"/>
            <w:tcBorders>
              <w:top w:val="single" w:color="4F81BD" w:sz="2" w:space="0"/>
            </w:tcBorders>
          </w:tcPr>
          <w:p>
            <w:pPr>
              <w:pStyle w:val="TableText"/>
              <w:ind w:left="100" w:right="120" w:hanging="1"/>
              <w:spacing w:before="158" w:line="231" w:lineRule="auto"/>
              <w:rPr/>
            </w:pPr>
            <w:r>
              <w:rPr>
                <w:spacing w:val="10"/>
              </w:rPr>
              <w:t>新疆塔城国际资源有限公司原持有的西藏珠峰资</w:t>
            </w:r>
            <w:r>
              <w:rPr>
                <w:spacing w:val="9"/>
              </w:rPr>
              <w:t>源股份有限公</w:t>
            </w:r>
            <w:r>
              <w:rPr/>
              <w:t xml:space="preserve"> </w:t>
            </w:r>
            <w:r>
              <w:rPr>
                <w:spacing w:val="7"/>
              </w:rPr>
              <w:t>司349,663,552股份（占西藏珠峰总</w:t>
            </w:r>
            <w:r>
              <w:rPr>
                <w:spacing w:val="6"/>
              </w:rPr>
              <w:t>股本的38.25%）于2021  </w:t>
            </w:r>
            <w:r>
              <w:rPr>
                <w:spacing w:val="9"/>
              </w:rPr>
              <w:t>年7月13日被国家税务总局塔城地区税务局稽查局</w:t>
            </w:r>
            <w:r>
              <w:rPr>
                <w:b/>
                <w:bCs/>
                <w:spacing w:val="9"/>
              </w:rPr>
              <w:t>轮候冻</w:t>
            </w:r>
            <w:r>
              <w:rPr>
                <w:b/>
                <w:bCs/>
                <w:spacing w:val="8"/>
              </w:rPr>
              <w:t>结</w:t>
            </w:r>
            <w:r>
              <w:rPr>
                <w:spacing w:val="8"/>
              </w:rPr>
              <w:t>，</w:t>
            </w:r>
          </w:p>
          <w:p>
            <w:pPr>
              <w:pStyle w:val="TableText"/>
              <w:ind w:left="99" w:right="309" w:firstLine="2"/>
              <w:spacing w:before="87" w:line="221" w:lineRule="auto"/>
              <w:rPr/>
            </w:pPr>
            <w:r>
              <w:rPr>
                <w:spacing w:val="7"/>
              </w:rPr>
              <w:t>西藏珠峰未及时履行信息披露义务</w:t>
            </w:r>
            <w:r>
              <w:rPr>
                <w:spacing w:val="-11"/>
              </w:rPr>
              <w:t xml:space="preserve"> </w:t>
            </w:r>
            <w:r>
              <w:rPr>
                <w:spacing w:val="7"/>
              </w:rPr>
              <w:t>，迟至2024年1月13日才</w:t>
            </w:r>
            <w:r>
              <w:rPr/>
              <w:t xml:space="preserve"> </w:t>
            </w:r>
            <w:r>
              <w:rPr>
                <w:spacing w:val="9"/>
              </w:rPr>
              <w:t>对塔城国际上述股份轮候冻结事项进行补充披露。</w:t>
            </w:r>
          </w:p>
        </w:tc>
      </w:tr>
      <w:tr>
        <w:trPr>
          <w:trHeight w:val="724" w:hRule="atLeast"/>
        </w:trPr>
        <w:tc>
          <w:tcPr>
            <w:tcW w:w="8668" w:type="dxa"/>
            <w:vAlign w:val="top"/>
            <w:gridSpan w:val="3"/>
          </w:tcPr>
          <w:p>
            <w:pPr>
              <w:pStyle w:val="TableText"/>
              <w:ind w:left="104" w:right="106" w:firstLine="16"/>
              <w:spacing w:before="41" w:line="235" w:lineRule="auto"/>
              <w:rPr/>
            </w:pPr>
            <w:r>
              <w:rPr>
                <w:b/>
                <w:bCs/>
                <w:spacing w:val="11"/>
              </w:rPr>
              <w:t>【行政监管措施】</w:t>
            </w:r>
            <w:r>
              <w:rPr>
                <w:spacing w:val="11"/>
              </w:rPr>
              <w:t>中国证券监督管理委员会西藏监管局</w:t>
            </w:r>
            <w:r>
              <w:rPr>
                <w:spacing w:val="10"/>
              </w:rPr>
              <w:t>决定对时任总裁王某兵、董事会秘书</w:t>
            </w:r>
            <w:r>
              <w:rPr/>
              <w:t xml:space="preserve"> </w:t>
            </w:r>
            <w:r>
              <w:rPr>
                <w:spacing w:val="8"/>
              </w:rPr>
              <w:t>胡某东采取监管谈话的监督管理措施</w:t>
            </w:r>
            <w:r>
              <w:rPr>
                <w:spacing w:val="-15"/>
              </w:rPr>
              <w:t xml:space="preserve"> </w:t>
            </w:r>
            <w:r>
              <w:rPr>
                <w:spacing w:val="8"/>
              </w:rPr>
              <w:t>，并记入证券期货市场诚信档案。</w:t>
            </w:r>
          </w:p>
        </w:tc>
      </w:tr>
      <w:tr>
        <w:trPr>
          <w:trHeight w:val="725" w:hRule="atLeast"/>
        </w:trPr>
        <w:tc>
          <w:tcPr>
            <w:shd w:val="clear" w:fill="B8CCE4"/>
            <w:tcW w:w="1424" w:type="dxa"/>
            <w:vAlign w:val="top"/>
          </w:tcPr>
          <w:p>
            <w:pPr>
              <w:pStyle w:val="TableText"/>
              <w:ind w:left="346"/>
              <w:spacing w:before="281" w:line="178" w:lineRule="auto"/>
              <w:rPr/>
            </w:pPr>
            <w:r>
              <w:rPr>
                <w:spacing w:val="3"/>
              </w:rPr>
              <w:t>603458</w:t>
            </w:r>
          </w:p>
        </w:tc>
        <w:tc>
          <w:tcPr>
            <w:shd w:val="clear" w:fill="B8CCE4"/>
            <w:tcW w:w="1343" w:type="dxa"/>
            <w:vAlign w:val="top"/>
          </w:tcPr>
          <w:p>
            <w:pPr>
              <w:pStyle w:val="TableText"/>
              <w:ind w:left="244"/>
              <w:spacing w:before="268" w:line="188" w:lineRule="auto"/>
              <w:rPr/>
            </w:pPr>
            <w:r>
              <w:rPr>
                <w:spacing w:val="8"/>
              </w:rPr>
              <w:t>勘设股份</w:t>
            </w:r>
          </w:p>
        </w:tc>
        <w:tc>
          <w:tcPr>
            <w:shd w:val="clear" w:fill="B8CCE4"/>
            <w:tcW w:w="5901" w:type="dxa"/>
            <w:vAlign w:val="top"/>
          </w:tcPr>
          <w:p>
            <w:pPr>
              <w:pStyle w:val="TableText"/>
              <w:ind w:left="100" w:right="103" w:hanging="1"/>
              <w:spacing w:before="85" w:line="220" w:lineRule="auto"/>
              <w:rPr/>
            </w:pPr>
            <w:r>
              <w:rPr>
                <w:spacing w:val="9"/>
              </w:rPr>
              <w:t>公司存在收入成本跨期问题,导致公司2022年年报、</w:t>
            </w:r>
            <w:r>
              <w:rPr>
                <w:spacing w:val="-39"/>
              </w:rPr>
              <w:t xml:space="preserve"> </w:t>
            </w:r>
            <w:r>
              <w:rPr>
                <w:spacing w:val="9"/>
              </w:rPr>
              <w:t>20</w:t>
            </w:r>
            <w:r>
              <w:rPr>
                <w:spacing w:val="8"/>
              </w:rPr>
              <w:t>23年半</w:t>
            </w:r>
            <w:r>
              <w:rPr/>
              <w:t xml:space="preserve"> </w:t>
            </w:r>
            <w:r>
              <w:rPr>
                <w:spacing w:val="8"/>
              </w:rPr>
              <w:t>年报</w:t>
            </w:r>
            <w:r>
              <w:rPr>
                <w:b/>
                <w:bCs/>
                <w:spacing w:val="8"/>
              </w:rPr>
              <w:t>信息披露不准确。</w:t>
            </w:r>
          </w:p>
        </w:tc>
      </w:tr>
      <w:tr>
        <w:trPr>
          <w:trHeight w:val="724" w:hRule="atLeast"/>
        </w:trPr>
        <w:tc>
          <w:tcPr>
            <w:tcW w:w="8668" w:type="dxa"/>
            <w:vAlign w:val="top"/>
            <w:gridSpan w:val="3"/>
          </w:tcPr>
          <w:p>
            <w:pPr>
              <w:pStyle w:val="TableText"/>
              <w:ind w:left="105" w:right="152" w:firstLine="15"/>
              <w:spacing w:before="41" w:line="235" w:lineRule="auto"/>
              <w:rPr/>
            </w:pPr>
            <w:r>
              <w:rPr>
                <w:b/>
                <w:bCs/>
                <w:spacing w:val="9"/>
              </w:rPr>
              <w:t>【行政监管措施】</w:t>
            </w:r>
            <w:r>
              <w:rPr>
                <w:spacing w:val="9"/>
              </w:rPr>
              <w:t>中国证券监督管理委员会贵州监管局决定对董事长张某、总经理张某航、</w:t>
            </w:r>
            <w:r>
              <w:rPr>
                <w:spacing w:val="18"/>
              </w:rPr>
              <w:t xml:space="preserve"> </w:t>
            </w:r>
            <w:r>
              <w:rPr>
                <w:spacing w:val="9"/>
              </w:rPr>
              <w:t>财务总监李某红采取监管谈话的监督管理措施。</w:t>
            </w:r>
          </w:p>
        </w:tc>
      </w:tr>
      <w:tr>
        <w:trPr>
          <w:trHeight w:val="1443" w:hRule="atLeast"/>
        </w:trPr>
        <w:tc>
          <w:tcPr>
            <w:shd w:val="clear" w:fill="B8CCE4"/>
            <w:tcW w:w="1424" w:type="dxa"/>
            <w:vAlign w:val="top"/>
          </w:tcPr>
          <w:p>
            <w:pPr>
              <w:spacing w:line="277" w:lineRule="auto"/>
              <w:rPr>
                <w:rFonts w:ascii="Arial"/>
                <w:sz w:val="21"/>
              </w:rPr>
            </w:pPr>
            <w:r/>
          </w:p>
          <w:p>
            <w:pPr>
              <w:spacing w:line="277" w:lineRule="auto"/>
              <w:rPr>
                <w:rFonts w:ascii="Arial"/>
                <w:sz w:val="21"/>
              </w:rPr>
            </w:pPr>
            <w:r/>
          </w:p>
          <w:p>
            <w:pPr>
              <w:pStyle w:val="TableText"/>
              <w:ind w:left="343"/>
              <w:spacing w:before="86" w:line="178" w:lineRule="auto"/>
              <w:rPr/>
            </w:pPr>
            <w:r>
              <w:rPr>
                <w:spacing w:val="3"/>
              </w:rPr>
              <w:t>002860</w:t>
            </w:r>
          </w:p>
        </w:tc>
        <w:tc>
          <w:tcPr>
            <w:shd w:val="clear" w:fill="B8CCE4"/>
            <w:tcW w:w="1343" w:type="dxa"/>
            <w:vAlign w:val="top"/>
          </w:tcPr>
          <w:p>
            <w:pPr>
              <w:spacing w:line="269" w:lineRule="auto"/>
              <w:rPr>
                <w:rFonts w:ascii="Arial"/>
                <w:sz w:val="21"/>
              </w:rPr>
            </w:pPr>
            <w:r/>
          </w:p>
          <w:p>
            <w:pPr>
              <w:spacing w:line="270" w:lineRule="auto"/>
              <w:rPr>
                <w:rFonts w:ascii="Arial"/>
                <w:sz w:val="21"/>
              </w:rPr>
            </w:pPr>
            <w:r/>
          </w:p>
          <w:p>
            <w:pPr>
              <w:pStyle w:val="TableText"/>
              <w:ind w:left="349"/>
              <w:spacing w:before="86" w:line="189" w:lineRule="auto"/>
              <w:rPr/>
            </w:pPr>
            <w:r>
              <w:rPr>
                <w:spacing w:val="8"/>
              </w:rPr>
              <w:t>星帅尔</w:t>
            </w:r>
          </w:p>
        </w:tc>
        <w:tc>
          <w:tcPr>
            <w:shd w:val="clear" w:fill="B8CCE4"/>
            <w:tcW w:w="5901" w:type="dxa"/>
            <w:vAlign w:val="top"/>
          </w:tcPr>
          <w:p>
            <w:pPr>
              <w:pStyle w:val="TableText"/>
              <w:ind w:left="98" w:right="103"/>
              <w:spacing w:before="88" w:line="235" w:lineRule="auto"/>
              <w:jc w:val="both"/>
              <w:rPr/>
            </w:pPr>
            <w:r>
              <w:rPr>
                <w:spacing w:val="10"/>
              </w:rPr>
              <w:t>杭州星帅尔电器股份有限公司收购浙江特种电机股份有限公司</w:t>
            </w:r>
            <w:r>
              <w:rPr>
                <w:spacing w:val="12"/>
              </w:rPr>
              <w:t xml:space="preserve"> </w:t>
            </w:r>
            <w:r>
              <w:rPr>
                <w:spacing w:val="12"/>
              </w:rPr>
              <w:t>53.24%股权时</w:t>
            </w:r>
            <w:r>
              <w:rPr>
                <w:spacing w:val="-21"/>
              </w:rPr>
              <w:t xml:space="preserve"> </w:t>
            </w:r>
            <w:r>
              <w:rPr>
                <w:spacing w:val="12"/>
              </w:rPr>
              <w:t>，浙特电机财务报表附注和评估报告特别事项</w:t>
            </w:r>
            <w:r>
              <w:rPr/>
              <w:t xml:space="preserve"> </w:t>
            </w:r>
            <w:r>
              <w:rPr>
                <w:spacing w:val="8"/>
              </w:rPr>
              <w:t>未披露公示中的</w:t>
            </w:r>
            <w:r>
              <w:rPr>
                <w:b/>
                <w:bCs/>
                <w:spacing w:val="8"/>
              </w:rPr>
              <w:t>政府补助</w:t>
            </w:r>
            <w:r>
              <w:rPr>
                <w:spacing w:val="8"/>
              </w:rPr>
              <w:t>相关信息。</w:t>
            </w:r>
            <w:r>
              <w:rPr>
                <w:spacing w:val="-27"/>
              </w:rPr>
              <w:t xml:space="preserve"> </w:t>
            </w:r>
            <w:r>
              <w:rPr>
                <w:spacing w:val="8"/>
              </w:rPr>
              <w:t>同时</w:t>
            </w:r>
            <w:r>
              <w:rPr>
                <w:spacing w:val="-28"/>
              </w:rPr>
              <w:t xml:space="preserve"> </w:t>
            </w:r>
            <w:r>
              <w:rPr>
                <w:spacing w:val="8"/>
              </w:rPr>
              <w:t>，披露的审计报告和</w:t>
            </w:r>
            <w:r>
              <w:rPr/>
              <w:t xml:space="preserve"> </w:t>
            </w:r>
            <w:r>
              <w:rPr>
                <w:spacing w:val="9"/>
              </w:rPr>
              <w:t>评估报告中部分股东大会召开</w:t>
            </w:r>
            <w:r>
              <w:rPr>
                <w:b/>
                <w:bCs/>
                <w:spacing w:val="9"/>
              </w:rPr>
              <w:t>日期不准确</w:t>
            </w:r>
            <w:r>
              <w:rPr>
                <w:spacing w:val="9"/>
              </w:rPr>
              <w:t>。</w:t>
            </w:r>
          </w:p>
        </w:tc>
      </w:tr>
      <w:tr>
        <w:trPr>
          <w:trHeight w:val="1084" w:hRule="atLeast"/>
        </w:trPr>
        <w:tc>
          <w:tcPr>
            <w:tcW w:w="8668" w:type="dxa"/>
            <w:vAlign w:val="top"/>
            <w:gridSpan w:val="3"/>
          </w:tcPr>
          <w:p>
            <w:pPr>
              <w:pStyle w:val="TableText"/>
              <w:ind w:left="114" w:right="106" w:firstLine="7"/>
              <w:spacing w:before="48" w:line="239" w:lineRule="auto"/>
              <w:jc w:val="both"/>
              <w:rPr/>
            </w:pPr>
            <w:r>
              <w:rPr>
                <w:b/>
                <w:bCs/>
                <w:spacing w:val="11"/>
              </w:rPr>
              <w:t>【行政监管措施】</w:t>
            </w:r>
            <w:r>
              <w:rPr>
                <w:spacing w:val="11"/>
              </w:rPr>
              <w:t>中国证券监督管理委员会浙江监管局</w:t>
            </w:r>
            <w:r>
              <w:rPr>
                <w:spacing w:val="10"/>
              </w:rPr>
              <w:t>决定对杭州星帅尔电器股份有限公司</w:t>
            </w:r>
            <w:r>
              <w:rPr/>
              <w:t xml:space="preserve"> </w:t>
            </w:r>
            <w:r>
              <w:rPr>
                <w:spacing w:val="11"/>
              </w:rPr>
              <w:t>、总经理楼某伟、董事会秘书陆某峰、财务总监高某锋分别采取出具警</w:t>
            </w:r>
            <w:r>
              <w:rPr>
                <w:spacing w:val="10"/>
              </w:rPr>
              <w:t>示函的监督管理措施</w:t>
            </w:r>
            <w:r>
              <w:rPr/>
              <w:t xml:space="preserve"> </w:t>
            </w:r>
            <w:r>
              <w:rPr>
                <w:spacing w:val="9"/>
              </w:rPr>
              <w:t>,  并记入证券期货市场诚信档案。</w:t>
            </w:r>
          </w:p>
        </w:tc>
      </w:tr>
      <w:tr>
        <w:trPr>
          <w:trHeight w:val="2882" w:hRule="atLeast"/>
        </w:trPr>
        <w:tc>
          <w:tcPr>
            <w:shd w:val="clear" w:fill="B8CCE4"/>
            <w:tcW w:w="1424" w:type="dxa"/>
            <w:vAlign w:val="top"/>
          </w:tcPr>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348"/>
              <w:spacing w:before="86" w:line="178" w:lineRule="auto"/>
              <w:rPr/>
            </w:pPr>
            <w:r>
              <w:rPr>
                <w:spacing w:val="3"/>
              </w:rPr>
              <w:t>300878</w:t>
            </w:r>
          </w:p>
        </w:tc>
        <w:tc>
          <w:tcPr>
            <w:shd w:val="clear" w:fill="B8CCE4"/>
            <w:tcW w:w="1343" w:type="dxa"/>
            <w:vAlign w:val="top"/>
          </w:tcPr>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242"/>
              <w:spacing w:before="86" w:line="189" w:lineRule="auto"/>
              <w:rPr/>
            </w:pPr>
            <w:r>
              <w:rPr>
                <w:spacing w:val="8"/>
              </w:rPr>
              <w:t>维康药业</w:t>
            </w:r>
          </w:p>
        </w:tc>
        <w:tc>
          <w:tcPr>
            <w:shd w:val="clear" w:fill="B8CCE4"/>
            <w:tcW w:w="5901" w:type="dxa"/>
            <w:vAlign w:val="top"/>
          </w:tcPr>
          <w:p>
            <w:pPr>
              <w:pStyle w:val="TableText"/>
              <w:ind w:left="97" w:right="103" w:firstLine="1"/>
              <w:spacing w:before="92" w:line="243" w:lineRule="auto"/>
              <w:jc w:val="both"/>
              <w:rPr/>
            </w:pPr>
            <w:r>
              <w:rPr>
                <w:spacing w:val="9"/>
              </w:rPr>
              <w:t>公司未按规定披露关联方</w:t>
            </w:r>
            <w:r>
              <w:rPr>
                <w:b/>
                <w:bCs/>
                <w:spacing w:val="9"/>
              </w:rPr>
              <w:t>非经营性资金占用</w:t>
            </w:r>
            <w:r>
              <w:rPr>
                <w:spacing w:val="9"/>
              </w:rPr>
              <w:t>情况</w:t>
            </w:r>
            <w:r>
              <w:rPr>
                <w:spacing w:val="-20"/>
              </w:rPr>
              <w:t xml:space="preserve"> </w:t>
            </w:r>
            <w:r>
              <w:rPr>
                <w:spacing w:val="9"/>
              </w:rPr>
              <w:t>，</w:t>
            </w:r>
            <w:r>
              <w:rPr>
                <w:b/>
                <w:bCs/>
                <w:spacing w:val="9"/>
              </w:rPr>
              <w:t>募集资金使</w:t>
            </w:r>
            <w:r>
              <w:rPr>
                <w:b/>
                <w:bCs/>
              </w:rPr>
              <w:t xml:space="preserve"> </w:t>
            </w:r>
            <w:r>
              <w:rPr>
                <w:b/>
                <w:bCs/>
                <w:spacing w:val="9"/>
              </w:rPr>
              <w:t>用</w:t>
            </w:r>
            <w:r>
              <w:rPr>
                <w:spacing w:val="9"/>
              </w:rPr>
              <w:t>不规范</w:t>
            </w:r>
            <w:r>
              <w:rPr>
                <w:spacing w:val="-19"/>
              </w:rPr>
              <w:t xml:space="preserve"> </w:t>
            </w:r>
            <w:r>
              <w:rPr>
                <w:spacing w:val="9"/>
              </w:rPr>
              <w:t>，导致相关年度定期报告及募集资金专项报告信息披</w:t>
            </w:r>
            <w:r>
              <w:rPr/>
              <w:t xml:space="preserve"> </w:t>
            </w:r>
            <w:r>
              <w:rPr>
                <w:spacing w:val="10"/>
              </w:rPr>
              <w:t>露不准确；部分医药产品销售业务</w:t>
            </w:r>
            <w:r>
              <w:rPr>
                <w:b/>
                <w:bCs/>
                <w:spacing w:val="10"/>
              </w:rPr>
              <w:t>收入确认依据不足</w:t>
            </w:r>
            <w:r>
              <w:rPr>
                <w:spacing w:val="10"/>
              </w:rPr>
              <w:t>；部分医</w:t>
            </w:r>
            <w:r>
              <w:rPr>
                <w:spacing w:val="13"/>
              </w:rPr>
              <w:t xml:space="preserve"> </w:t>
            </w:r>
            <w:r>
              <w:rPr>
                <w:spacing w:val="9"/>
              </w:rPr>
              <w:t>药产品销售业务收入的</w:t>
            </w:r>
            <w:r>
              <w:rPr>
                <w:b/>
                <w:bCs/>
                <w:spacing w:val="9"/>
              </w:rPr>
              <w:t>确认时点</w:t>
            </w:r>
            <w:r>
              <w:rPr>
                <w:spacing w:val="9"/>
              </w:rPr>
              <w:t>早于客户签收时间</w:t>
            </w:r>
            <w:r>
              <w:rPr>
                <w:spacing w:val="-19"/>
              </w:rPr>
              <w:t xml:space="preserve"> </w:t>
            </w:r>
            <w:r>
              <w:rPr>
                <w:spacing w:val="9"/>
              </w:rPr>
              <w:t>，存在提前</w:t>
            </w:r>
            <w:r>
              <w:rPr/>
              <w:t xml:space="preserve"> </w:t>
            </w:r>
            <w:r>
              <w:rPr>
                <w:spacing w:val="13"/>
              </w:rPr>
              <w:t>确认收入的情况；</w:t>
            </w:r>
            <w:r>
              <w:rPr>
                <w:spacing w:val="-11"/>
              </w:rPr>
              <w:t xml:space="preserve"> </w:t>
            </w:r>
            <w:r>
              <w:rPr>
                <w:spacing w:val="13"/>
              </w:rPr>
              <w:t>2021年公司中药材贸易业务未按照</w:t>
            </w:r>
            <w:r>
              <w:rPr>
                <w:b/>
                <w:bCs/>
                <w:spacing w:val="13"/>
              </w:rPr>
              <w:t>业务实</w:t>
            </w:r>
            <w:r>
              <w:rPr>
                <w:b/>
                <w:bCs/>
              </w:rPr>
              <w:t xml:space="preserve"> </w:t>
            </w:r>
            <w:r>
              <w:rPr>
                <w:b/>
                <w:bCs/>
                <w:spacing w:val="9"/>
              </w:rPr>
              <w:t>质</w:t>
            </w:r>
            <w:r>
              <w:rPr>
                <w:spacing w:val="9"/>
              </w:rPr>
              <w:t>进行会计处理</w:t>
            </w:r>
            <w:r>
              <w:rPr>
                <w:spacing w:val="-19"/>
              </w:rPr>
              <w:t xml:space="preserve"> </w:t>
            </w:r>
            <w:r>
              <w:rPr>
                <w:spacing w:val="9"/>
              </w:rPr>
              <w:t>，导致公司相关年度财务数据披露不准确；公</w:t>
            </w:r>
            <w:r>
              <w:rPr/>
              <w:t xml:space="preserve"> </w:t>
            </w:r>
            <w:r>
              <w:rPr>
                <w:spacing w:val="9"/>
              </w:rPr>
              <w:t>司违规</w:t>
            </w:r>
            <w:r>
              <w:rPr>
                <w:b/>
                <w:bCs/>
                <w:spacing w:val="9"/>
              </w:rPr>
              <w:t>使用个人银行账户</w:t>
            </w:r>
            <w:r>
              <w:rPr>
                <w:spacing w:val="9"/>
              </w:rPr>
              <w:t>开展资金收付</w:t>
            </w:r>
            <w:r>
              <w:rPr>
                <w:spacing w:val="-21"/>
              </w:rPr>
              <w:t xml:space="preserve"> </w:t>
            </w:r>
            <w:r>
              <w:rPr>
                <w:spacing w:val="9"/>
              </w:rPr>
              <w:t>，相关内部控制存在重</w:t>
            </w:r>
            <w:r>
              <w:rPr/>
              <w:t xml:space="preserve"> </w:t>
            </w:r>
            <w:r>
              <w:rPr>
                <w:spacing w:val="6"/>
              </w:rPr>
              <w:t>大缺陷</w:t>
            </w:r>
            <w:r>
              <w:rPr>
                <w:spacing w:val="-17"/>
              </w:rPr>
              <w:t xml:space="preserve"> </w:t>
            </w:r>
            <w:r>
              <w:rPr>
                <w:spacing w:val="6"/>
              </w:rPr>
              <w:t>，</w:t>
            </w:r>
            <w:r>
              <w:rPr>
                <w:spacing w:val="-35"/>
              </w:rPr>
              <w:t xml:space="preserve"> </w:t>
            </w:r>
            <w:r>
              <w:rPr>
                <w:b/>
                <w:bCs/>
                <w:spacing w:val="6"/>
              </w:rPr>
              <w:t>内部控制有关报告</w:t>
            </w:r>
            <w:r>
              <w:rPr>
                <w:spacing w:val="6"/>
              </w:rPr>
              <w:t>信息披露不准确。</w:t>
            </w:r>
          </w:p>
        </w:tc>
      </w:tr>
      <w:tr>
        <w:trPr>
          <w:trHeight w:val="1083" w:hRule="atLeast"/>
        </w:trPr>
        <w:tc>
          <w:tcPr>
            <w:tcW w:w="8668" w:type="dxa"/>
            <w:vAlign w:val="top"/>
            <w:gridSpan w:val="3"/>
          </w:tcPr>
          <w:p>
            <w:pPr>
              <w:pStyle w:val="TableText"/>
              <w:ind w:left="104" w:right="106" w:firstLine="16"/>
              <w:spacing w:before="52" w:line="238" w:lineRule="auto"/>
              <w:jc w:val="both"/>
              <w:rPr/>
            </w:pPr>
            <w:r>
              <w:rPr>
                <w:b/>
                <w:bCs/>
                <w:spacing w:val="11"/>
              </w:rPr>
              <w:t>【行政监管措施】</w:t>
            </w:r>
            <w:r>
              <w:rPr>
                <w:spacing w:val="11"/>
              </w:rPr>
              <w:t>中国证券监督管理委员会浙江监管局</w:t>
            </w:r>
            <w:r>
              <w:rPr>
                <w:spacing w:val="10"/>
              </w:rPr>
              <w:t>决定对董事长刘忠良、时任总经理卢</w:t>
            </w:r>
            <w:r>
              <w:rPr/>
              <w:t xml:space="preserve"> </w:t>
            </w:r>
            <w:r>
              <w:rPr>
                <w:spacing w:val="10"/>
              </w:rPr>
              <w:t>某芳、总经理孔某霞、董事会秘书朱某、财务总监王某采取出具警示函的监督管理措施</w:t>
            </w:r>
            <w:r>
              <w:rPr>
                <w:spacing w:val="-19"/>
              </w:rPr>
              <w:t xml:space="preserve"> </w:t>
            </w:r>
            <w:r>
              <w:rPr>
                <w:spacing w:val="10"/>
              </w:rPr>
              <w:t>，并</w:t>
            </w:r>
            <w:r>
              <w:rPr/>
              <w:t xml:space="preserve"> </w:t>
            </w:r>
            <w:r>
              <w:rPr>
                <w:spacing w:val="8"/>
              </w:rPr>
              <w:t>记入证券期货市场诚信档案。</w:t>
            </w:r>
          </w:p>
        </w:tc>
      </w:tr>
      <w:tr>
        <w:trPr>
          <w:trHeight w:val="365" w:hRule="atLeast"/>
        </w:trPr>
        <w:tc>
          <w:tcPr>
            <w:shd w:val="clear" w:fill="B8CCE4"/>
            <w:tcW w:w="1424" w:type="dxa"/>
            <w:vAlign w:val="top"/>
          </w:tcPr>
          <w:p>
            <w:pPr>
              <w:pStyle w:val="TableText"/>
              <w:ind w:left="343"/>
              <w:spacing w:before="114" w:line="168" w:lineRule="auto"/>
              <w:rPr/>
            </w:pPr>
            <w:r>
              <w:rPr>
                <w:spacing w:val="3"/>
              </w:rPr>
              <w:t>002273</w:t>
            </w:r>
          </w:p>
        </w:tc>
        <w:tc>
          <w:tcPr>
            <w:shd w:val="clear" w:fill="B8CCE4"/>
            <w:tcW w:w="1343" w:type="dxa"/>
            <w:vAlign w:val="top"/>
          </w:tcPr>
          <w:p>
            <w:pPr>
              <w:pStyle w:val="TableText"/>
              <w:ind w:left="242"/>
              <w:spacing w:before="101" w:line="177" w:lineRule="auto"/>
              <w:rPr/>
            </w:pPr>
            <w:r>
              <w:rPr>
                <w:spacing w:val="8"/>
              </w:rPr>
              <w:t>水晶光电</w:t>
            </w:r>
          </w:p>
        </w:tc>
        <w:tc>
          <w:tcPr>
            <w:shd w:val="clear" w:fill="B8CCE4"/>
            <w:tcW w:w="5901" w:type="dxa"/>
            <w:vAlign w:val="top"/>
          </w:tcPr>
          <w:p>
            <w:pPr>
              <w:pStyle w:val="TableText"/>
              <w:ind w:left="101"/>
              <w:spacing w:before="100" w:line="178" w:lineRule="auto"/>
              <w:rPr/>
            </w:pPr>
            <w:r>
              <w:rPr>
                <w:spacing w:val="8"/>
              </w:rPr>
              <w:t>董事长配偶</w:t>
            </w:r>
            <w:r>
              <w:rPr>
                <w:b/>
                <w:bCs/>
                <w:spacing w:val="8"/>
              </w:rPr>
              <w:t>短线交易</w:t>
            </w:r>
            <w:r>
              <w:rPr>
                <w:spacing w:val="8"/>
              </w:rPr>
              <w:t>。</w:t>
            </w:r>
          </w:p>
        </w:tc>
      </w:tr>
      <w:tr>
        <w:trPr>
          <w:trHeight w:val="724" w:hRule="atLeast"/>
        </w:trPr>
        <w:tc>
          <w:tcPr>
            <w:tcW w:w="8668" w:type="dxa"/>
            <w:vAlign w:val="top"/>
            <w:gridSpan w:val="3"/>
          </w:tcPr>
          <w:p>
            <w:pPr>
              <w:pStyle w:val="TableText"/>
              <w:ind w:left="105" w:right="106" w:firstLine="15"/>
              <w:spacing w:before="59" w:line="229" w:lineRule="auto"/>
              <w:rPr/>
            </w:pPr>
            <w:r>
              <w:rPr>
                <w:b/>
                <w:bCs/>
                <w:spacing w:val="11"/>
              </w:rPr>
              <w:t>【行政监管措施】</w:t>
            </w:r>
            <w:r>
              <w:rPr>
                <w:spacing w:val="11"/>
              </w:rPr>
              <w:t>中国证券监督管理委员会浙江监管局</w:t>
            </w:r>
            <w:r>
              <w:rPr>
                <w:spacing w:val="10"/>
              </w:rPr>
              <w:t>决定对董事长林某采取出具警示函的</w:t>
            </w:r>
            <w:r>
              <w:rPr/>
              <w:t xml:space="preserve"> </w:t>
            </w:r>
            <w:r>
              <w:rPr>
                <w:spacing w:val="7"/>
              </w:rPr>
              <w:t>监督管理措施</w:t>
            </w:r>
            <w:r>
              <w:rPr>
                <w:spacing w:val="-14"/>
              </w:rPr>
              <w:t xml:space="preserve"> </w:t>
            </w:r>
            <w:r>
              <w:rPr>
                <w:spacing w:val="7"/>
              </w:rPr>
              <w:t>，并记入证券期货市场诚信档案。</w:t>
            </w:r>
          </w:p>
        </w:tc>
      </w:tr>
      <w:tr>
        <w:trPr>
          <w:trHeight w:val="436" w:hRule="atLeast"/>
        </w:trPr>
        <w:tc>
          <w:tcPr>
            <w:shd w:val="clear" w:fill="B8CCE4"/>
            <w:tcW w:w="1424" w:type="dxa"/>
            <w:vAlign w:val="top"/>
          </w:tcPr>
          <w:p>
            <w:pPr>
              <w:pStyle w:val="TableText"/>
              <w:ind w:left="348"/>
              <w:spacing w:before="149" w:line="179" w:lineRule="auto"/>
              <w:rPr/>
            </w:pPr>
            <w:r>
              <w:rPr>
                <w:spacing w:val="3"/>
              </w:rPr>
              <w:t>301095</w:t>
            </w:r>
          </w:p>
        </w:tc>
        <w:tc>
          <w:tcPr>
            <w:shd w:val="clear" w:fill="B8CCE4"/>
            <w:tcW w:w="1343" w:type="dxa"/>
            <w:vAlign w:val="top"/>
          </w:tcPr>
          <w:p>
            <w:pPr>
              <w:pStyle w:val="TableText"/>
              <w:ind w:left="347"/>
              <w:spacing w:before="135" w:line="190" w:lineRule="auto"/>
              <w:rPr/>
            </w:pPr>
            <w:r>
              <w:rPr>
                <w:spacing w:val="8"/>
              </w:rPr>
              <w:t>广立微</w:t>
            </w:r>
          </w:p>
        </w:tc>
        <w:tc>
          <w:tcPr>
            <w:shd w:val="clear" w:fill="B8CCE4"/>
            <w:tcW w:w="5901" w:type="dxa"/>
            <w:vAlign w:val="top"/>
          </w:tcPr>
          <w:p>
            <w:pPr>
              <w:pStyle w:val="TableText"/>
              <w:ind w:left="101"/>
              <w:spacing w:before="174" w:line="176" w:lineRule="auto"/>
              <w:rPr/>
            </w:pPr>
            <w:r>
              <w:rPr>
                <w:spacing w:val="8"/>
              </w:rPr>
              <w:t>董事亲属</w:t>
            </w:r>
            <w:r>
              <w:rPr>
                <w:b/>
                <w:bCs/>
                <w:spacing w:val="8"/>
              </w:rPr>
              <w:t>短线交易。</w:t>
            </w:r>
          </w:p>
        </w:tc>
      </w:tr>
      <w:tr>
        <w:trPr>
          <w:trHeight w:val="725" w:hRule="atLeast"/>
        </w:trPr>
        <w:tc>
          <w:tcPr>
            <w:tcW w:w="8668" w:type="dxa"/>
            <w:vAlign w:val="top"/>
            <w:gridSpan w:val="3"/>
          </w:tcPr>
          <w:p>
            <w:pPr>
              <w:pStyle w:val="TableText"/>
              <w:ind w:left="103" w:right="106" w:firstLine="18"/>
              <w:spacing w:before="63" w:line="228" w:lineRule="auto"/>
              <w:rPr/>
            </w:pPr>
            <w:r>
              <w:rPr>
                <w:b/>
                <w:bCs/>
                <w:spacing w:val="11"/>
              </w:rPr>
              <w:t>【行政监管措施】</w:t>
            </w:r>
            <w:r>
              <w:rPr>
                <w:spacing w:val="11"/>
              </w:rPr>
              <w:t>中国证券监督管理委员会浙江监管局</w:t>
            </w:r>
            <w:r>
              <w:rPr>
                <w:spacing w:val="10"/>
              </w:rPr>
              <w:t>决定对董事史某采取出具警示函的监</w:t>
            </w:r>
            <w:r>
              <w:rPr/>
              <w:t xml:space="preserve"> </w:t>
            </w:r>
            <w:r>
              <w:rPr>
                <w:spacing w:val="7"/>
              </w:rPr>
              <w:t>督管理措施</w:t>
            </w:r>
            <w:r>
              <w:rPr>
                <w:spacing w:val="-14"/>
              </w:rPr>
              <w:t xml:space="preserve"> </w:t>
            </w:r>
            <w:r>
              <w:rPr>
                <w:spacing w:val="7"/>
              </w:rPr>
              <w:t>，并记入证券期货市场诚信档案。</w:t>
            </w:r>
          </w:p>
        </w:tc>
      </w:tr>
      <w:tr>
        <w:trPr>
          <w:trHeight w:val="364" w:hRule="atLeast"/>
        </w:trPr>
        <w:tc>
          <w:tcPr>
            <w:shd w:val="clear" w:fill="B8CCE4"/>
            <w:tcW w:w="1424" w:type="dxa"/>
            <w:vAlign w:val="top"/>
          </w:tcPr>
          <w:p>
            <w:pPr>
              <w:pStyle w:val="TableText"/>
              <w:ind w:left="346"/>
              <w:spacing w:before="118" w:line="165" w:lineRule="auto"/>
              <w:rPr/>
            </w:pPr>
            <w:r>
              <w:rPr>
                <w:spacing w:val="3"/>
              </w:rPr>
              <w:t>603767</w:t>
            </w:r>
          </w:p>
        </w:tc>
        <w:tc>
          <w:tcPr>
            <w:shd w:val="clear" w:fill="B8CCE4"/>
            <w:tcW w:w="1343" w:type="dxa"/>
            <w:vAlign w:val="top"/>
          </w:tcPr>
          <w:p>
            <w:pPr>
              <w:pStyle w:val="TableText"/>
              <w:ind w:left="256"/>
              <w:spacing w:before="105" w:line="174" w:lineRule="auto"/>
              <w:rPr/>
            </w:pPr>
            <w:r>
              <w:rPr>
                <w:spacing w:val="5"/>
              </w:rPr>
              <w:t>中马传动</w:t>
            </w:r>
          </w:p>
        </w:tc>
        <w:tc>
          <w:tcPr>
            <w:shd w:val="clear" w:fill="B8CCE4"/>
            <w:tcW w:w="5901" w:type="dxa"/>
            <w:vAlign w:val="top"/>
          </w:tcPr>
          <w:p>
            <w:pPr>
              <w:pStyle w:val="TableText"/>
              <w:ind w:left="100"/>
              <w:spacing w:before="103" w:line="175" w:lineRule="auto"/>
              <w:rPr/>
            </w:pPr>
            <w:r>
              <w:rPr>
                <w:spacing w:val="8"/>
              </w:rPr>
              <w:t>财务总监</w:t>
            </w:r>
            <w:r>
              <w:rPr>
                <w:b/>
                <w:bCs/>
                <w:spacing w:val="8"/>
              </w:rPr>
              <w:t>敏感期交易。</w:t>
            </w:r>
          </w:p>
        </w:tc>
      </w:tr>
      <w:tr>
        <w:trPr>
          <w:trHeight w:val="724" w:hRule="atLeast"/>
        </w:trPr>
        <w:tc>
          <w:tcPr>
            <w:tcW w:w="8668" w:type="dxa"/>
            <w:vAlign w:val="top"/>
            <w:gridSpan w:val="3"/>
          </w:tcPr>
          <w:p>
            <w:pPr>
              <w:pStyle w:val="TableText"/>
              <w:ind w:left="116" w:right="106" w:firstLine="4"/>
              <w:spacing w:before="62" w:line="228" w:lineRule="auto"/>
              <w:rPr/>
            </w:pPr>
            <w:r>
              <w:rPr>
                <w:b/>
                <w:bCs/>
                <w:spacing w:val="11"/>
              </w:rPr>
              <w:t>【行政监管措施】</w:t>
            </w:r>
            <w:r>
              <w:rPr>
                <w:spacing w:val="11"/>
              </w:rPr>
              <w:t>中国证券监督管理委员会浙江监管局</w:t>
            </w:r>
            <w:r>
              <w:rPr>
                <w:spacing w:val="10"/>
              </w:rPr>
              <w:t>决定对财务总监吴某利采取出具警示</w:t>
            </w:r>
            <w:r>
              <w:rPr/>
              <w:t xml:space="preserve"> </w:t>
            </w:r>
            <w:r>
              <w:rPr>
                <w:spacing w:val="7"/>
              </w:rPr>
              <w:t>函的监督管理措施</w:t>
            </w:r>
            <w:r>
              <w:rPr>
                <w:spacing w:val="-19"/>
              </w:rPr>
              <w:t xml:space="preserve"> </w:t>
            </w:r>
            <w:r>
              <w:rPr>
                <w:spacing w:val="7"/>
              </w:rPr>
              <w:t>，并记入证券期货市场诚信档案。</w:t>
            </w:r>
          </w:p>
        </w:tc>
      </w:tr>
      <w:tr>
        <w:trPr>
          <w:trHeight w:val="732" w:hRule="atLeast"/>
        </w:trPr>
        <w:tc>
          <w:tcPr>
            <w:shd w:val="clear" w:fill="B8CCE4"/>
            <w:tcW w:w="1424" w:type="dxa"/>
            <w:vAlign w:val="top"/>
          </w:tcPr>
          <w:p>
            <w:pPr>
              <w:pStyle w:val="TableText"/>
              <w:ind w:left="343"/>
              <w:spacing w:before="302" w:line="178" w:lineRule="auto"/>
              <w:rPr/>
            </w:pPr>
            <w:r>
              <w:rPr>
                <w:spacing w:val="3"/>
              </w:rPr>
              <w:t>002085</w:t>
            </w:r>
          </w:p>
        </w:tc>
        <w:tc>
          <w:tcPr>
            <w:shd w:val="clear" w:fill="B8CCE4"/>
            <w:tcW w:w="1343" w:type="dxa"/>
            <w:vAlign w:val="top"/>
          </w:tcPr>
          <w:p>
            <w:pPr>
              <w:pStyle w:val="TableText"/>
              <w:ind w:left="243"/>
              <w:spacing w:before="287" w:line="189" w:lineRule="auto"/>
              <w:rPr/>
            </w:pPr>
            <w:r>
              <w:rPr>
                <w:spacing w:val="8"/>
              </w:rPr>
              <w:t>万丰奥威</w:t>
            </w:r>
          </w:p>
        </w:tc>
        <w:tc>
          <w:tcPr>
            <w:shd w:val="clear" w:fill="B8CCE4"/>
            <w:tcW w:w="5901" w:type="dxa"/>
            <w:vAlign w:val="top"/>
          </w:tcPr>
          <w:p>
            <w:pPr>
              <w:pStyle w:val="TableText"/>
              <w:ind w:left="98" w:right="103" w:firstLine="1"/>
              <w:spacing w:before="107" w:line="215" w:lineRule="auto"/>
              <w:rPr/>
            </w:pPr>
            <w:r>
              <w:rPr>
                <w:spacing w:val="10"/>
              </w:rPr>
              <w:t>浙江万丰奥威汽轮股份有限公司在深交所互动易平台回答投资</w:t>
            </w:r>
            <w:r>
              <w:rPr>
                <w:spacing w:val="12"/>
              </w:rPr>
              <w:t xml:space="preserve"> </w:t>
            </w:r>
            <w:r>
              <w:rPr>
                <w:spacing w:val="13"/>
              </w:rPr>
              <w:t>者关于“和特斯拉组建</w:t>
            </w:r>
            <w:r>
              <w:rPr/>
              <w:t>eVtol</w:t>
            </w:r>
            <w:r>
              <w:rPr>
                <w:spacing w:val="13"/>
              </w:rPr>
              <w:t>的公司</w:t>
            </w:r>
            <w:r>
              <w:rPr>
                <w:spacing w:val="-21"/>
              </w:rPr>
              <w:t xml:space="preserve"> </w:t>
            </w:r>
            <w:r>
              <w:rPr>
                <w:spacing w:val="13"/>
              </w:rPr>
              <w:t>，进展如何</w:t>
            </w:r>
            <w:r>
              <w:rPr>
                <w:spacing w:val="-43"/>
              </w:rPr>
              <w:t xml:space="preserve"> </w:t>
            </w:r>
            <w:r>
              <w:rPr>
                <w:spacing w:val="13"/>
              </w:rPr>
              <w:t>”的提问时，</w:t>
            </w:r>
          </w:p>
        </w:tc>
      </w:tr>
    </w:tbl>
    <w:p>
      <w:pPr>
        <w:pStyle w:val="BodyText"/>
        <w:spacing w:line="14" w:lineRule="auto"/>
        <w:rPr>
          <w:sz w:val="2"/>
        </w:rPr>
      </w:pPr>
      <w:r/>
    </w:p>
    <w:p>
      <w:pPr>
        <w:spacing w:line="14" w:lineRule="auto"/>
        <w:sectPr>
          <w:pgSz w:w="11910" w:h="16840"/>
          <w:pgMar w:top="400" w:right="1622" w:bottom="291" w:left="478" w:header="0" w:footer="0" w:gutter="0"/>
        </w:sectPr>
        <w:rPr>
          <w:sz w:val="2"/>
          <w:szCs w:val="2"/>
        </w:rPr>
      </w:pPr>
    </w:p>
    <w:tbl>
      <w:tblPr>
        <w:tblStyle w:val="TableNormal"/>
        <w:tblW w:w="8668"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424"/>
        <w:gridCol w:w="1343"/>
        <w:gridCol w:w="5901"/>
      </w:tblGrid>
      <w:tr>
        <w:trPr>
          <w:trHeight w:val="1104" w:hRule="atLeast"/>
        </w:trPr>
        <w:tc>
          <w:tcPr>
            <w:shd w:val="clear" w:fill="B8CCE4"/>
            <w:tcW w:w="1424" w:type="dxa"/>
            <w:vAlign w:val="top"/>
            <w:tcBorders>
              <w:top w:val="single" w:color="4F81BD" w:sz="2" w:space="0"/>
            </w:tcBorders>
          </w:tcPr>
          <w:p>
            <w:pPr>
              <w:rPr>
                <w:rFonts w:ascii="Arial"/>
                <w:sz w:val="21"/>
              </w:rPr>
            </w:pPr>
            <w:r/>
          </w:p>
        </w:tc>
        <w:tc>
          <w:tcPr>
            <w:shd w:val="clear" w:fill="B8CCE4"/>
            <w:tcW w:w="1343" w:type="dxa"/>
            <w:vAlign w:val="top"/>
            <w:tcBorders>
              <w:top w:val="single" w:color="4F81BD" w:sz="2" w:space="0"/>
            </w:tcBorders>
          </w:tcPr>
          <w:p>
            <w:pPr>
              <w:rPr>
                <w:rFonts w:ascii="Arial"/>
                <w:sz w:val="21"/>
              </w:rPr>
            </w:pPr>
            <w:r/>
          </w:p>
        </w:tc>
        <w:tc>
          <w:tcPr>
            <w:shd w:val="clear" w:fill="B8CCE4"/>
            <w:tcW w:w="5901" w:type="dxa"/>
            <w:vAlign w:val="top"/>
            <w:tcBorders>
              <w:top w:val="single" w:color="4F81BD" w:sz="2" w:space="0"/>
            </w:tcBorders>
          </w:tcPr>
          <w:p>
            <w:pPr>
              <w:pStyle w:val="TableText"/>
              <w:ind w:left="99" w:right="103"/>
              <w:spacing w:before="102" w:line="231" w:lineRule="auto"/>
              <w:jc w:val="both"/>
              <w:rPr/>
            </w:pPr>
            <w:r>
              <w:rPr>
                <w:spacing w:val="9"/>
              </w:rPr>
              <w:t>称“与合作方已共同组建项目团队</w:t>
            </w:r>
            <w:r>
              <w:rPr>
                <w:spacing w:val="-21"/>
              </w:rPr>
              <w:t xml:space="preserve"> </w:t>
            </w:r>
            <w:r>
              <w:rPr>
                <w:spacing w:val="9"/>
              </w:rPr>
              <w:t>，联动国内国外技术、运营</w:t>
            </w:r>
            <w:r>
              <w:rPr/>
              <w:t xml:space="preserve"> </w:t>
            </w:r>
            <w:r>
              <w:rPr>
                <w:spacing w:val="11"/>
              </w:rPr>
              <w:t>、管理团队商讨商业计划、投资方案等</w:t>
            </w:r>
            <w:r>
              <w:rPr>
                <w:spacing w:val="-36"/>
              </w:rPr>
              <w:t xml:space="preserve"> </w:t>
            </w:r>
            <w:r>
              <w:rPr>
                <w:spacing w:val="11"/>
              </w:rPr>
              <w:t>…</w:t>
            </w:r>
            <w:r>
              <w:rPr>
                <w:spacing w:val="-39"/>
              </w:rPr>
              <w:t xml:space="preserve"> </w:t>
            </w:r>
            <w:r>
              <w:rPr>
                <w:spacing w:val="11"/>
              </w:rPr>
              <w:t>…</w:t>
            </w:r>
            <w:r>
              <w:rPr>
                <w:spacing w:val="-44"/>
              </w:rPr>
              <w:t xml:space="preserve"> </w:t>
            </w:r>
            <w:r>
              <w:rPr>
                <w:spacing w:val="11"/>
              </w:rPr>
              <w:t>”。公司在</w:t>
            </w:r>
            <w:r>
              <w:rPr>
                <w:b/>
                <w:bCs/>
                <w:spacing w:val="11"/>
              </w:rPr>
              <w:t>答复投</w:t>
            </w:r>
            <w:r>
              <w:rPr>
                <w:b/>
                <w:bCs/>
              </w:rPr>
              <w:t xml:space="preserve"> </w:t>
            </w:r>
            <w:r>
              <w:rPr>
                <w:b/>
                <w:bCs/>
                <w:spacing w:val="6"/>
              </w:rPr>
              <w:t>资者提问时</w:t>
            </w:r>
            <w:r>
              <w:rPr>
                <w:b/>
                <w:bCs/>
                <w:spacing w:val="-19"/>
              </w:rPr>
              <w:t xml:space="preserve"> </w:t>
            </w:r>
            <w:r>
              <w:rPr>
                <w:spacing w:val="6"/>
              </w:rPr>
              <w:t>，存在误导性陈述。</w:t>
            </w:r>
          </w:p>
        </w:tc>
      </w:tr>
      <w:tr>
        <w:trPr>
          <w:trHeight w:val="724" w:hRule="atLeast"/>
        </w:trPr>
        <w:tc>
          <w:tcPr>
            <w:tcW w:w="8668" w:type="dxa"/>
            <w:vAlign w:val="top"/>
            <w:gridSpan w:val="3"/>
          </w:tcPr>
          <w:p>
            <w:pPr>
              <w:pStyle w:val="TableText"/>
              <w:ind w:left="107" w:right="106" w:firstLine="14"/>
              <w:spacing w:before="38" w:line="236" w:lineRule="auto"/>
              <w:rPr/>
            </w:pPr>
            <w:r>
              <w:rPr>
                <w:b/>
                <w:bCs/>
                <w:spacing w:val="11"/>
              </w:rPr>
              <w:t>【行政监管措施】</w:t>
            </w:r>
            <w:r>
              <w:rPr>
                <w:spacing w:val="11"/>
              </w:rPr>
              <w:t>中国证券监督管理委员会浙江监管局</w:t>
            </w:r>
            <w:r>
              <w:rPr>
                <w:spacing w:val="10"/>
              </w:rPr>
              <w:t>决定对浙江万丰奥威汽轮股份有限公</w:t>
            </w:r>
            <w:r>
              <w:rPr/>
              <w:t xml:space="preserve"> </w:t>
            </w:r>
            <w:r>
              <w:rPr>
                <w:spacing w:val="9"/>
              </w:rPr>
              <w:t>司、董事会秘书李某分别采取出具警示函的监督管理措施</w:t>
            </w:r>
            <w:r>
              <w:rPr>
                <w:spacing w:val="-28"/>
              </w:rPr>
              <w:t xml:space="preserve"> </w:t>
            </w:r>
            <w:r>
              <w:rPr>
                <w:spacing w:val="9"/>
              </w:rPr>
              <w:t>，并记入证</w:t>
            </w:r>
            <w:r>
              <w:rPr>
                <w:spacing w:val="8"/>
              </w:rPr>
              <w:t>券期货市场诚信档案。</w:t>
            </w:r>
          </w:p>
        </w:tc>
      </w:tr>
      <w:tr>
        <w:trPr>
          <w:trHeight w:val="725" w:hRule="atLeast"/>
        </w:trPr>
        <w:tc>
          <w:tcPr>
            <w:shd w:val="clear" w:fill="B8CCE4"/>
            <w:tcW w:w="1424" w:type="dxa"/>
            <w:vAlign w:val="top"/>
          </w:tcPr>
          <w:p>
            <w:pPr>
              <w:pStyle w:val="TableText"/>
              <w:ind w:left="346"/>
              <w:spacing w:before="277" w:line="178" w:lineRule="auto"/>
              <w:rPr/>
            </w:pPr>
            <w:r>
              <w:rPr>
                <w:spacing w:val="3"/>
              </w:rPr>
              <w:t>600290</w:t>
            </w:r>
          </w:p>
        </w:tc>
        <w:tc>
          <w:tcPr>
            <w:shd w:val="clear" w:fill="B8CCE4"/>
            <w:tcW w:w="1343" w:type="dxa"/>
            <w:vAlign w:val="top"/>
          </w:tcPr>
          <w:p>
            <w:pPr>
              <w:pStyle w:val="TableText"/>
              <w:ind w:left="288"/>
              <w:spacing w:before="263" w:line="189" w:lineRule="auto"/>
              <w:rPr/>
            </w:pPr>
            <w:r>
              <w:rPr>
                <w:spacing w:val="8"/>
              </w:rPr>
              <w:t>*</w:t>
            </w:r>
            <w:r>
              <w:rPr/>
              <w:t>ST</w:t>
            </w:r>
            <w:r>
              <w:rPr>
                <w:spacing w:val="8"/>
              </w:rPr>
              <w:t>华仪</w:t>
            </w:r>
          </w:p>
        </w:tc>
        <w:tc>
          <w:tcPr>
            <w:shd w:val="clear" w:fill="B8CCE4"/>
            <w:tcW w:w="5901" w:type="dxa"/>
            <w:vAlign w:val="top"/>
          </w:tcPr>
          <w:p>
            <w:pPr>
              <w:pStyle w:val="TableText"/>
              <w:ind w:left="99" w:right="103" w:firstLine="9"/>
              <w:spacing w:before="83" w:line="221" w:lineRule="auto"/>
              <w:rPr/>
            </w:pPr>
            <w:r>
              <w:rPr>
                <w:spacing w:val="10"/>
              </w:rPr>
              <w:t>2017年度</w:t>
            </w:r>
            <w:r>
              <w:rPr>
                <w:b/>
                <w:bCs/>
                <w:spacing w:val="10"/>
              </w:rPr>
              <w:t>收入审计程序</w:t>
            </w:r>
            <w:r>
              <w:rPr>
                <w:spacing w:val="10"/>
              </w:rPr>
              <w:t>执行不到位；</w:t>
            </w:r>
            <w:r>
              <w:rPr>
                <w:spacing w:val="-25"/>
              </w:rPr>
              <w:t xml:space="preserve"> </w:t>
            </w:r>
            <w:r>
              <w:rPr>
                <w:spacing w:val="10"/>
              </w:rPr>
              <w:t>2019年度</w:t>
            </w:r>
            <w:r>
              <w:rPr>
                <w:b/>
                <w:bCs/>
                <w:spacing w:val="10"/>
              </w:rPr>
              <w:t>应收账款审计</w:t>
            </w:r>
            <w:r>
              <w:rPr>
                <w:b/>
                <w:bCs/>
              </w:rPr>
              <w:t xml:space="preserve"> </w:t>
            </w:r>
            <w:r>
              <w:rPr>
                <w:b/>
                <w:bCs/>
                <w:spacing w:val="8"/>
              </w:rPr>
              <w:t>程序</w:t>
            </w:r>
            <w:r>
              <w:rPr>
                <w:spacing w:val="8"/>
              </w:rPr>
              <w:t>执行不到位。</w:t>
            </w:r>
          </w:p>
        </w:tc>
      </w:tr>
      <w:tr>
        <w:trPr>
          <w:trHeight w:val="724" w:hRule="atLeast"/>
        </w:trPr>
        <w:tc>
          <w:tcPr>
            <w:tcW w:w="8668" w:type="dxa"/>
            <w:vAlign w:val="top"/>
            <w:gridSpan w:val="3"/>
          </w:tcPr>
          <w:p>
            <w:pPr>
              <w:pStyle w:val="TableText"/>
              <w:ind w:left="104" w:right="106" w:firstLine="17"/>
              <w:spacing w:before="41" w:line="235" w:lineRule="auto"/>
              <w:rPr/>
            </w:pPr>
            <w:r>
              <w:rPr>
                <w:b/>
                <w:bCs/>
                <w:spacing w:val="11"/>
              </w:rPr>
              <w:t>【行政监管措施】</w:t>
            </w:r>
            <w:r>
              <w:rPr>
                <w:spacing w:val="11"/>
              </w:rPr>
              <w:t>中国证券监督管理委员会浙江监管局</w:t>
            </w:r>
            <w:r>
              <w:rPr>
                <w:spacing w:val="10"/>
              </w:rPr>
              <w:t>决定对天健会计师事务所（特殊普通</w:t>
            </w:r>
            <w:r>
              <w:rPr/>
              <w:t xml:space="preserve"> </w:t>
            </w:r>
            <w:r>
              <w:rPr>
                <w:spacing w:val="8"/>
              </w:rPr>
              <w:t>合伙）</w:t>
            </w:r>
            <w:r>
              <w:rPr>
                <w:spacing w:val="-30"/>
              </w:rPr>
              <w:t xml:space="preserve"> </w:t>
            </w:r>
            <w:r>
              <w:rPr>
                <w:spacing w:val="8"/>
              </w:rPr>
              <w:t>、会计师分别采取出具警示函的监督管理措施</w:t>
            </w:r>
            <w:r>
              <w:rPr>
                <w:spacing w:val="-28"/>
              </w:rPr>
              <w:t xml:space="preserve"> </w:t>
            </w:r>
            <w:r>
              <w:rPr>
                <w:spacing w:val="8"/>
              </w:rPr>
              <w:t>，并记入证券期货市场诚信档案。</w:t>
            </w:r>
          </w:p>
        </w:tc>
      </w:tr>
      <w:tr>
        <w:trPr>
          <w:trHeight w:val="1444" w:hRule="atLeast"/>
        </w:trPr>
        <w:tc>
          <w:tcPr>
            <w:shd w:val="clear" w:fill="B8CCE4"/>
            <w:tcW w:w="1424" w:type="dxa"/>
            <w:vAlign w:val="top"/>
          </w:tcPr>
          <w:p>
            <w:pPr>
              <w:spacing w:line="275" w:lineRule="auto"/>
              <w:rPr>
                <w:rFonts w:ascii="Arial"/>
                <w:sz w:val="21"/>
              </w:rPr>
            </w:pPr>
            <w:r/>
          </w:p>
          <w:p>
            <w:pPr>
              <w:spacing w:line="275" w:lineRule="auto"/>
              <w:rPr>
                <w:rFonts w:ascii="Arial"/>
                <w:sz w:val="21"/>
              </w:rPr>
            </w:pPr>
            <w:r/>
          </w:p>
          <w:p>
            <w:pPr>
              <w:pStyle w:val="TableText"/>
              <w:ind w:left="346"/>
              <w:spacing w:before="86" w:line="178" w:lineRule="auto"/>
              <w:rPr/>
            </w:pPr>
            <w:r>
              <w:rPr>
                <w:spacing w:val="3"/>
              </w:rPr>
              <w:t>600277</w:t>
            </w:r>
          </w:p>
        </w:tc>
        <w:tc>
          <w:tcPr>
            <w:shd w:val="clear" w:fill="B8CCE4"/>
            <w:tcW w:w="1343" w:type="dxa"/>
            <w:vAlign w:val="top"/>
          </w:tcPr>
          <w:p>
            <w:pPr>
              <w:spacing w:line="267" w:lineRule="auto"/>
              <w:rPr>
                <w:rFonts w:ascii="Arial"/>
                <w:sz w:val="21"/>
              </w:rPr>
            </w:pPr>
            <w:r/>
          </w:p>
          <w:p>
            <w:pPr>
              <w:spacing w:line="267" w:lineRule="auto"/>
              <w:rPr>
                <w:rFonts w:ascii="Arial"/>
                <w:sz w:val="21"/>
              </w:rPr>
            </w:pPr>
            <w:r/>
          </w:p>
          <w:p>
            <w:pPr>
              <w:pStyle w:val="TableText"/>
              <w:ind w:left="242"/>
              <w:spacing w:before="86" w:line="190" w:lineRule="auto"/>
              <w:rPr/>
            </w:pPr>
            <w:r>
              <w:rPr>
                <w:spacing w:val="8"/>
              </w:rPr>
              <w:t>亿利洁能</w:t>
            </w:r>
          </w:p>
        </w:tc>
        <w:tc>
          <w:tcPr>
            <w:shd w:val="clear" w:fill="B8CCE4"/>
            <w:tcW w:w="5901" w:type="dxa"/>
            <w:vAlign w:val="top"/>
          </w:tcPr>
          <w:p>
            <w:pPr>
              <w:pStyle w:val="TableText"/>
              <w:ind w:left="97" w:right="103" w:firstLine="1"/>
              <w:spacing w:before="84" w:line="236" w:lineRule="auto"/>
              <w:jc w:val="both"/>
              <w:rPr/>
            </w:pPr>
            <w:r>
              <w:rPr>
                <w:spacing w:val="8"/>
              </w:rPr>
              <w:t>公司披露业绩预告更正公告</w:t>
            </w:r>
            <w:r>
              <w:rPr>
                <w:spacing w:val="-19"/>
              </w:rPr>
              <w:t xml:space="preserve"> </w:t>
            </w:r>
            <w:r>
              <w:rPr>
                <w:spacing w:val="8"/>
              </w:rPr>
              <w:t>，</w:t>
            </w:r>
            <w:r>
              <w:rPr>
                <w:spacing w:val="-34"/>
              </w:rPr>
              <w:t xml:space="preserve"> </w:t>
            </w:r>
            <w:r>
              <w:rPr>
                <w:spacing w:val="8"/>
              </w:rPr>
              <w:t>因公司预计对存放在亿利集团财</w:t>
            </w:r>
            <w:r>
              <w:rPr/>
              <w:t xml:space="preserve"> </w:t>
            </w:r>
            <w:r>
              <w:rPr>
                <w:spacing w:val="10"/>
              </w:rPr>
              <w:t>务公司存款计提货币资金信用减值准备、对公司持有的煤炭资</w:t>
            </w:r>
            <w:r>
              <w:rPr>
                <w:spacing w:val="13"/>
              </w:rPr>
              <w:t xml:space="preserve"> </w:t>
            </w:r>
            <w:r>
              <w:rPr>
                <w:spacing w:val="9"/>
              </w:rPr>
              <w:t>源补充计提资产减值损失及联营企业净利润减少等因素</w:t>
            </w:r>
            <w:r>
              <w:rPr>
                <w:spacing w:val="-19"/>
              </w:rPr>
              <w:t xml:space="preserve"> </w:t>
            </w:r>
            <w:r>
              <w:rPr>
                <w:spacing w:val="9"/>
              </w:rPr>
              <w:t>，导致</w:t>
            </w:r>
            <w:r>
              <w:rPr/>
              <w:t xml:space="preserve"> </w:t>
            </w:r>
            <w:r>
              <w:rPr>
                <w:spacing w:val="8"/>
              </w:rPr>
              <w:t>业绩预测</w:t>
            </w:r>
            <w:r>
              <w:rPr>
                <w:b/>
                <w:bCs/>
                <w:spacing w:val="8"/>
              </w:rPr>
              <w:t>盈亏性质发生变化。</w:t>
            </w:r>
          </w:p>
        </w:tc>
      </w:tr>
      <w:tr>
        <w:trPr>
          <w:trHeight w:val="1084" w:hRule="atLeast"/>
        </w:trPr>
        <w:tc>
          <w:tcPr>
            <w:tcW w:w="8668" w:type="dxa"/>
            <w:vAlign w:val="top"/>
            <w:gridSpan w:val="3"/>
          </w:tcPr>
          <w:p>
            <w:pPr>
              <w:pStyle w:val="TableText"/>
              <w:ind w:left="103" w:right="106" w:firstLine="17"/>
              <w:spacing w:before="44"/>
              <w:jc w:val="both"/>
              <w:rPr/>
            </w:pPr>
            <w:r>
              <w:rPr>
                <w:b/>
                <w:bCs/>
                <w:spacing w:val="11"/>
              </w:rPr>
              <w:t>【行政监管措施】</w:t>
            </w:r>
            <w:r>
              <w:rPr>
                <w:spacing w:val="11"/>
              </w:rPr>
              <w:t>中国证券监督管理委员会内蒙古监管</w:t>
            </w:r>
            <w:r>
              <w:rPr>
                <w:spacing w:val="10"/>
              </w:rPr>
              <w:t>局决定对亿利洁能股份有限公司及董</w:t>
            </w:r>
            <w:r>
              <w:rPr/>
              <w:t xml:space="preserve"> </w:t>
            </w:r>
            <w:r>
              <w:rPr>
                <w:spacing w:val="10"/>
              </w:rPr>
              <w:t>事长王某丰、总经理侯某慧、财务总监张某梅采取出具警示函的行政监管措施</w:t>
            </w:r>
            <w:r>
              <w:rPr>
                <w:spacing w:val="-18"/>
              </w:rPr>
              <w:t xml:space="preserve"> </w:t>
            </w:r>
            <w:r>
              <w:rPr>
                <w:spacing w:val="10"/>
              </w:rPr>
              <w:t>，并记入证券</w:t>
            </w:r>
            <w:r>
              <w:rPr/>
              <w:t xml:space="preserve"> </w:t>
            </w:r>
            <w:r>
              <w:rPr>
                <w:spacing w:val="8"/>
              </w:rPr>
              <w:t>期货市场诚信档案数据库。</w:t>
            </w:r>
          </w:p>
        </w:tc>
      </w:tr>
      <w:tr>
        <w:trPr>
          <w:trHeight w:val="1514" w:hRule="atLeast"/>
        </w:trPr>
        <w:tc>
          <w:tcPr>
            <w:shd w:val="clear" w:fill="B8CCE4"/>
            <w:tcW w:w="1424" w:type="dxa"/>
            <w:vAlign w:val="top"/>
          </w:tcPr>
          <w:p>
            <w:pPr>
              <w:spacing w:line="293" w:lineRule="auto"/>
              <w:rPr>
                <w:rFonts w:ascii="Arial"/>
                <w:sz w:val="21"/>
              </w:rPr>
            </w:pPr>
            <w:r/>
          </w:p>
          <w:p>
            <w:pPr>
              <w:spacing w:line="294" w:lineRule="auto"/>
              <w:rPr>
                <w:rFonts w:ascii="Arial"/>
                <w:sz w:val="21"/>
              </w:rPr>
            </w:pPr>
            <w:r/>
          </w:p>
          <w:p>
            <w:pPr>
              <w:pStyle w:val="TableText"/>
              <w:ind w:left="346"/>
              <w:spacing w:before="86" w:line="179" w:lineRule="auto"/>
              <w:rPr/>
            </w:pPr>
            <w:r>
              <w:rPr>
                <w:spacing w:val="3"/>
              </w:rPr>
              <w:t>601688</w:t>
            </w:r>
          </w:p>
        </w:tc>
        <w:tc>
          <w:tcPr>
            <w:shd w:val="clear" w:fill="B8CCE4"/>
            <w:tcW w:w="1343" w:type="dxa"/>
            <w:vAlign w:val="top"/>
          </w:tcPr>
          <w:p>
            <w:pPr>
              <w:spacing w:line="287" w:lineRule="auto"/>
              <w:rPr>
                <w:rFonts w:ascii="Arial"/>
                <w:sz w:val="21"/>
              </w:rPr>
            </w:pPr>
            <w:r/>
          </w:p>
          <w:p>
            <w:pPr>
              <w:spacing w:line="287" w:lineRule="auto"/>
              <w:rPr>
                <w:rFonts w:ascii="Arial"/>
                <w:sz w:val="21"/>
              </w:rPr>
            </w:pPr>
            <w:r/>
          </w:p>
          <w:p>
            <w:pPr>
              <w:pStyle w:val="TableText"/>
              <w:ind w:left="244"/>
              <w:spacing w:before="86" w:line="189" w:lineRule="auto"/>
              <w:rPr/>
            </w:pPr>
            <w:r>
              <w:rPr>
                <w:spacing w:val="8"/>
              </w:rPr>
              <w:t>华泰证券</w:t>
            </w:r>
          </w:p>
        </w:tc>
        <w:tc>
          <w:tcPr>
            <w:shd w:val="clear" w:fill="B8CCE4"/>
            <w:tcW w:w="5901" w:type="dxa"/>
            <w:vAlign w:val="top"/>
          </w:tcPr>
          <w:p>
            <w:pPr>
              <w:pStyle w:val="TableText"/>
              <w:ind w:left="98" w:right="120" w:firstLine="3"/>
              <w:spacing w:before="159" w:line="235" w:lineRule="auto"/>
              <w:rPr/>
            </w:pPr>
            <w:r>
              <w:rPr>
                <w:spacing w:val="8"/>
              </w:rPr>
              <w:t>华泰证券股份有限公司深圳深南大道证券营</w:t>
            </w:r>
            <w:r>
              <w:rPr>
                <w:spacing w:val="7"/>
              </w:rPr>
              <w:t>业部在2019年与   </w:t>
            </w:r>
            <w:r>
              <w:rPr>
                <w:spacing w:val="9"/>
              </w:rPr>
              <w:t>外部机构合作举办客户培训交流会</w:t>
            </w:r>
            <w:r>
              <w:rPr>
                <w:spacing w:val="-28"/>
              </w:rPr>
              <w:t xml:space="preserve"> </w:t>
            </w:r>
            <w:r>
              <w:rPr>
                <w:spacing w:val="9"/>
              </w:rPr>
              <w:t>，涉及讲</w:t>
            </w:r>
            <w:r>
              <w:rPr>
                <w:spacing w:val="8"/>
              </w:rPr>
              <w:t>解证券行情走势等</w:t>
            </w:r>
            <w:r>
              <w:rPr/>
              <w:t xml:space="preserve"> </w:t>
            </w:r>
            <w:r>
              <w:rPr>
                <w:spacing w:val="9"/>
              </w:rPr>
              <w:t>相关内容,华泰证券股份有限公司深圳深南大</w:t>
            </w:r>
            <w:r>
              <w:rPr>
                <w:spacing w:val="8"/>
              </w:rPr>
              <w:t>道证券营业部未   </w:t>
            </w:r>
            <w:r>
              <w:rPr>
                <w:spacing w:val="8"/>
              </w:rPr>
              <w:t>对活动开展、议程、</w:t>
            </w:r>
            <w:r>
              <w:rPr>
                <w:spacing w:val="-25"/>
              </w:rPr>
              <w:t xml:space="preserve"> </w:t>
            </w:r>
            <w:r>
              <w:rPr>
                <w:spacing w:val="8"/>
              </w:rPr>
              <w:t>内容、讲师资质等进行合规审核。</w:t>
            </w:r>
          </w:p>
        </w:tc>
      </w:tr>
      <w:tr>
        <w:trPr>
          <w:trHeight w:val="725" w:hRule="atLeast"/>
        </w:trPr>
        <w:tc>
          <w:tcPr>
            <w:tcW w:w="8668" w:type="dxa"/>
            <w:vAlign w:val="top"/>
            <w:gridSpan w:val="3"/>
          </w:tcPr>
          <w:p>
            <w:pPr>
              <w:pStyle w:val="TableText"/>
              <w:ind w:left="106" w:right="106" w:firstLine="14"/>
              <w:spacing w:before="51" w:line="232" w:lineRule="auto"/>
              <w:rPr/>
            </w:pPr>
            <w:r>
              <w:rPr>
                <w:b/>
                <w:bCs/>
                <w:spacing w:val="11"/>
              </w:rPr>
              <w:t>【行政监管措施】</w:t>
            </w:r>
            <w:r>
              <w:rPr>
                <w:spacing w:val="11"/>
              </w:rPr>
              <w:t>中国证券监督管理委员会深圳监管局</w:t>
            </w:r>
            <w:r>
              <w:rPr>
                <w:spacing w:val="10"/>
              </w:rPr>
              <w:t>决定对华泰证券股份有限公司深圳深</w:t>
            </w:r>
            <w:r>
              <w:rPr/>
              <w:t xml:space="preserve"> </w:t>
            </w:r>
            <w:r>
              <w:rPr>
                <w:spacing w:val="9"/>
              </w:rPr>
              <w:t>南大道证券营业部采取出具警示函的行政监管措施。</w:t>
            </w:r>
          </w:p>
        </w:tc>
      </w:tr>
      <w:tr>
        <w:trPr>
          <w:trHeight w:val="364" w:hRule="atLeast"/>
        </w:trPr>
        <w:tc>
          <w:tcPr>
            <w:shd w:val="clear" w:fill="B8CCE4"/>
            <w:tcW w:w="1424" w:type="dxa"/>
            <w:vAlign w:val="top"/>
          </w:tcPr>
          <w:p>
            <w:pPr>
              <w:pStyle w:val="TableText"/>
              <w:ind w:left="346"/>
              <w:spacing w:before="106" w:line="173" w:lineRule="auto"/>
              <w:rPr/>
            </w:pPr>
            <w:r>
              <w:rPr>
                <w:spacing w:val="3"/>
              </w:rPr>
              <w:t>603180</w:t>
            </w:r>
          </w:p>
        </w:tc>
        <w:tc>
          <w:tcPr>
            <w:shd w:val="clear" w:fill="B8CCE4"/>
            <w:tcW w:w="1343" w:type="dxa"/>
            <w:vAlign w:val="top"/>
          </w:tcPr>
          <w:p>
            <w:pPr>
              <w:pStyle w:val="TableText"/>
              <w:ind w:left="241"/>
              <w:spacing w:before="93" w:line="182" w:lineRule="auto"/>
              <w:rPr/>
            </w:pPr>
            <w:r>
              <w:rPr>
                <w:spacing w:val="9"/>
              </w:rPr>
              <w:t>金牌厨柜</w:t>
            </w:r>
          </w:p>
        </w:tc>
        <w:tc>
          <w:tcPr>
            <w:shd w:val="clear" w:fill="B8CCE4"/>
            <w:tcW w:w="5901" w:type="dxa"/>
            <w:vAlign w:val="top"/>
          </w:tcPr>
          <w:p>
            <w:pPr>
              <w:pStyle w:val="TableText"/>
              <w:ind w:left="101"/>
              <w:spacing w:before="93" w:line="182" w:lineRule="auto"/>
              <w:rPr/>
            </w:pPr>
            <w:r>
              <w:rPr>
                <w:spacing w:val="8"/>
              </w:rPr>
              <w:t>监事</w:t>
            </w:r>
            <w:r>
              <w:rPr>
                <w:b/>
                <w:bCs/>
                <w:spacing w:val="8"/>
              </w:rPr>
              <w:t>短线交易</w:t>
            </w:r>
            <w:r>
              <w:rPr>
                <w:spacing w:val="8"/>
              </w:rPr>
              <w:t>可转债。</w:t>
            </w:r>
          </w:p>
        </w:tc>
      </w:tr>
      <w:tr>
        <w:trPr>
          <w:trHeight w:val="1084" w:hRule="atLeast"/>
        </w:trPr>
        <w:tc>
          <w:tcPr>
            <w:tcW w:w="8668" w:type="dxa"/>
            <w:vAlign w:val="top"/>
            <w:gridSpan w:val="3"/>
          </w:tcPr>
          <w:p>
            <w:pPr>
              <w:pStyle w:val="TableText"/>
              <w:ind w:left="102" w:right="106" w:firstLine="19"/>
              <w:spacing w:before="53" w:line="238" w:lineRule="auto"/>
              <w:jc w:val="both"/>
              <w:rPr/>
            </w:pPr>
            <w:r>
              <w:rPr>
                <w:b/>
                <w:bCs/>
                <w:spacing w:val="11"/>
              </w:rPr>
              <w:t>【行政监管措施】</w:t>
            </w:r>
            <w:r>
              <w:rPr>
                <w:spacing w:val="11"/>
              </w:rPr>
              <w:t>中国证券监督管理委员会厦门监管局</w:t>
            </w:r>
            <w:r>
              <w:rPr>
                <w:spacing w:val="10"/>
              </w:rPr>
              <w:t>决定对监事朱某采取出具警示函的行</w:t>
            </w:r>
            <w:r>
              <w:rPr/>
              <w:t xml:space="preserve"> </w:t>
            </w:r>
            <w:r>
              <w:rPr>
                <w:spacing w:val="10"/>
              </w:rPr>
              <w:t>政监管措施</w:t>
            </w:r>
            <w:r>
              <w:rPr>
                <w:spacing w:val="-16"/>
              </w:rPr>
              <w:t xml:space="preserve"> </w:t>
            </w:r>
            <w:r>
              <w:rPr>
                <w:spacing w:val="10"/>
              </w:rPr>
              <w:t>，并根据《证券期货市场诚信监督管理办法》将相关情况记入证券期货市场诚信</w:t>
            </w:r>
            <w:r>
              <w:rPr/>
              <w:t xml:space="preserve"> </w:t>
            </w:r>
            <w:r>
              <w:rPr>
                <w:spacing w:val="5"/>
              </w:rPr>
              <w:t>档案。</w:t>
            </w:r>
          </w:p>
        </w:tc>
      </w:tr>
      <w:tr>
        <w:trPr>
          <w:trHeight w:val="1083" w:hRule="atLeast"/>
        </w:trPr>
        <w:tc>
          <w:tcPr>
            <w:shd w:val="clear" w:fill="B8CCE4"/>
            <w:tcW w:w="1424" w:type="dxa"/>
            <w:vAlign w:val="top"/>
          </w:tcPr>
          <w:p>
            <w:pPr>
              <w:spacing w:line="383" w:lineRule="auto"/>
              <w:rPr>
                <w:rFonts w:ascii="Arial"/>
                <w:sz w:val="21"/>
              </w:rPr>
            </w:pPr>
            <w:r/>
          </w:p>
          <w:p>
            <w:pPr>
              <w:pStyle w:val="TableText"/>
              <w:ind w:left="346"/>
              <w:spacing w:before="86" w:line="178" w:lineRule="auto"/>
              <w:rPr/>
            </w:pPr>
            <w:r>
              <w:rPr>
                <w:spacing w:val="3"/>
              </w:rPr>
              <w:t>600338</w:t>
            </w:r>
          </w:p>
        </w:tc>
        <w:tc>
          <w:tcPr>
            <w:shd w:val="clear" w:fill="B8CCE4"/>
            <w:tcW w:w="1343" w:type="dxa"/>
            <w:vAlign w:val="top"/>
          </w:tcPr>
          <w:p>
            <w:pPr>
              <w:spacing w:line="368" w:lineRule="auto"/>
              <w:rPr>
                <w:rFonts w:ascii="Arial"/>
                <w:sz w:val="21"/>
              </w:rPr>
            </w:pPr>
            <w:r/>
          </w:p>
          <w:p>
            <w:pPr>
              <w:pStyle w:val="TableText"/>
              <w:ind w:left="245"/>
              <w:spacing w:before="86" w:line="189" w:lineRule="auto"/>
              <w:rPr/>
            </w:pPr>
            <w:r>
              <w:rPr>
                <w:spacing w:val="8"/>
              </w:rPr>
              <w:t>西藏珠峰</w:t>
            </w:r>
          </w:p>
        </w:tc>
        <w:tc>
          <w:tcPr>
            <w:shd w:val="clear" w:fill="B8CCE4"/>
            <w:tcW w:w="5901" w:type="dxa"/>
            <w:vAlign w:val="top"/>
          </w:tcPr>
          <w:p>
            <w:pPr>
              <w:pStyle w:val="TableText"/>
              <w:ind w:left="102" w:right="103"/>
              <w:spacing w:before="95" w:line="228" w:lineRule="auto"/>
              <w:jc w:val="both"/>
              <w:rPr/>
            </w:pPr>
            <w:r>
              <w:rPr>
                <w:spacing w:val="10"/>
              </w:rPr>
              <w:t>西藏珠峰资源股份有限公司发布收到监管谈话措施的决定的公</w:t>
            </w:r>
            <w:r>
              <w:rPr>
                <w:spacing w:val="8"/>
              </w:rPr>
              <w:t xml:space="preserve"> </w:t>
            </w:r>
            <w:r>
              <w:rPr>
                <w:spacing w:val="8"/>
              </w:rPr>
              <w:t>告未准确披露</w:t>
            </w:r>
            <w:r>
              <w:rPr>
                <w:spacing w:val="-25"/>
              </w:rPr>
              <w:t xml:space="preserve"> </w:t>
            </w:r>
            <w:r>
              <w:rPr>
                <w:spacing w:val="8"/>
              </w:rPr>
              <w:t>，公告中存在</w:t>
            </w:r>
            <w:r>
              <w:rPr>
                <w:b/>
                <w:bCs/>
                <w:spacing w:val="8"/>
              </w:rPr>
              <w:t>多个错别字</w:t>
            </w:r>
            <w:r>
              <w:rPr>
                <w:b/>
                <w:bCs/>
                <w:spacing w:val="-26"/>
              </w:rPr>
              <w:t xml:space="preserve"> </w:t>
            </w:r>
            <w:r>
              <w:rPr>
                <w:spacing w:val="8"/>
              </w:rPr>
              <w:t>，反映出公</w:t>
            </w:r>
            <w:r>
              <w:rPr>
                <w:spacing w:val="7"/>
              </w:rPr>
              <w:t>司信息披露</w:t>
            </w:r>
            <w:r>
              <w:rPr/>
              <w:t xml:space="preserve"> </w:t>
            </w:r>
            <w:r>
              <w:rPr>
                <w:spacing w:val="7"/>
              </w:rPr>
              <w:t>内控流于形式。</w:t>
            </w:r>
          </w:p>
        </w:tc>
      </w:tr>
      <w:tr>
        <w:trPr>
          <w:trHeight w:val="1084" w:hRule="atLeast"/>
        </w:trPr>
        <w:tc>
          <w:tcPr>
            <w:tcW w:w="8668" w:type="dxa"/>
            <w:vAlign w:val="top"/>
            <w:gridSpan w:val="3"/>
          </w:tcPr>
          <w:p>
            <w:pPr>
              <w:pStyle w:val="TableText"/>
              <w:ind w:left="103" w:right="106" w:firstLine="17"/>
              <w:spacing w:before="57" w:line="237" w:lineRule="auto"/>
              <w:rPr/>
            </w:pPr>
            <w:r>
              <w:rPr>
                <w:b/>
                <w:bCs/>
                <w:spacing w:val="11"/>
              </w:rPr>
              <w:t>【行政监管措施】</w:t>
            </w:r>
            <w:r>
              <w:rPr>
                <w:spacing w:val="11"/>
              </w:rPr>
              <w:t>中国证券监督管理委员会西藏监管局</w:t>
            </w:r>
            <w:r>
              <w:rPr>
                <w:spacing w:val="10"/>
              </w:rPr>
              <w:t>决定对西藏珠峰资源股份有限公司、</w:t>
            </w:r>
            <w:r>
              <w:rPr/>
              <w:t xml:space="preserve"> </w:t>
            </w:r>
            <w:r>
              <w:rPr>
                <w:spacing w:val="10"/>
              </w:rPr>
              <w:t>董事长黄某荣、董事会秘书胡某东采取出具警示函的监督管理措施</w:t>
            </w:r>
            <w:r>
              <w:rPr>
                <w:spacing w:val="-18"/>
              </w:rPr>
              <w:t xml:space="preserve"> </w:t>
            </w:r>
            <w:r>
              <w:rPr>
                <w:spacing w:val="10"/>
              </w:rPr>
              <w:t>，并将相关情况记入证券</w:t>
            </w:r>
            <w:r>
              <w:rPr/>
              <w:t xml:space="preserve"> </w:t>
            </w:r>
            <w:r>
              <w:rPr>
                <w:spacing w:val="8"/>
              </w:rPr>
              <w:t>期货市场诚信档案。</w:t>
            </w:r>
          </w:p>
        </w:tc>
      </w:tr>
      <w:tr>
        <w:trPr>
          <w:trHeight w:val="2162" w:hRule="atLeast"/>
        </w:trPr>
        <w:tc>
          <w:tcPr>
            <w:shd w:val="clear" w:fill="B8CCE4"/>
            <w:tcW w:w="1424" w:type="dxa"/>
            <w:vAlign w:val="top"/>
          </w:tcPr>
          <w:p>
            <w:pPr>
              <w:spacing w:line="307" w:lineRule="auto"/>
              <w:rPr>
                <w:rFonts w:ascii="Arial"/>
                <w:sz w:val="21"/>
              </w:rPr>
            </w:pPr>
            <w:r/>
          </w:p>
          <w:p>
            <w:pPr>
              <w:spacing w:line="308" w:lineRule="auto"/>
              <w:rPr>
                <w:rFonts w:ascii="Arial"/>
                <w:sz w:val="21"/>
              </w:rPr>
            </w:pPr>
            <w:r/>
          </w:p>
          <w:p>
            <w:pPr>
              <w:spacing w:line="308" w:lineRule="auto"/>
              <w:rPr>
                <w:rFonts w:ascii="Arial"/>
                <w:sz w:val="21"/>
              </w:rPr>
            </w:pPr>
            <w:r/>
          </w:p>
          <w:p>
            <w:pPr>
              <w:pStyle w:val="TableText"/>
              <w:ind w:left="346"/>
              <w:spacing w:before="86" w:line="178" w:lineRule="auto"/>
              <w:rPr/>
            </w:pPr>
            <w:r>
              <w:rPr>
                <w:spacing w:val="3"/>
              </w:rPr>
              <w:t>600338</w:t>
            </w:r>
          </w:p>
        </w:tc>
        <w:tc>
          <w:tcPr>
            <w:shd w:val="clear" w:fill="B8CCE4"/>
            <w:tcW w:w="1343" w:type="dxa"/>
            <w:vAlign w:val="top"/>
          </w:tcPr>
          <w:p>
            <w:pPr>
              <w:spacing w:line="303" w:lineRule="auto"/>
              <w:rPr>
                <w:rFonts w:ascii="Arial"/>
                <w:sz w:val="21"/>
              </w:rPr>
            </w:pPr>
            <w:r/>
          </w:p>
          <w:p>
            <w:pPr>
              <w:spacing w:line="303" w:lineRule="auto"/>
              <w:rPr>
                <w:rFonts w:ascii="Arial"/>
                <w:sz w:val="21"/>
              </w:rPr>
            </w:pPr>
            <w:r/>
          </w:p>
          <w:p>
            <w:pPr>
              <w:spacing w:line="303" w:lineRule="auto"/>
              <w:rPr>
                <w:rFonts w:ascii="Arial"/>
                <w:sz w:val="21"/>
              </w:rPr>
            </w:pPr>
            <w:r/>
          </w:p>
          <w:p>
            <w:pPr>
              <w:pStyle w:val="TableText"/>
              <w:ind w:left="245"/>
              <w:spacing w:before="85" w:line="189" w:lineRule="auto"/>
              <w:rPr/>
            </w:pPr>
            <w:r>
              <w:rPr>
                <w:spacing w:val="8"/>
              </w:rPr>
              <w:t>西藏珠峰</w:t>
            </w:r>
          </w:p>
        </w:tc>
        <w:tc>
          <w:tcPr>
            <w:shd w:val="clear" w:fill="B8CCE4"/>
            <w:tcW w:w="5901" w:type="dxa"/>
            <w:vAlign w:val="top"/>
          </w:tcPr>
          <w:p>
            <w:pPr>
              <w:pStyle w:val="TableText"/>
              <w:ind w:left="99" w:right="103"/>
              <w:spacing w:before="101" w:line="239" w:lineRule="auto"/>
              <w:jc w:val="both"/>
              <w:rPr/>
            </w:pPr>
            <w:r>
              <w:rPr>
                <w:spacing w:val="10"/>
              </w:rPr>
              <w:t>新疆塔城国际资源有限公司原持有的西藏珠峰资源股份有限公</w:t>
            </w:r>
            <w:r>
              <w:rPr>
                <w:spacing w:val="11"/>
              </w:rPr>
              <w:t xml:space="preserve"> </w:t>
            </w:r>
            <w:r>
              <w:rPr>
                <w:spacing w:val="9"/>
              </w:rPr>
              <w:t>司349,663,552股（占西藏珠峰总股本的38.25%）</w:t>
            </w:r>
            <w:r>
              <w:rPr>
                <w:spacing w:val="-18"/>
              </w:rPr>
              <w:t xml:space="preserve"> </w:t>
            </w:r>
            <w:r>
              <w:rPr>
                <w:spacing w:val="9"/>
              </w:rPr>
              <w:t>于2021年</w:t>
            </w:r>
            <w:r>
              <w:rPr/>
              <w:t xml:space="preserve"> </w:t>
            </w:r>
            <w:r>
              <w:rPr>
                <w:spacing w:val="12"/>
              </w:rPr>
              <w:t>7月13日被国家税务总局塔城地区税务局稽查局</w:t>
            </w:r>
            <w:r>
              <w:rPr>
                <w:b/>
                <w:bCs/>
                <w:spacing w:val="11"/>
              </w:rPr>
              <w:t>轮候冻结</w:t>
            </w:r>
            <w:r>
              <w:rPr>
                <w:spacing w:val="11"/>
              </w:rPr>
              <w:t>。新</w:t>
            </w:r>
            <w:r>
              <w:rPr/>
              <w:t xml:space="preserve"> </w:t>
            </w:r>
            <w:r>
              <w:rPr>
                <w:spacing w:val="16"/>
              </w:rPr>
              <w:t>疆塔城国际资源有限公司于2021年7月14日签</w:t>
            </w:r>
            <w:r>
              <w:rPr>
                <w:spacing w:val="15"/>
              </w:rPr>
              <w:t>收了税收强制</w:t>
            </w:r>
            <w:r>
              <w:rPr/>
              <w:t xml:space="preserve"> </w:t>
            </w:r>
            <w:r>
              <w:rPr>
                <w:spacing w:val="10"/>
              </w:rPr>
              <w:t>执行决定书</w:t>
            </w:r>
            <w:r>
              <w:rPr>
                <w:spacing w:val="-10"/>
              </w:rPr>
              <w:t xml:space="preserve"> </w:t>
            </w:r>
            <w:r>
              <w:rPr>
                <w:spacing w:val="10"/>
              </w:rPr>
              <w:t>，但迟至7月21日才向西藏珠峰告知持有的西藏珠</w:t>
            </w:r>
            <w:r>
              <w:rPr/>
              <w:t xml:space="preserve"> </w:t>
            </w:r>
            <w:r>
              <w:rPr>
                <w:spacing w:val="8"/>
              </w:rPr>
              <w:t>峰股权被塔城税务冻结的信息。</w:t>
            </w:r>
          </w:p>
        </w:tc>
      </w:tr>
      <w:tr>
        <w:trPr>
          <w:trHeight w:val="725" w:hRule="atLeast"/>
        </w:trPr>
        <w:tc>
          <w:tcPr>
            <w:tcW w:w="8668" w:type="dxa"/>
            <w:vAlign w:val="top"/>
            <w:gridSpan w:val="3"/>
          </w:tcPr>
          <w:p>
            <w:pPr>
              <w:pStyle w:val="TableText"/>
              <w:ind w:left="105" w:right="152" w:firstLine="15"/>
              <w:spacing w:before="60" w:line="229" w:lineRule="auto"/>
              <w:rPr/>
            </w:pPr>
            <w:r>
              <w:rPr>
                <w:b/>
                <w:bCs/>
                <w:spacing w:val="9"/>
              </w:rPr>
              <w:t>【行政监管措施】</w:t>
            </w:r>
            <w:r>
              <w:rPr>
                <w:spacing w:val="9"/>
              </w:rPr>
              <w:t>中国证券监督管理委员会西藏监管局决定对西藏珠峰资源股份有限公司、</w:t>
            </w:r>
            <w:r>
              <w:rPr>
                <w:spacing w:val="18"/>
              </w:rPr>
              <w:t xml:space="preserve"> </w:t>
            </w:r>
            <w:r>
              <w:rPr>
                <w:spacing w:val="9"/>
              </w:rPr>
              <w:t>董事长黄某荣采取出具警示函的监督管理措施</w:t>
            </w:r>
            <w:r>
              <w:rPr>
                <w:spacing w:val="-25"/>
              </w:rPr>
              <w:t xml:space="preserve"> </w:t>
            </w:r>
            <w:r>
              <w:rPr>
                <w:spacing w:val="9"/>
              </w:rPr>
              <w:t>，并将相关情况记入</w:t>
            </w:r>
            <w:r>
              <w:rPr>
                <w:spacing w:val="8"/>
              </w:rPr>
              <w:t>证券期货市场诚信档案。</w:t>
            </w:r>
          </w:p>
        </w:tc>
      </w:tr>
      <w:tr>
        <w:trPr>
          <w:trHeight w:val="1451" w:hRule="atLeast"/>
        </w:trPr>
        <w:tc>
          <w:tcPr>
            <w:shd w:val="clear" w:fill="B8CCE4"/>
            <w:tcW w:w="1424" w:type="dxa"/>
            <w:vAlign w:val="top"/>
          </w:tcPr>
          <w:p>
            <w:pPr>
              <w:spacing w:line="284" w:lineRule="auto"/>
              <w:rPr>
                <w:rFonts w:ascii="Arial"/>
                <w:sz w:val="21"/>
              </w:rPr>
            </w:pPr>
            <w:r/>
          </w:p>
          <w:p>
            <w:pPr>
              <w:spacing w:line="285" w:lineRule="auto"/>
              <w:rPr>
                <w:rFonts w:ascii="Arial"/>
                <w:sz w:val="21"/>
              </w:rPr>
            </w:pPr>
            <w:r/>
          </w:p>
          <w:p>
            <w:pPr>
              <w:pStyle w:val="TableText"/>
              <w:ind w:left="346"/>
              <w:spacing w:before="86" w:line="178" w:lineRule="auto"/>
              <w:rPr/>
            </w:pPr>
            <w:r>
              <w:rPr>
                <w:spacing w:val="3"/>
              </w:rPr>
              <w:t>600338</w:t>
            </w:r>
          </w:p>
        </w:tc>
        <w:tc>
          <w:tcPr>
            <w:shd w:val="clear" w:fill="B8CCE4"/>
            <w:tcW w:w="1343" w:type="dxa"/>
            <w:vAlign w:val="top"/>
          </w:tcPr>
          <w:p>
            <w:pPr>
              <w:spacing w:line="277" w:lineRule="auto"/>
              <w:rPr>
                <w:rFonts w:ascii="Arial"/>
                <w:sz w:val="21"/>
              </w:rPr>
            </w:pPr>
            <w:r/>
          </w:p>
          <w:p>
            <w:pPr>
              <w:spacing w:line="278" w:lineRule="auto"/>
              <w:rPr>
                <w:rFonts w:ascii="Arial"/>
                <w:sz w:val="21"/>
              </w:rPr>
            </w:pPr>
            <w:r/>
          </w:p>
          <w:p>
            <w:pPr>
              <w:pStyle w:val="TableText"/>
              <w:ind w:left="245"/>
              <w:spacing w:before="85" w:line="189" w:lineRule="auto"/>
              <w:rPr/>
            </w:pPr>
            <w:r>
              <w:rPr>
                <w:spacing w:val="8"/>
              </w:rPr>
              <w:t>西藏珠峰</w:t>
            </w:r>
          </w:p>
        </w:tc>
        <w:tc>
          <w:tcPr>
            <w:shd w:val="clear" w:fill="B8CCE4"/>
            <w:tcW w:w="5901" w:type="dxa"/>
            <w:vAlign w:val="top"/>
          </w:tcPr>
          <w:p>
            <w:pPr>
              <w:pStyle w:val="TableText"/>
              <w:ind w:left="99" w:right="103"/>
              <w:spacing w:before="102" w:line="234" w:lineRule="auto"/>
              <w:jc w:val="both"/>
              <w:rPr/>
            </w:pPr>
            <w:r>
              <w:rPr>
                <w:spacing w:val="10"/>
              </w:rPr>
              <w:t>新疆塔城国际资源有限公司原持有的西藏珠峰资源股份有限公</w:t>
            </w:r>
            <w:r>
              <w:rPr>
                <w:spacing w:val="11"/>
              </w:rPr>
              <w:t xml:space="preserve"> </w:t>
            </w:r>
            <w:r>
              <w:rPr>
                <w:spacing w:val="9"/>
              </w:rPr>
              <w:t>司349,663,552股（占西藏珠峰总股本的38.25%）</w:t>
            </w:r>
            <w:r>
              <w:rPr>
                <w:spacing w:val="-18"/>
              </w:rPr>
              <w:t xml:space="preserve"> </w:t>
            </w:r>
            <w:r>
              <w:rPr>
                <w:spacing w:val="9"/>
              </w:rPr>
              <w:t>于2021年</w:t>
            </w:r>
            <w:r>
              <w:rPr/>
              <w:t xml:space="preserve"> </w:t>
            </w:r>
            <w:r>
              <w:rPr>
                <w:spacing w:val="12"/>
              </w:rPr>
              <w:t>7月13日被国家税务总局塔城地区税务局稽查局</w:t>
            </w:r>
            <w:r>
              <w:rPr>
                <w:b/>
                <w:bCs/>
                <w:spacing w:val="11"/>
              </w:rPr>
              <w:t>轮候冻结</w:t>
            </w:r>
            <w:r>
              <w:rPr>
                <w:spacing w:val="11"/>
              </w:rPr>
              <w:t>。新</w:t>
            </w:r>
            <w:r>
              <w:rPr/>
              <w:t xml:space="preserve"> </w:t>
            </w:r>
            <w:r>
              <w:rPr>
                <w:spacing w:val="16"/>
              </w:rPr>
              <w:t>疆塔城国际资源有限公司于2021年7月14日签</w:t>
            </w:r>
            <w:r>
              <w:rPr>
                <w:spacing w:val="15"/>
              </w:rPr>
              <w:t>收了税收强制</w:t>
            </w:r>
          </w:p>
        </w:tc>
      </w:tr>
    </w:tbl>
    <w:p>
      <w:pPr>
        <w:pStyle w:val="BodyText"/>
        <w:spacing w:line="14" w:lineRule="auto"/>
        <w:rPr>
          <w:sz w:val="2"/>
        </w:rPr>
      </w:pPr>
      <w:r/>
    </w:p>
    <w:p>
      <w:pPr>
        <w:spacing w:line="14" w:lineRule="auto"/>
        <w:sectPr>
          <w:pgSz w:w="11910" w:h="16840"/>
          <w:pgMar w:top="400" w:right="1622" w:bottom="200" w:left="1604" w:header="0" w:footer="0" w:gutter="0"/>
        </w:sectPr>
        <w:rPr>
          <w:sz w:val="2"/>
          <w:szCs w:val="2"/>
        </w:rPr>
      </w:pPr>
    </w:p>
    <w:tbl>
      <w:tblPr>
        <w:tblStyle w:val="TableNormal"/>
        <w:tblW w:w="8668"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424"/>
        <w:gridCol w:w="1343"/>
        <w:gridCol w:w="5901"/>
      </w:tblGrid>
      <w:tr>
        <w:trPr>
          <w:trHeight w:val="743" w:hRule="atLeast"/>
        </w:trPr>
        <w:tc>
          <w:tcPr>
            <w:shd w:val="clear" w:fill="B8CCE4"/>
            <w:tcW w:w="1424" w:type="dxa"/>
            <w:vAlign w:val="top"/>
            <w:tcBorders>
              <w:top w:val="single" w:color="4F81BD" w:sz="2" w:space="0"/>
            </w:tcBorders>
          </w:tcPr>
          <w:p>
            <w:pPr>
              <w:rPr>
                <w:rFonts w:ascii="Arial"/>
                <w:sz w:val="21"/>
              </w:rPr>
            </w:pPr>
            <w:r/>
          </w:p>
        </w:tc>
        <w:tc>
          <w:tcPr>
            <w:shd w:val="clear" w:fill="B8CCE4"/>
            <w:tcW w:w="1343" w:type="dxa"/>
            <w:vAlign w:val="top"/>
            <w:tcBorders>
              <w:top w:val="single" w:color="4F81BD" w:sz="2" w:space="0"/>
            </w:tcBorders>
          </w:tcPr>
          <w:p>
            <w:pPr>
              <w:rPr>
                <w:rFonts w:ascii="Arial"/>
                <w:sz w:val="21"/>
              </w:rPr>
            </w:pPr>
            <w:r/>
          </w:p>
        </w:tc>
        <w:tc>
          <w:tcPr>
            <w:shd w:val="clear" w:fill="B8CCE4"/>
            <w:tcW w:w="5901" w:type="dxa"/>
            <w:vAlign w:val="top"/>
            <w:tcBorders>
              <w:top w:val="single" w:color="4F81BD" w:sz="2" w:space="0"/>
            </w:tcBorders>
          </w:tcPr>
          <w:p>
            <w:pPr>
              <w:pStyle w:val="TableText"/>
              <w:ind w:left="106" w:right="103" w:hanging="7"/>
              <w:spacing w:before="100" w:line="221" w:lineRule="auto"/>
              <w:rPr/>
            </w:pPr>
            <w:r>
              <w:rPr>
                <w:spacing w:val="10"/>
              </w:rPr>
              <w:t>执行决定书</w:t>
            </w:r>
            <w:r>
              <w:rPr>
                <w:spacing w:val="-10"/>
              </w:rPr>
              <w:t xml:space="preserve"> </w:t>
            </w:r>
            <w:r>
              <w:rPr>
                <w:spacing w:val="10"/>
              </w:rPr>
              <w:t>，但迟至7月21日才向西藏珠峰告知持有的西藏珠</w:t>
            </w:r>
            <w:r>
              <w:rPr/>
              <w:t xml:space="preserve"> </w:t>
            </w:r>
            <w:r>
              <w:rPr>
                <w:spacing w:val="8"/>
              </w:rPr>
              <w:t>峰股权被塔城税务冻结的信息。</w:t>
            </w:r>
          </w:p>
        </w:tc>
      </w:tr>
      <w:tr>
        <w:trPr>
          <w:trHeight w:val="725" w:hRule="atLeast"/>
        </w:trPr>
        <w:tc>
          <w:tcPr>
            <w:tcW w:w="8668" w:type="dxa"/>
            <w:vAlign w:val="top"/>
            <w:gridSpan w:val="3"/>
          </w:tcPr>
          <w:p>
            <w:pPr>
              <w:pStyle w:val="TableText"/>
              <w:ind w:left="104" w:right="106" w:firstLine="17"/>
              <w:spacing w:before="39" w:line="236" w:lineRule="auto"/>
              <w:rPr/>
            </w:pPr>
            <w:r>
              <w:rPr>
                <w:b/>
                <w:bCs/>
                <w:spacing w:val="11"/>
              </w:rPr>
              <w:t>【行政监管措施】</w:t>
            </w:r>
            <w:r>
              <w:rPr>
                <w:spacing w:val="11"/>
              </w:rPr>
              <w:t>中国证券监督管理委员会西藏监管局</w:t>
            </w:r>
            <w:r>
              <w:rPr>
                <w:spacing w:val="10"/>
              </w:rPr>
              <w:t>决定对新疆塔城国际资源有限公司采</w:t>
            </w:r>
            <w:r>
              <w:rPr/>
              <w:t xml:space="preserve"> </w:t>
            </w:r>
            <w:r>
              <w:rPr>
                <w:spacing w:val="8"/>
              </w:rPr>
              <w:t>取出具警示函的监督管理措施</w:t>
            </w:r>
            <w:r>
              <w:rPr>
                <w:spacing w:val="-10"/>
              </w:rPr>
              <w:t xml:space="preserve"> </w:t>
            </w:r>
            <w:r>
              <w:rPr>
                <w:spacing w:val="8"/>
              </w:rPr>
              <w:t>，并将相关情况记入证券期货市场诚信档案。</w:t>
            </w:r>
          </w:p>
        </w:tc>
      </w:tr>
      <w:tr>
        <w:trPr>
          <w:trHeight w:val="795" w:hRule="atLeast"/>
        </w:trPr>
        <w:tc>
          <w:tcPr>
            <w:shd w:val="clear" w:fill="B8CCE4"/>
            <w:tcW w:w="1424" w:type="dxa"/>
            <w:vAlign w:val="top"/>
          </w:tcPr>
          <w:p>
            <w:pPr>
              <w:pStyle w:val="TableText"/>
              <w:ind w:left="346"/>
              <w:spacing w:before="312" w:line="179" w:lineRule="auto"/>
              <w:rPr/>
            </w:pPr>
            <w:r>
              <w:rPr>
                <w:spacing w:val="3"/>
              </w:rPr>
              <w:t>601375</w:t>
            </w:r>
          </w:p>
        </w:tc>
        <w:tc>
          <w:tcPr>
            <w:shd w:val="clear" w:fill="B8CCE4"/>
            <w:tcW w:w="1343" w:type="dxa"/>
            <w:vAlign w:val="top"/>
          </w:tcPr>
          <w:p>
            <w:pPr>
              <w:pStyle w:val="TableText"/>
              <w:ind w:left="256"/>
              <w:spacing w:before="299" w:line="189" w:lineRule="auto"/>
              <w:rPr/>
            </w:pPr>
            <w:r>
              <w:rPr>
                <w:spacing w:val="5"/>
              </w:rPr>
              <w:t>中原证券</w:t>
            </w:r>
          </w:p>
        </w:tc>
        <w:tc>
          <w:tcPr>
            <w:shd w:val="clear" w:fill="B8CCE4"/>
            <w:tcW w:w="5901" w:type="dxa"/>
            <w:vAlign w:val="top"/>
          </w:tcPr>
          <w:p>
            <w:pPr>
              <w:pStyle w:val="TableText"/>
              <w:ind w:left="104" w:right="120" w:firstLine="9"/>
              <w:spacing w:before="155" w:line="220" w:lineRule="auto"/>
              <w:rPr/>
            </w:pPr>
            <w:r>
              <w:rPr>
                <w:spacing w:val="8"/>
              </w:rPr>
              <w:t>中原证券股份有限公司存在对另类子公司管控不到位</w:t>
            </w:r>
            <w:r>
              <w:rPr>
                <w:spacing w:val="-25"/>
              </w:rPr>
              <w:t xml:space="preserve"> </w:t>
            </w:r>
            <w:r>
              <w:rPr>
                <w:spacing w:val="8"/>
              </w:rPr>
              <w:t>，未有效</w:t>
            </w:r>
            <w:r>
              <w:rPr/>
              <w:t xml:space="preserve"> </w:t>
            </w:r>
            <w:r>
              <w:rPr>
                <w:spacing w:val="8"/>
              </w:rPr>
              <w:t>强化合规风险管理情形。</w:t>
            </w:r>
          </w:p>
        </w:tc>
      </w:tr>
      <w:tr>
        <w:trPr>
          <w:trHeight w:val="725" w:hRule="atLeast"/>
        </w:trPr>
        <w:tc>
          <w:tcPr>
            <w:tcW w:w="8668" w:type="dxa"/>
            <w:vAlign w:val="top"/>
            <w:gridSpan w:val="3"/>
          </w:tcPr>
          <w:p>
            <w:pPr>
              <w:pStyle w:val="TableText"/>
              <w:ind w:left="120" w:right="106"/>
              <w:spacing w:before="42" w:line="235" w:lineRule="auto"/>
              <w:rPr/>
            </w:pPr>
            <w:r>
              <w:rPr>
                <w:b/>
                <w:bCs/>
                <w:spacing w:val="11"/>
              </w:rPr>
              <w:t>【行政监管措施】</w:t>
            </w:r>
            <w:r>
              <w:rPr>
                <w:spacing w:val="11"/>
              </w:rPr>
              <w:t>中国证券监督管理委员会河南监管局</w:t>
            </w:r>
            <w:r>
              <w:rPr>
                <w:spacing w:val="10"/>
              </w:rPr>
              <w:t>决定对另类子公司董事长陈某勇实施</w:t>
            </w:r>
            <w:r>
              <w:rPr/>
              <w:t xml:space="preserve"> </w:t>
            </w:r>
            <w:r>
              <w:rPr>
                <w:spacing w:val="7"/>
              </w:rPr>
              <w:t>出具警示函的监督管理措施。</w:t>
            </w:r>
          </w:p>
        </w:tc>
      </w:tr>
      <w:tr>
        <w:trPr>
          <w:trHeight w:val="724" w:hRule="atLeast"/>
        </w:trPr>
        <w:tc>
          <w:tcPr>
            <w:shd w:val="clear" w:fill="B8CCE4"/>
            <w:tcW w:w="1424" w:type="dxa"/>
            <w:vAlign w:val="top"/>
          </w:tcPr>
          <w:p>
            <w:pPr>
              <w:pStyle w:val="TableText"/>
              <w:ind w:left="346"/>
              <w:spacing w:before="280" w:line="178" w:lineRule="auto"/>
              <w:rPr/>
            </w:pPr>
            <w:r>
              <w:rPr>
                <w:spacing w:val="3"/>
              </w:rPr>
              <w:t>600238</w:t>
            </w:r>
          </w:p>
        </w:tc>
        <w:tc>
          <w:tcPr>
            <w:shd w:val="clear" w:fill="B8CCE4"/>
            <w:tcW w:w="1343" w:type="dxa"/>
            <w:vAlign w:val="top"/>
          </w:tcPr>
          <w:p>
            <w:pPr>
              <w:pStyle w:val="TableText"/>
              <w:ind w:left="242"/>
              <w:spacing w:before="265" w:line="189" w:lineRule="auto"/>
              <w:rPr/>
            </w:pPr>
            <w:r>
              <w:rPr>
                <w:spacing w:val="8"/>
              </w:rPr>
              <w:t>海南椰岛</w:t>
            </w:r>
          </w:p>
        </w:tc>
        <w:tc>
          <w:tcPr>
            <w:shd w:val="clear" w:fill="B8CCE4"/>
            <w:tcW w:w="5901" w:type="dxa"/>
            <w:vAlign w:val="top"/>
          </w:tcPr>
          <w:p>
            <w:pPr>
              <w:pStyle w:val="TableText"/>
              <w:ind w:left="99" w:right="103"/>
              <w:spacing w:before="47" w:line="233" w:lineRule="auto"/>
              <w:rPr/>
            </w:pPr>
            <w:r>
              <w:rPr>
                <w:spacing w:val="9"/>
              </w:rPr>
              <w:t>增持承诺期限已届满</w:t>
            </w:r>
            <w:r>
              <w:rPr>
                <w:spacing w:val="-21"/>
              </w:rPr>
              <w:t xml:space="preserve"> </w:t>
            </w:r>
            <w:r>
              <w:rPr>
                <w:spacing w:val="9"/>
              </w:rPr>
              <w:t>，全德能源（江苏）有限公司司</w:t>
            </w:r>
            <w:r>
              <w:rPr>
                <w:b/>
                <w:bCs/>
                <w:spacing w:val="9"/>
              </w:rPr>
              <w:t>未实施增</w:t>
            </w:r>
            <w:r>
              <w:rPr>
                <w:b/>
                <w:bCs/>
              </w:rPr>
              <w:t xml:space="preserve"> </w:t>
            </w:r>
            <w:r>
              <w:rPr>
                <w:b/>
                <w:bCs/>
                <w:spacing w:val="2"/>
              </w:rPr>
              <w:t>持。</w:t>
            </w:r>
          </w:p>
        </w:tc>
      </w:tr>
      <w:tr>
        <w:trPr>
          <w:trHeight w:val="725" w:hRule="atLeast"/>
        </w:trPr>
        <w:tc>
          <w:tcPr>
            <w:tcW w:w="8668" w:type="dxa"/>
            <w:vAlign w:val="top"/>
            <w:gridSpan w:val="3"/>
          </w:tcPr>
          <w:p>
            <w:pPr>
              <w:pStyle w:val="TableText"/>
              <w:ind w:left="120" w:right="106"/>
              <w:spacing w:before="45" w:line="234" w:lineRule="auto"/>
              <w:rPr/>
            </w:pPr>
            <w:r>
              <w:rPr>
                <w:b/>
                <w:bCs/>
                <w:spacing w:val="11"/>
              </w:rPr>
              <w:t>【行政监管措施】</w:t>
            </w:r>
            <w:r>
              <w:rPr>
                <w:spacing w:val="11"/>
              </w:rPr>
              <w:t>中国证券监督管理委员会海南监管局</w:t>
            </w:r>
            <w:r>
              <w:rPr>
                <w:spacing w:val="10"/>
              </w:rPr>
              <w:t>现对全德能源（江苏）有限公司采取</w:t>
            </w:r>
            <w:r>
              <w:rPr/>
              <w:t xml:space="preserve"> </w:t>
            </w:r>
            <w:r>
              <w:rPr>
                <w:spacing w:val="7"/>
              </w:rPr>
              <w:t>出具警示函的行政监管措施</w:t>
            </w:r>
            <w:r>
              <w:rPr>
                <w:spacing w:val="-7"/>
              </w:rPr>
              <w:t xml:space="preserve"> </w:t>
            </w:r>
            <w:r>
              <w:rPr>
                <w:spacing w:val="7"/>
              </w:rPr>
              <w:t>，并记入资本市场诚信档案数据库。</w:t>
            </w:r>
          </w:p>
        </w:tc>
      </w:tr>
      <w:tr>
        <w:trPr>
          <w:trHeight w:val="3242" w:hRule="atLeast"/>
        </w:trPr>
        <w:tc>
          <w:tcPr>
            <w:shd w:val="clear" w:fill="B8CCE4"/>
            <w:tcW w:w="1424"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pStyle w:val="TableText"/>
              <w:ind w:left="346"/>
              <w:spacing w:before="86" w:line="178" w:lineRule="auto"/>
              <w:rPr/>
            </w:pPr>
            <w:r>
              <w:rPr>
                <w:spacing w:val="3"/>
              </w:rPr>
              <w:t>603327</w:t>
            </w:r>
          </w:p>
        </w:tc>
        <w:tc>
          <w:tcPr>
            <w:shd w:val="clear" w:fill="B8CCE4"/>
            <w:tcW w:w="1343" w:type="dxa"/>
            <w:vAlign w:val="top"/>
          </w:tcPr>
          <w:p>
            <w:pPr>
              <w:spacing w:line="286" w:lineRule="auto"/>
              <w:rPr>
                <w:rFonts w:ascii="Arial"/>
                <w:sz w:val="21"/>
              </w:rPr>
            </w:pPr>
            <w:r/>
          </w:p>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242"/>
              <w:spacing w:before="85" w:line="189" w:lineRule="auto"/>
              <w:rPr/>
            </w:pPr>
            <w:r>
              <w:rPr>
                <w:spacing w:val="8"/>
              </w:rPr>
              <w:t>福蓉科技</w:t>
            </w:r>
          </w:p>
        </w:tc>
        <w:tc>
          <w:tcPr>
            <w:shd w:val="clear" w:fill="B8CCE4"/>
            <w:tcW w:w="5901" w:type="dxa"/>
            <w:vAlign w:val="top"/>
          </w:tcPr>
          <w:p>
            <w:pPr>
              <w:pStyle w:val="TableText"/>
              <w:ind w:left="99" w:right="103" w:firstLine="16"/>
              <w:spacing w:before="92" w:line="244" w:lineRule="auto"/>
              <w:jc w:val="both"/>
              <w:rPr/>
            </w:pPr>
            <w:r>
              <w:rPr>
                <w:spacing w:val="12"/>
              </w:rPr>
              <w:t>四川福蓉科技股份公司在</w:t>
            </w:r>
            <w:r>
              <w:rPr>
                <w:b/>
                <w:bCs/>
                <w:spacing w:val="12"/>
              </w:rPr>
              <w:t>上海证券交易所上证“e互动</w:t>
            </w:r>
            <w:r>
              <w:rPr>
                <w:b/>
                <w:bCs/>
                <w:spacing w:val="-35"/>
              </w:rPr>
              <w:t xml:space="preserve"> </w:t>
            </w:r>
            <w:r>
              <w:rPr>
                <w:b/>
                <w:bCs/>
                <w:spacing w:val="12"/>
              </w:rPr>
              <w:t>”</w:t>
            </w:r>
            <w:r>
              <w:rPr>
                <w:spacing w:val="12"/>
              </w:rPr>
              <w:t>平台</w:t>
            </w:r>
            <w:r>
              <w:rPr/>
              <w:t xml:space="preserve"> </w:t>
            </w:r>
            <w:r>
              <w:rPr>
                <w:spacing w:val="10"/>
              </w:rPr>
              <w:t>回复投资者提问“请问贵公司供货的哪些产品具有</w:t>
            </w:r>
            <w:r>
              <w:rPr/>
              <w:t>AI</w:t>
            </w:r>
            <w:r>
              <w:rPr>
                <w:spacing w:val="10"/>
              </w:rPr>
              <w:t>功能？</w:t>
            </w:r>
            <w:r>
              <w:rPr>
                <w:spacing w:val="-37"/>
              </w:rPr>
              <w:t xml:space="preserve"> </w:t>
            </w:r>
            <w:r>
              <w:rPr>
                <w:spacing w:val="10"/>
              </w:rPr>
              <w:t>”</w:t>
            </w:r>
            <w:r>
              <w:rPr/>
              <w:t xml:space="preserve"> </w:t>
            </w:r>
            <w:r>
              <w:rPr>
                <w:spacing w:val="13"/>
              </w:rPr>
              <w:t>时</w:t>
            </w:r>
            <w:r>
              <w:rPr>
                <w:spacing w:val="-23"/>
              </w:rPr>
              <w:t xml:space="preserve"> </w:t>
            </w:r>
            <w:r>
              <w:rPr>
                <w:spacing w:val="13"/>
              </w:rPr>
              <w:t>，称“公司供货的三星S24系列手机、谷歌</w:t>
            </w:r>
            <w:r>
              <w:rPr/>
              <w:t>Pixel</w:t>
            </w:r>
            <w:r>
              <w:rPr>
                <w:spacing w:val="13"/>
              </w:rPr>
              <w:t>8系</w:t>
            </w:r>
            <w:r>
              <w:rPr>
                <w:spacing w:val="12"/>
              </w:rPr>
              <w:t>列手机</w:t>
            </w:r>
            <w:r>
              <w:rPr/>
              <w:t xml:space="preserve"> </w:t>
            </w:r>
            <w:r>
              <w:rPr>
                <w:spacing w:val="9"/>
              </w:rPr>
              <w:t>等产品都具有</w:t>
            </w:r>
            <w:r>
              <w:rPr/>
              <w:t>AI</w:t>
            </w:r>
            <w:r>
              <w:rPr>
                <w:spacing w:val="9"/>
              </w:rPr>
              <w:t>功能”</w:t>
            </w:r>
            <w:r>
              <w:rPr>
                <w:spacing w:val="-11"/>
              </w:rPr>
              <w:t xml:space="preserve"> </w:t>
            </w:r>
            <w:r>
              <w:rPr>
                <w:spacing w:val="9"/>
              </w:rPr>
              <w:t>，未准确说明公司产品是铝制结构件材</w:t>
            </w:r>
            <w:r>
              <w:rPr/>
              <w:t xml:space="preserve"> </w:t>
            </w:r>
            <w:r>
              <w:rPr>
                <w:spacing w:val="8"/>
              </w:rPr>
              <w:t>料且不具有</w:t>
            </w:r>
            <w:r>
              <w:rPr/>
              <w:t>AI</w:t>
            </w:r>
            <w:r>
              <w:rPr>
                <w:spacing w:val="8"/>
              </w:rPr>
              <w:t>功能</w:t>
            </w:r>
            <w:r>
              <w:rPr>
                <w:spacing w:val="-11"/>
              </w:rPr>
              <w:t xml:space="preserve"> </w:t>
            </w:r>
            <w:r>
              <w:rPr>
                <w:spacing w:val="8"/>
              </w:rPr>
              <w:t>，</w:t>
            </w:r>
            <w:r>
              <w:rPr>
                <w:spacing w:val="-35"/>
              </w:rPr>
              <w:t xml:space="preserve"> </w:t>
            </w:r>
            <w:r>
              <w:rPr>
                <w:spacing w:val="8"/>
              </w:rPr>
              <w:t>回复内容不严谨、不准确。至2024年3月</w:t>
            </w:r>
            <w:r>
              <w:rPr/>
              <w:t xml:space="preserve"> </w:t>
            </w:r>
            <w:r>
              <w:rPr>
                <w:spacing w:val="11"/>
              </w:rPr>
              <w:t>5日</w:t>
            </w:r>
            <w:r>
              <w:rPr>
                <w:spacing w:val="-21"/>
              </w:rPr>
              <w:t xml:space="preserve"> </w:t>
            </w:r>
            <w:r>
              <w:rPr>
                <w:spacing w:val="11"/>
              </w:rPr>
              <w:t>，</w:t>
            </w:r>
            <w:r>
              <w:rPr>
                <w:spacing w:val="-30"/>
              </w:rPr>
              <w:t xml:space="preserve"> </w:t>
            </w:r>
            <w:r>
              <w:rPr>
                <w:spacing w:val="11"/>
              </w:rPr>
              <w:t>四川福蓉科技股份公司在公告中说明“公司主要为具有</w:t>
            </w:r>
            <w:r>
              <w:rPr/>
              <w:t xml:space="preserve"> </w:t>
            </w:r>
            <w:r>
              <w:rPr/>
              <w:t>AI</w:t>
            </w:r>
            <w:r>
              <w:rPr>
                <w:spacing w:val="12"/>
              </w:rPr>
              <w:t>功能的谷歌</w:t>
            </w:r>
            <w:r>
              <w:rPr/>
              <w:t>Pixel</w:t>
            </w:r>
            <w:r>
              <w:rPr>
                <w:spacing w:val="12"/>
              </w:rPr>
              <w:t xml:space="preserve"> 8和三星S24手机提供铝制中框结构件材料</w:t>
            </w:r>
            <w:r>
              <w:rPr/>
              <w:t xml:space="preserve"> </w:t>
            </w:r>
            <w:r>
              <w:rPr>
                <w:spacing w:val="12"/>
              </w:rPr>
              <w:t>，与</w:t>
            </w:r>
            <w:r>
              <w:rPr/>
              <w:t>AI</w:t>
            </w:r>
            <w:r>
              <w:rPr>
                <w:spacing w:val="12"/>
              </w:rPr>
              <w:t>功能直接相关的芯片无关</w:t>
            </w:r>
            <w:r>
              <w:rPr>
                <w:spacing w:val="-27"/>
              </w:rPr>
              <w:t xml:space="preserve"> </w:t>
            </w:r>
            <w:r>
              <w:rPr>
                <w:spacing w:val="12"/>
              </w:rPr>
              <w:t>”。</w:t>
            </w:r>
            <w:r>
              <w:rPr>
                <w:spacing w:val="-29"/>
              </w:rPr>
              <w:t xml:space="preserve"> </w:t>
            </w:r>
            <w:r>
              <w:rPr>
                <w:spacing w:val="12"/>
              </w:rPr>
              <w:t>3月7日</w:t>
            </w:r>
            <w:r>
              <w:rPr>
                <w:spacing w:val="-18"/>
              </w:rPr>
              <w:t xml:space="preserve"> </w:t>
            </w:r>
            <w:r>
              <w:rPr>
                <w:spacing w:val="12"/>
              </w:rPr>
              <w:t>，</w:t>
            </w:r>
            <w:r>
              <w:rPr>
                <w:spacing w:val="-27"/>
              </w:rPr>
              <w:t xml:space="preserve"> </w:t>
            </w:r>
            <w:r>
              <w:rPr>
                <w:spacing w:val="12"/>
              </w:rPr>
              <w:t>四川福蓉科技</w:t>
            </w:r>
            <w:r>
              <w:rPr/>
              <w:t xml:space="preserve"> </w:t>
            </w:r>
            <w:r>
              <w:rPr>
                <w:spacing w:val="9"/>
              </w:rPr>
              <w:t>股份公司在公告中说明“公司产品不具有</w:t>
            </w:r>
            <w:r>
              <w:rPr/>
              <w:t>AI</w:t>
            </w:r>
            <w:r>
              <w:rPr>
                <w:spacing w:val="9"/>
              </w:rPr>
              <w:t>功能”。</w:t>
            </w:r>
          </w:p>
        </w:tc>
      </w:tr>
      <w:tr>
        <w:trPr>
          <w:trHeight w:val="724" w:hRule="atLeast"/>
        </w:trPr>
        <w:tc>
          <w:tcPr>
            <w:tcW w:w="8668" w:type="dxa"/>
            <w:vAlign w:val="top"/>
            <w:gridSpan w:val="3"/>
          </w:tcPr>
          <w:p>
            <w:pPr>
              <w:pStyle w:val="TableText"/>
              <w:ind w:left="103" w:right="106" w:firstLine="18"/>
              <w:spacing w:before="50" w:line="232" w:lineRule="auto"/>
              <w:rPr/>
            </w:pPr>
            <w:r>
              <w:rPr>
                <w:b/>
                <w:bCs/>
                <w:spacing w:val="11"/>
              </w:rPr>
              <w:t>【行政监管措施】</w:t>
            </w:r>
            <w:r>
              <w:rPr>
                <w:spacing w:val="11"/>
              </w:rPr>
              <w:t>中国证券监督管理委员会四川监管局</w:t>
            </w:r>
            <w:r>
              <w:rPr>
                <w:spacing w:val="10"/>
              </w:rPr>
              <w:t>决定对四川福蓉科技股份公司及董事</w:t>
            </w:r>
            <w:r>
              <w:rPr/>
              <w:t xml:space="preserve"> </w:t>
            </w:r>
            <w:r>
              <w:rPr>
                <w:spacing w:val="9"/>
              </w:rPr>
              <w:t>会秘书黄某采取出具警示函的行政监管措施。</w:t>
            </w:r>
          </w:p>
        </w:tc>
      </w:tr>
      <w:tr>
        <w:trPr>
          <w:trHeight w:val="724" w:hRule="atLeast"/>
        </w:trPr>
        <w:tc>
          <w:tcPr>
            <w:shd w:val="clear" w:fill="B8CCE4"/>
            <w:tcW w:w="1424" w:type="dxa"/>
            <w:vAlign w:val="top"/>
          </w:tcPr>
          <w:p>
            <w:pPr>
              <w:pStyle w:val="TableText"/>
              <w:ind w:left="346"/>
              <w:spacing w:before="288" w:line="179" w:lineRule="auto"/>
              <w:rPr/>
            </w:pPr>
            <w:r>
              <w:rPr>
                <w:spacing w:val="3"/>
              </w:rPr>
              <w:t>601375</w:t>
            </w:r>
          </w:p>
        </w:tc>
        <w:tc>
          <w:tcPr>
            <w:shd w:val="clear" w:fill="B8CCE4"/>
            <w:tcW w:w="1343" w:type="dxa"/>
            <w:vAlign w:val="top"/>
          </w:tcPr>
          <w:p>
            <w:pPr>
              <w:pStyle w:val="TableText"/>
              <w:ind w:left="256"/>
              <w:spacing w:before="274" w:line="189" w:lineRule="auto"/>
              <w:rPr/>
            </w:pPr>
            <w:r>
              <w:rPr>
                <w:spacing w:val="5"/>
              </w:rPr>
              <w:t>中原证券</w:t>
            </w:r>
          </w:p>
        </w:tc>
        <w:tc>
          <w:tcPr>
            <w:shd w:val="clear" w:fill="B8CCE4"/>
            <w:tcW w:w="5901" w:type="dxa"/>
            <w:vAlign w:val="top"/>
          </w:tcPr>
          <w:p>
            <w:pPr>
              <w:pStyle w:val="TableText"/>
              <w:ind w:left="99" w:right="103" w:firstLine="14"/>
              <w:spacing w:before="93" w:line="217" w:lineRule="auto"/>
              <w:rPr/>
            </w:pPr>
            <w:r>
              <w:rPr>
                <w:spacing w:val="10"/>
              </w:rPr>
              <w:t>中原证券股份有限公司存在在健全合规风控制度前实质</w:t>
            </w:r>
            <w:r>
              <w:rPr>
                <w:spacing w:val="9"/>
              </w:rPr>
              <w:t>开展债</w:t>
            </w:r>
            <w:r>
              <w:rPr/>
              <w:t xml:space="preserve"> </w:t>
            </w:r>
            <w:r>
              <w:rPr>
                <w:spacing w:val="8"/>
              </w:rPr>
              <w:t>券销售业务情形。</w:t>
            </w:r>
          </w:p>
        </w:tc>
      </w:tr>
      <w:tr>
        <w:trPr>
          <w:trHeight w:val="725" w:hRule="atLeast"/>
        </w:trPr>
        <w:tc>
          <w:tcPr>
            <w:tcW w:w="8668" w:type="dxa"/>
            <w:vAlign w:val="top"/>
            <w:gridSpan w:val="3"/>
          </w:tcPr>
          <w:p>
            <w:pPr>
              <w:pStyle w:val="TableText"/>
              <w:ind w:left="105" w:right="106" w:firstLine="15"/>
              <w:spacing w:before="54" w:line="231" w:lineRule="auto"/>
              <w:rPr/>
            </w:pPr>
            <w:r>
              <w:rPr>
                <w:b/>
                <w:bCs/>
                <w:spacing w:val="11"/>
              </w:rPr>
              <w:t>【行政监管措施】</w:t>
            </w:r>
            <w:r>
              <w:rPr>
                <w:spacing w:val="11"/>
              </w:rPr>
              <w:t>中国证券监督管理委员会河南监管局</w:t>
            </w:r>
            <w:r>
              <w:rPr>
                <w:spacing w:val="10"/>
              </w:rPr>
              <w:t>决定对员工赵某静实施出具警示函的</w:t>
            </w:r>
            <w:r>
              <w:rPr/>
              <w:t xml:space="preserve"> </w:t>
            </w:r>
            <w:r>
              <w:rPr>
                <w:spacing w:val="7"/>
              </w:rPr>
              <w:t>监督管理措施。</w:t>
            </w:r>
          </w:p>
        </w:tc>
      </w:tr>
      <w:tr>
        <w:trPr>
          <w:trHeight w:val="795" w:hRule="atLeast"/>
        </w:trPr>
        <w:tc>
          <w:tcPr>
            <w:shd w:val="clear" w:fill="B8CCE4"/>
            <w:tcW w:w="1424" w:type="dxa"/>
            <w:vAlign w:val="top"/>
          </w:tcPr>
          <w:p>
            <w:pPr>
              <w:pStyle w:val="TableText"/>
              <w:ind w:left="346"/>
              <w:spacing w:before="325" w:line="179" w:lineRule="auto"/>
              <w:rPr/>
            </w:pPr>
            <w:r>
              <w:rPr>
                <w:spacing w:val="3"/>
              </w:rPr>
              <w:t>600521</w:t>
            </w:r>
          </w:p>
        </w:tc>
        <w:tc>
          <w:tcPr>
            <w:shd w:val="clear" w:fill="B8CCE4"/>
            <w:tcW w:w="1343" w:type="dxa"/>
            <w:vAlign w:val="top"/>
          </w:tcPr>
          <w:p>
            <w:pPr>
              <w:pStyle w:val="TableText"/>
              <w:ind w:left="244"/>
              <w:spacing w:before="312" w:line="189" w:lineRule="auto"/>
              <w:rPr/>
            </w:pPr>
            <w:r>
              <w:rPr>
                <w:spacing w:val="8"/>
              </w:rPr>
              <w:t>华海药业</w:t>
            </w:r>
          </w:p>
        </w:tc>
        <w:tc>
          <w:tcPr>
            <w:shd w:val="clear" w:fill="B8CCE4"/>
            <w:tcW w:w="5901" w:type="dxa"/>
            <w:vAlign w:val="top"/>
          </w:tcPr>
          <w:p>
            <w:pPr>
              <w:pStyle w:val="TableText"/>
              <w:ind w:left="102" w:right="120" w:hanging="2"/>
              <w:spacing w:before="167" w:line="216" w:lineRule="auto"/>
              <w:rPr/>
            </w:pPr>
            <w:r>
              <w:rPr>
                <w:spacing w:val="10"/>
              </w:rPr>
              <w:t>部分</w:t>
            </w:r>
            <w:r>
              <w:rPr>
                <w:b/>
                <w:bCs/>
                <w:spacing w:val="10"/>
              </w:rPr>
              <w:t>暂时用于补充流动资金</w:t>
            </w:r>
            <w:r>
              <w:rPr>
                <w:spacing w:val="10"/>
              </w:rPr>
              <w:t>的闲置募集资金使</w:t>
            </w:r>
            <w:r>
              <w:rPr>
                <w:spacing w:val="9"/>
              </w:rPr>
              <w:t>用期限已</w:t>
            </w:r>
            <w:r>
              <w:rPr>
                <w:b/>
                <w:bCs/>
                <w:spacing w:val="9"/>
              </w:rPr>
              <w:t>超过十</w:t>
            </w:r>
            <w:r>
              <w:rPr>
                <w:b/>
                <w:bCs/>
              </w:rPr>
              <w:t xml:space="preserve"> </w:t>
            </w:r>
            <w:r>
              <w:rPr>
                <w:b/>
                <w:bCs/>
                <w:spacing w:val="5"/>
              </w:rPr>
              <w:t>二个月。</w:t>
            </w:r>
          </w:p>
        </w:tc>
      </w:tr>
      <w:tr>
        <w:trPr>
          <w:trHeight w:val="1084" w:hRule="atLeast"/>
        </w:trPr>
        <w:tc>
          <w:tcPr>
            <w:tcW w:w="8668" w:type="dxa"/>
            <w:vAlign w:val="top"/>
            <w:gridSpan w:val="3"/>
          </w:tcPr>
          <w:p>
            <w:pPr>
              <w:pStyle w:val="TableText"/>
              <w:ind w:left="104" w:right="106" w:firstLine="17"/>
              <w:spacing w:before="57" w:line="237" w:lineRule="auto"/>
              <w:rPr/>
            </w:pPr>
            <w:r>
              <w:rPr>
                <w:b/>
                <w:bCs/>
                <w:spacing w:val="11"/>
              </w:rPr>
              <w:t>【行政监管措施】</w:t>
            </w:r>
            <w:r>
              <w:rPr>
                <w:spacing w:val="11"/>
              </w:rPr>
              <w:t>中国证券监督管理委员会浙江监管局</w:t>
            </w:r>
            <w:r>
              <w:rPr>
                <w:spacing w:val="10"/>
              </w:rPr>
              <w:t>决定对浙江华海药业股份有限公司、</w:t>
            </w:r>
            <w:r>
              <w:rPr/>
              <w:t xml:space="preserve"> </w:t>
            </w:r>
            <w:r>
              <w:rPr>
                <w:spacing w:val="11"/>
              </w:rPr>
              <w:t>董事长李某、总经理陈某华、高管张某、董事会秘书祝某华分别采取出具警示函的监督管理</w:t>
            </w:r>
            <w:r>
              <w:rPr>
                <w:spacing w:val="1"/>
              </w:rPr>
              <w:t xml:space="preserve"> </w:t>
            </w:r>
            <w:r>
              <w:rPr>
                <w:spacing w:val="7"/>
              </w:rPr>
              <w:t>措施</w:t>
            </w:r>
            <w:r>
              <w:rPr>
                <w:spacing w:val="-25"/>
              </w:rPr>
              <w:t xml:space="preserve"> </w:t>
            </w:r>
            <w:r>
              <w:rPr>
                <w:spacing w:val="7"/>
              </w:rPr>
              <w:t>，并记入证券期货市场诚信档案。</w:t>
            </w:r>
          </w:p>
        </w:tc>
      </w:tr>
      <w:tr>
        <w:trPr>
          <w:trHeight w:val="724" w:hRule="atLeast"/>
        </w:trPr>
        <w:tc>
          <w:tcPr>
            <w:shd w:val="clear" w:fill="B8CCE4"/>
            <w:tcW w:w="1424" w:type="dxa"/>
            <w:vAlign w:val="top"/>
          </w:tcPr>
          <w:p>
            <w:pPr>
              <w:pStyle w:val="TableText"/>
              <w:ind w:left="346"/>
              <w:spacing w:before="293" w:line="179" w:lineRule="auto"/>
              <w:rPr/>
            </w:pPr>
            <w:r>
              <w:rPr>
                <w:spacing w:val="3"/>
              </w:rPr>
              <w:t>601375</w:t>
            </w:r>
          </w:p>
        </w:tc>
        <w:tc>
          <w:tcPr>
            <w:shd w:val="clear" w:fill="B8CCE4"/>
            <w:tcW w:w="1343" w:type="dxa"/>
            <w:vAlign w:val="top"/>
          </w:tcPr>
          <w:p>
            <w:pPr>
              <w:pStyle w:val="TableText"/>
              <w:ind w:left="256"/>
              <w:spacing w:before="280" w:line="189" w:lineRule="auto"/>
              <w:rPr/>
            </w:pPr>
            <w:r>
              <w:rPr>
                <w:spacing w:val="5"/>
              </w:rPr>
              <w:t>中原证券</w:t>
            </w:r>
          </w:p>
        </w:tc>
        <w:tc>
          <w:tcPr>
            <w:shd w:val="clear" w:fill="B8CCE4"/>
            <w:tcW w:w="5901" w:type="dxa"/>
            <w:vAlign w:val="top"/>
          </w:tcPr>
          <w:p>
            <w:pPr>
              <w:pStyle w:val="TableText"/>
              <w:ind w:left="104" w:right="103" w:firstLine="9"/>
              <w:spacing w:before="99" w:line="215" w:lineRule="auto"/>
              <w:rPr/>
            </w:pPr>
            <w:r>
              <w:rPr>
                <w:spacing w:val="9"/>
              </w:rPr>
              <w:t>中原证券股份有限公司存在对境外子公司管控</w:t>
            </w:r>
            <w:r>
              <w:rPr>
                <w:spacing w:val="8"/>
              </w:rPr>
              <w:t>不到位</w:t>
            </w:r>
            <w:r>
              <w:rPr>
                <w:spacing w:val="-28"/>
              </w:rPr>
              <w:t xml:space="preserve"> </w:t>
            </w:r>
            <w:r>
              <w:rPr>
                <w:spacing w:val="8"/>
              </w:rPr>
              <w:t>，未有效</w:t>
            </w:r>
            <w:r>
              <w:rPr/>
              <w:t xml:space="preserve"> </w:t>
            </w:r>
            <w:r>
              <w:rPr>
                <w:spacing w:val="8"/>
              </w:rPr>
              <w:t>强化合规风险管理情形。</w:t>
            </w:r>
          </w:p>
        </w:tc>
      </w:tr>
      <w:tr>
        <w:trPr>
          <w:trHeight w:val="725" w:hRule="atLeast"/>
        </w:trPr>
        <w:tc>
          <w:tcPr>
            <w:tcW w:w="8668" w:type="dxa"/>
            <w:vAlign w:val="top"/>
            <w:gridSpan w:val="3"/>
          </w:tcPr>
          <w:p>
            <w:pPr>
              <w:pStyle w:val="TableText"/>
              <w:ind w:left="103" w:right="106" w:firstLine="18"/>
              <w:spacing w:before="60" w:line="229" w:lineRule="auto"/>
              <w:rPr/>
            </w:pPr>
            <w:r>
              <w:rPr>
                <w:b/>
                <w:bCs/>
                <w:spacing w:val="11"/>
              </w:rPr>
              <w:t>【行政监管措施】</w:t>
            </w:r>
            <w:r>
              <w:rPr>
                <w:spacing w:val="11"/>
              </w:rPr>
              <w:t>中国证券监督管理委员会河南监管局</w:t>
            </w:r>
            <w:r>
              <w:rPr>
                <w:spacing w:val="10"/>
              </w:rPr>
              <w:t>决定对境外子公司决策人员王某明实</w:t>
            </w:r>
            <w:r>
              <w:rPr/>
              <w:t xml:space="preserve"> </w:t>
            </w:r>
            <w:r>
              <w:rPr>
                <w:spacing w:val="9"/>
              </w:rPr>
              <w:t>施出具警示函的监督管理措施。</w:t>
            </w:r>
          </w:p>
        </w:tc>
      </w:tr>
      <w:tr>
        <w:trPr>
          <w:trHeight w:val="364" w:hRule="atLeast"/>
        </w:trPr>
        <w:tc>
          <w:tcPr>
            <w:shd w:val="clear" w:fill="B8CCE4"/>
            <w:tcW w:w="1424" w:type="dxa"/>
            <w:vAlign w:val="top"/>
          </w:tcPr>
          <w:p>
            <w:pPr>
              <w:pStyle w:val="TableText"/>
              <w:ind w:left="343"/>
              <w:spacing w:before="116" w:line="166" w:lineRule="auto"/>
              <w:rPr/>
            </w:pPr>
            <w:r>
              <w:rPr>
                <w:spacing w:val="3"/>
              </w:rPr>
              <w:t>002857</w:t>
            </w:r>
          </w:p>
        </w:tc>
        <w:tc>
          <w:tcPr>
            <w:shd w:val="clear" w:fill="B8CCE4"/>
            <w:tcW w:w="1343" w:type="dxa"/>
            <w:vAlign w:val="top"/>
          </w:tcPr>
          <w:p>
            <w:pPr>
              <w:pStyle w:val="TableText"/>
              <w:ind w:left="245"/>
              <w:spacing w:before="103" w:line="175" w:lineRule="auto"/>
              <w:rPr/>
            </w:pPr>
            <w:r>
              <w:rPr>
                <w:spacing w:val="7"/>
              </w:rPr>
              <w:t>三晖电器</w:t>
            </w:r>
          </w:p>
        </w:tc>
        <w:tc>
          <w:tcPr>
            <w:shd w:val="clear" w:fill="B8CCE4"/>
            <w:tcW w:w="5901" w:type="dxa"/>
            <w:vAlign w:val="top"/>
          </w:tcPr>
          <w:p>
            <w:pPr>
              <w:pStyle w:val="TableText"/>
              <w:ind w:left="101"/>
              <w:spacing w:before="102" w:line="176" w:lineRule="auto"/>
              <w:rPr/>
            </w:pPr>
            <w:r>
              <w:rPr>
                <w:spacing w:val="8"/>
              </w:rPr>
              <w:t>监事配偶</w:t>
            </w:r>
            <w:r>
              <w:rPr>
                <w:b/>
                <w:bCs/>
                <w:spacing w:val="8"/>
              </w:rPr>
              <w:t>短线交易。</w:t>
            </w:r>
          </w:p>
        </w:tc>
      </w:tr>
      <w:tr>
        <w:trPr>
          <w:trHeight w:val="725" w:hRule="atLeast"/>
        </w:trPr>
        <w:tc>
          <w:tcPr>
            <w:tcW w:w="8668" w:type="dxa"/>
            <w:vAlign w:val="top"/>
            <w:gridSpan w:val="3"/>
          </w:tcPr>
          <w:p>
            <w:pPr>
              <w:pStyle w:val="TableText"/>
              <w:ind w:left="104" w:right="106" w:firstLine="16"/>
              <w:spacing w:before="60" w:line="229" w:lineRule="auto"/>
              <w:rPr/>
            </w:pPr>
            <w:r>
              <w:rPr>
                <w:b/>
                <w:bCs/>
                <w:spacing w:val="11"/>
              </w:rPr>
              <w:t>【行政监管措施】</w:t>
            </w:r>
            <w:r>
              <w:rPr>
                <w:spacing w:val="11"/>
              </w:rPr>
              <w:t>中国证券监督管理委员会河南监管局</w:t>
            </w:r>
            <w:r>
              <w:rPr>
                <w:spacing w:val="10"/>
              </w:rPr>
              <w:t>决定对监事潘某峰采取出具警示函的</w:t>
            </w:r>
            <w:r>
              <w:rPr/>
              <w:t xml:space="preserve"> </w:t>
            </w:r>
            <w:r>
              <w:rPr>
                <w:spacing w:val="7"/>
              </w:rPr>
              <w:t>行政监管措施</w:t>
            </w:r>
            <w:r>
              <w:rPr>
                <w:spacing w:val="-13"/>
              </w:rPr>
              <w:t xml:space="preserve"> </w:t>
            </w:r>
            <w:r>
              <w:rPr>
                <w:spacing w:val="7"/>
              </w:rPr>
              <w:t>，并记入证券期货市场诚信档案。</w:t>
            </w:r>
          </w:p>
        </w:tc>
      </w:tr>
      <w:tr>
        <w:trPr>
          <w:trHeight w:val="1083" w:hRule="atLeast"/>
        </w:trPr>
        <w:tc>
          <w:tcPr>
            <w:shd w:val="clear" w:fill="B8CCE4"/>
            <w:tcW w:w="1424" w:type="dxa"/>
            <w:vAlign w:val="top"/>
          </w:tcPr>
          <w:p>
            <w:pPr>
              <w:spacing w:line="389" w:lineRule="auto"/>
              <w:rPr>
                <w:rFonts w:ascii="Arial"/>
                <w:sz w:val="21"/>
              </w:rPr>
            </w:pPr>
            <w:r/>
          </w:p>
          <w:p>
            <w:pPr>
              <w:pStyle w:val="TableText"/>
              <w:ind w:left="346"/>
              <w:spacing w:before="85" w:line="179" w:lineRule="auto"/>
              <w:rPr/>
            </w:pPr>
            <w:r>
              <w:rPr>
                <w:spacing w:val="3"/>
              </w:rPr>
              <w:t>601995</w:t>
            </w:r>
          </w:p>
        </w:tc>
        <w:tc>
          <w:tcPr>
            <w:shd w:val="clear" w:fill="B8CCE4"/>
            <w:tcW w:w="1343" w:type="dxa"/>
            <w:vAlign w:val="top"/>
          </w:tcPr>
          <w:p>
            <w:pPr>
              <w:spacing w:line="375" w:lineRule="auto"/>
              <w:rPr>
                <w:rFonts w:ascii="Arial"/>
                <w:sz w:val="21"/>
              </w:rPr>
            </w:pPr>
            <w:r/>
          </w:p>
          <w:p>
            <w:pPr>
              <w:pStyle w:val="TableText"/>
              <w:ind w:left="256"/>
              <w:spacing w:before="86" w:line="189" w:lineRule="auto"/>
              <w:rPr/>
            </w:pPr>
            <w:r>
              <w:rPr>
                <w:spacing w:val="5"/>
              </w:rPr>
              <w:t>中金公司</w:t>
            </w:r>
          </w:p>
        </w:tc>
        <w:tc>
          <w:tcPr>
            <w:shd w:val="clear" w:fill="B8CCE4"/>
            <w:tcW w:w="5901" w:type="dxa"/>
            <w:vAlign w:val="top"/>
          </w:tcPr>
          <w:p>
            <w:pPr>
              <w:pStyle w:val="TableText"/>
              <w:ind w:left="99" w:right="103"/>
              <w:spacing w:before="103" w:line="226" w:lineRule="auto"/>
              <w:jc w:val="both"/>
              <w:rPr/>
            </w:pPr>
            <w:r>
              <w:rPr>
                <w:spacing w:val="16"/>
              </w:rPr>
              <w:t>聘用</w:t>
            </w:r>
            <w:r>
              <w:rPr>
                <w:b/>
                <w:bCs/>
                <w:spacing w:val="16"/>
              </w:rPr>
              <w:t>未取得从业资格的人员</w:t>
            </w:r>
            <w:r>
              <w:rPr>
                <w:spacing w:val="16"/>
              </w:rPr>
              <w:t>开展相关证券业务;多名员工曾存</w:t>
            </w:r>
            <w:r>
              <w:rPr>
                <w:spacing w:val="1"/>
              </w:rPr>
              <w:t xml:space="preserve"> </w:t>
            </w:r>
            <w:r>
              <w:rPr>
                <w:spacing w:val="14"/>
              </w:rPr>
              <w:t>在</w:t>
            </w:r>
            <w:r>
              <w:rPr>
                <w:b/>
                <w:bCs/>
                <w:spacing w:val="14"/>
              </w:rPr>
              <w:t>买卖股票、</w:t>
            </w:r>
            <w:r>
              <w:rPr>
                <w:b/>
                <w:bCs/>
                <w:spacing w:val="-6"/>
              </w:rPr>
              <w:t xml:space="preserve"> </w:t>
            </w:r>
            <w:r>
              <w:rPr>
                <w:b/>
                <w:bCs/>
                <w:spacing w:val="14"/>
              </w:rPr>
              <w:t>出借个人证券账户</w:t>
            </w:r>
            <w:r>
              <w:rPr>
                <w:spacing w:val="14"/>
              </w:rPr>
              <w:t>的行为,公司对员工行为监测</w:t>
            </w:r>
            <w:r>
              <w:rPr/>
              <w:t xml:space="preserve"> </w:t>
            </w:r>
            <w:r>
              <w:rPr>
                <w:spacing w:val="7"/>
              </w:rPr>
              <w:t>监控不到位。</w:t>
            </w:r>
          </w:p>
        </w:tc>
      </w:tr>
      <w:tr>
        <w:trPr>
          <w:trHeight w:val="732" w:hRule="atLeast"/>
        </w:trPr>
        <w:tc>
          <w:tcPr>
            <w:tcW w:w="8668" w:type="dxa"/>
            <w:vAlign w:val="top"/>
            <w:gridSpan w:val="3"/>
          </w:tcPr>
          <w:p>
            <w:pPr>
              <w:pStyle w:val="TableText"/>
              <w:ind w:left="104" w:right="106" w:firstLine="17"/>
              <w:spacing w:before="64" w:line="230" w:lineRule="auto"/>
              <w:rPr/>
            </w:pPr>
            <w:r>
              <w:rPr>
                <w:b/>
                <w:bCs/>
                <w:spacing w:val="11"/>
              </w:rPr>
              <w:t>【行政监管措施】</w:t>
            </w:r>
            <w:r>
              <w:rPr>
                <w:spacing w:val="11"/>
              </w:rPr>
              <w:t>中国证券监督管理委员会北京监管局</w:t>
            </w:r>
            <w:r>
              <w:rPr>
                <w:spacing w:val="10"/>
              </w:rPr>
              <w:t>决定对中国国际金融股份有限公司采</w:t>
            </w:r>
            <w:r>
              <w:rPr/>
              <w:t xml:space="preserve"> </w:t>
            </w:r>
            <w:r>
              <w:rPr>
                <w:spacing w:val="8"/>
              </w:rPr>
              <w:t>取出具警示函的行政监管措施。</w:t>
            </w:r>
          </w:p>
        </w:tc>
      </w:tr>
    </w:tbl>
    <w:p>
      <w:pPr>
        <w:pStyle w:val="BodyText"/>
        <w:spacing w:line="14" w:lineRule="auto"/>
        <w:rPr>
          <w:sz w:val="2"/>
        </w:rPr>
      </w:pPr>
      <w:r/>
    </w:p>
    <w:p>
      <w:pPr>
        <w:spacing w:line="14" w:lineRule="auto"/>
        <w:sectPr>
          <w:pgSz w:w="11910" w:h="16840"/>
          <w:pgMar w:top="400" w:right="1622" w:bottom="68" w:left="1604" w:header="0" w:footer="0" w:gutter="0"/>
        </w:sectPr>
        <w:rPr>
          <w:sz w:val="2"/>
          <w:szCs w:val="2"/>
        </w:rPr>
      </w:pPr>
    </w:p>
    <w:tbl>
      <w:tblPr>
        <w:tblStyle w:val="TableNormal"/>
        <w:tblW w:w="8668"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424"/>
        <w:gridCol w:w="1343"/>
        <w:gridCol w:w="5901"/>
      </w:tblGrid>
      <w:tr>
        <w:trPr>
          <w:trHeight w:val="743" w:hRule="atLeast"/>
        </w:trPr>
        <w:tc>
          <w:tcPr>
            <w:shd w:val="clear" w:fill="B8CCE4"/>
            <w:tcW w:w="1424" w:type="dxa"/>
            <w:vAlign w:val="top"/>
            <w:tcBorders>
              <w:top w:val="single" w:color="4F81BD" w:sz="2" w:space="0"/>
            </w:tcBorders>
          </w:tcPr>
          <w:p>
            <w:pPr>
              <w:pStyle w:val="TableText"/>
              <w:ind w:left="346"/>
              <w:spacing w:before="293" w:line="179" w:lineRule="auto"/>
              <w:rPr/>
            </w:pPr>
            <w:r>
              <w:rPr>
                <w:spacing w:val="3"/>
              </w:rPr>
              <w:t>601375</w:t>
            </w:r>
          </w:p>
        </w:tc>
        <w:tc>
          <w:tcPr>
            <w:shd w:val="clear" w:fill="B8CCE4"/>
            <w:tcW w:w="1343" w:type="dxa"/>
            <w:vAlign w:val="top"/>
            <w:tcBorders>
              <w:top w:val="single" w:color="4F81BD" w:sz="2" w:space="0"/>
            </w:tcBorders>
          </w:tcPr>
          <w:p>
            <w:pPr>
              <w:pStyle w:val="TableText"/>
              <w:ind w:left="256"/>
              <w:spacing w:before="280" w:line="189" w:lineRule="auto"/>
              <w:rPr/>
            </w:pPr>
            <w:r>
              <w:rPr>
                <w:spacing w:val="5"/>
              </w:rPr>
              <w:t>中原证券</w:t>
            </w:r>
          </w:p>
        </w:tc>
        <w:tc>
          <w:tcPr>
            <w:shd w:val="clear" w:fill="B8CCE4"/>
            <w:tcW w:w="5901" w:type="dxa"/>
            <w:vAlign w:val="top"/>
            <w:tcBorders>
              <w:top w:val="single" w:color="4F81BD" w:sz="2" w:space="0"/>
            </w:tcBorders>
          </w:tcPr>
          <w:p>
            <w:pPr>
              <w:pStyle w:val="TableText"/>
              <w:ind w:left="104" w:right="103" w:firstLine="9"/>
              <w:spacing w:before="100" w:line="221" w:lineRule="auto"/>
              <w:rPr/>
            </w:pPr>
            <w:r>
              <w:rPr>
                <w:spacing w:val="9"/>
              </w:rPr>
              <w:t>中原证券股份有限公司存在对境外子公司管控</w:t>
            </w:r>
            <w:r>
              <w:rPr>
                <w:spacing w:val="8"/>
              </w:rPr>
              <w:t>不到位</w:t>
            </w:r>
            <w:r>
              <w:rPr>
                <w:spacing w:val="-28"/>
              </w:rPr>
              <w:t xml:space="preserve"> </w:t>
            </w:r>
            <w:r>
              <w:rPr>
                <w:spacing w:val="8"/>
              </w:rPr>
              <w:t>，未有效</w:t>
            </w:r>
            <w:r>
              <w:rPr/>
              <w:t xml:space="preserve"> </w:t>
            </w:r>
            <w:r>
              <w:rPr>
                <w:spacing w:val="8"/>
              </w:rPr>
              <w:t>强化合规风险管理情形。</w:t>
            </w:r>
          </w:p>
        </w:tc>
      </w:tr>
      <w:tr>
        <w:trPr>
          <w:trHeight w:val="725" w:hRule="atLeast"/>
        </w:trPr>
        <w:tc>
          <w:tcPr>
            <w:tcW w:w="8668" w:type="dxa"/>
            <w:vAlign w:val="top"/>
            <w:gridSpan w:val="3"/>
          </w:tcPr>
          <w:p>
            <w:pPr>
              <w:pStyle w:val="TableText"/>
              <w:ind w:left="108" w:right="106" w:firstLine="12"/>
              <w:spacing w:before="39" w:line="236" w:lineRule="auto"/>
              <w:rPr/>
            </w:pPr>
            <w:r>
              <w:rPr>
                <w:b/>
                <w:bCs/>
                <w:spacing w:val="11"/>
              </w:rPr>
              <w:t>【行政监管措施】</w:t>
            </w:r>
            <w:r>
              <w:rPr>
                <w:spacing w:val="11"/>
              </w:rPr>
              <w:t>中国证券监督管理委员会河南监管局</w:t>
            </w:r>
            <w:r>
              <w:rPr>
                <w:spacing w:val="10"/>
              </w:rPr>
              <w:t>决定对境外子公司时任副总经理李某</w:t>
            </w:r>
            <w:r>
              <w:rPr/>
              <w:t xml:space="preserve"> </w:t>
            </w:r>
            <w:r>
              <w:rPr>
                <w:spacing w:val="8"/>
              </w:rPr>
              <w:t>强实施出具警示函的监督管理措施。</w:t>
            </w:r>
          </w:p>
        </w:tc>
      </w:tr>
      <w:tr>
        <w:trPr>
          <w:trHeight w:val="796" w:hRule="atLeast"/>
        </w:trPr>
        <w:tc>
          <w:tcPr>
            <w:shd w:val="clear" w:fill="B8CCE4"/>
            <w:tcW w:w="1424" w:type="dxa"/>
            <w:vAlign w:val="top"/>
          </w:tcPr>
          <w:p>
            <w:pPr>
              <w:pStyle w:val="TableText"/>
              <w:ind w:left="346"/>
              <w:spacing w:before="312" w:line="179" w:lineRule="auto"/>
              <w:rPr/>
            </w:pPr>
            <w:r>
              <w:rPr>
                <w:spacing w:val="3"/>
              </w:rPr>
              <w:t>601375</w:t>
            </w:r>
          </w:p>
        </w:tc>
        <w:tc>
          <w:tcPr>
            <w:shd w:val="clear" w:fill="B8CCE4"/>
            <w:tcW w:w="1343" w:type="dxa"/>
            <w:vAlign w:val="top"/>
          </w:tcPr>
          <w:p>
            <w:pPr>
              <w:pStyle w:val="TableText"/>
              <w:ind w:left="256"/>
              <w:spacing w:before="299" w:line="189" w:lineRule="auto"/>
              <w:rPr/>
            </w:pPr>
            <w:r>
              <w:rPr>
                <w:spacing w:val="5"/>
              </w:rPr>
              <w:t>中原证券</w:t>
            </w:r>
          </w:p>
        </w:tc>
        <w:tc>
          <w:tcPr>
            <w:shd w:val="clear" w:fill="B8CCE4"/>
            <w:tcW w:w="5901" w:type="dxa"/>
            <w:vAlign w:val="top"/>
          </w:tcPr>
          <w:p>
            <w:pPr>
              <w:pStyle w:val="TableText"/>
              <w:ind w:left="99" w:right="120" w:firstLine="14"/>
              <w:spacing w:before="153" w:line="221" w:lineRule="auto"/>
              <w:rPr/>
            </w:pPr>
            <w:r>
              <w:rPr>
                <w:spacing w:val="8"/>
              </w:rPr>
              <w:t>中原证券股份有限公司在开展股票质押业务时</w:t>
            </w:r>
            <w:r>
              <w:rPr>
                <w:spacing w:val="-25"/>
              </w:rPr>
              <w:t xml:space="preserve"> </w:t>
            </w:r>
            <w:r>
              <w:rPr>
                <w:spacing w:val="8"/>
              </w:rPr>
              <w:t>，风险管理不审</w:t>
            </w:r>
            <w:r>
              <w:rPr/>
              <w:t xml:space="preserve"> </w:t>
            </w:r>
            <w:r>
              <w:rPr>
                <w:spacing w:val="5"/>
              </w:rPr>
              <w:t>慎、</w:t>
            </w:r>
            <w:r>
              <w:rPr>
                <w:spacing w:val="-24"/>
              </w:rPr>
              <w:t xml:space="preserve"> </w:t>
            </w:r>
            <w:r>
              <w:rPr>
                <w:spacing w:val="5"/>
              </w:rPr>
              <w:t>内控管理不到位。</w:t>
            </w:r>
          </w:p>
        </w:tc>
      </w:tr>
      <w:tr>
        <w:trPr>
          <w:trHeight w:val="725" w:hRule="atLeast"/>
        </w:trPr>
        <w:tc>
          <w:tcPr>
            <w:tcW w:w="8668" w:type="dxa"/>
            <w:vAlign w:val="top"/>
            <w:gridSpan w:val="3"/>
          </w:tcPr>
          <w:p>
            <w:pPr>
              <w:pStyle w:val="TableText"/>
              <w:ind w:left="104" w:right="106" w:firstLine="16"/>
              <w:spacing w:before="42" w:line="235" w:lineRule="auto"/>
              <w:rPr/>
            </w:pPr>
            <w:r>
              <w:rPr>
                <w:b/>
                <w:bCs/>
                <w:spacing w:val="11"/>
              </w:rPr>
              <w:t>【行政监管措施】</w:t>
            </w:r>
            <w:r>
              <w:rPr>
                <w:spacing w:val="11"/>
              </w:rPr>
              <w:t>中国证券监督管理委员会河南监管局</w:t>
            </w:r>
            <w:r>
              <w:rPr>
                <w:spacing w:val="10"/>
              </w:rPr>
              <w:t>决定对赵某旭实施出具警示函的监督</w:t>
            </w:r>
            <w:r>
              <w:rPr/>
              <w:t xml:space="preserve"> </w:t>
            </w:r>
            <w:r>
              <w:rPr>
                <w:spacing w:val="6"/>
              </w:rPr>
              <w:t>管理措施。</w:t>
            </w:r>
          </w:p>
        </w:tc>
      </w:tr>
      <w:tr>
        <w:trPr>
          <w:trHeight w:val="724" w:hRule="atLeast"/>
        </w:trPr>
        <w:tc>
          <w:tcPr>
            <w:shd w:val="clear" w:fill="B8CCE4"/>
            <w:tcW w:w="1424" w:type="dxa"/>
            <w:vAlign w:val="top"/>
          </w:tcPr>
          <w:p>
            <w:pPr>
              <w:pStyle w:val="TableText"/>
              <w:ind w:left="346"/>
              <w:spacing w:before="278" w:line="179" w:lineRule="auto"/>
              <w:rPr/>
            </w:pPr>
            <w:r>
              <w:rPr>
                <w:spacing w:val="3"/>
              </w:rPr>
              <w:t>601375</w:t>
            </w:r>
          </w:p>
        </w:tc>
        <w:tc>
          <w:tcPr>
            <w:shd w:val="clear" w:fill="B8CCE4"/>
            <w:tcW w:w="1343" w:type="dxa"/>
            <w:vAlign w:val="top"/>
          </w:tcPr>
          <w:p>
            <w:pPr>
              <w:pStyle w:val="TableText"/>
              <w:ind w:left="256"/>
              <w:spacing w:before="264" w:line="189" w:lineRule="auto"/>
              <w:rPr/>
            </w:pPr>
            <w:r>
              <w:rPr>
                <w:spacing w:val="5"/>
              </w:rPr>
              <w:t>中原证券</w:t>
            </w:r>
          </w:p>
        </w:tc>
        <w:tc>
          <w:tcPr>
            <w:shd w:val="clear" w:fill="B8CCE4"/>
            <w:tcW w:w="5901" w:type="dxa"/>
            <w:vAlign w:val="top"/>
          </w:tcPr>
          <w:p>
            <w:pPr>
              <w:pStyle w:val="TableText"/>
              <w:ind w:left="99" w:right="103" w:firstLine="14"/>
              <w:spacing w:before="82" w:line="221" w:lineRule="auto"/>
              <w:rPr/>
            </w:pPr>
            <w:r>
              <w:rPr>
                <w:spacing w:val="8"/>
              </w:rPr>
              <w:t>中原证券股份有限公司在开展股票质押业务时</w:t>
            </w:r>
            <w:r>
              <w:rPr>
                <w:spacing w:val="-8"/>
              </w:rPr>
              <w:t xml:space="preserve"> </w:t>
            </w:r>
            <w:r>
              <w:rPr>
                <w:spacing w:val="8"/>
              </w:rPr>
              <w:t>，风险管理不审</w:t>
            </w:r>
            <w:r>
              <w:rPr/>
              <w:t xml:space="preserve"> </w:t>
            </w:r>
            <w:r>
              <w:rPr>
                <w:spacing w:val="5"/>
              </w:rPr>
              <w:t>慎、</w:t>
            </w:r>
            <w:r>
              <w:rPr>
                <w:spacing w:val="-24"/>
              </w:rPr>
              <w:t xml:space="preserve"> </w:t>
            </w:r>
            <w:r>
              <w:rPr>
                <w:spacing w:val="5"/>
              </w:rPr>
              <w:t>内控管理不到位。</w:t>
            </w:r>
          </w:p>
        </w:tc>
      </w:tr>
      <w:tr>
        <w:trPr>
          <w:trHeight w:val="725" w:hRule="atLeast"/>
        </w:trPr>
        <w:tc>
          <w:tcPr>
            <w:tcW w:w="8668" w:type="dxa"/>
            <w:vAlign w:val="top"/>
            <w:gridSpan w:val="3"/>
          </w:tcPr>
          <w:p>
            <w:pPr>
              <w:pStyle w:val="TableText"/>
              <w:ind w:left="104" w:right="106" w:firstLine="16"/>
              <w:spacing w:before="42" w:line="235" w:lineRule="auto"/>
              <w:rPr/>
            </w:pPr>
            <w:r>
              <w:rPr>
                <w:b/>
                <w:bCs/>
                <w:spacing w:val="11"/>
              </w:rPr>
              <w:t>【行政监管措施】</w:t>
            </w:r>
            <w:r>
              <w:rPr>
                <w:spacing w:val="11"/>
              </w:rPr>
              <w:t>中国证券监督管理委员会河南监管局</w:t>
            </w:r>
            <w:r>
              <w:rPr>
                <w:spacing w:val="10"/>
              </w:rPr>
              <w:t>决定对朱某民实施出具警示函的监督</w:t>
            </w:r>
            <w:r>
              <w:rPr/>
              <w:t xml:space="preserve"> </w:t>
            </w:r>
            <w:r>
              <w:rPr>
                <w:spacing w:val="6"/>
              </w:rPr>
              <w:t>管理措施。</w:t>
            </w:r>
          </w:p>
        </w:tc>
      </w:tr>
      <w:tr>
        <w:trPr>
          <w:trHeight w:val="724" w:hRule="atLeast"/>
        </w:trPr>
        <w:tc>
          <w:tcPr>
            <w:shd w:val="clear" w:fill="B8CCE4"/>
            <w:tcW w:w="1424" w:type="dxa"/>
            <w:vAlign w:val="top"/>
          </w:tcPr>
          <w:p>
            <w:pPr>
              <w:pStyle w:val="TableText"/>
              <w:ind w:left="346"/>
              <w:spacing w:before="279" w:line="179" w:lineRule="auto"/>
              <w:rPr/>
            </w:pPr>
            <w:r>
              <w:rPr>
                <w:spacing w:val="3"/>
              </w:rPr>
              <w:t>601375</w:t>
            </w:r>
          </w:p>
        </w:tc>
        <w:tc>
          <w:tcPr>
            <w:shd w:val="clear" w:fill="B8CCE4"/>
            <w:tcW w:w="1343" w:type="dxa"/>
            <w:vAlign w:val="top"/>
          </w:tcPr>
          <w:p>
            <w:pPr>
              <w:pStyle w:val="TableText"/>
              <w:ind w:left="256"/>
              <w:spacing w:before="266" w:line="189" w:lineRule="auto"/>
              <w:rPr/>
            </w:pPr>
            <w:r>
              <w:rPr>
                <w:spacing w:val="5"/>
              </w:rPr>
              <w:t>中原证券</w:t>
            </w:r>
          </w:p>
        </w:tc>
        <w:tc>
          <w:tcPr>
            <w:shd w:val="clear" w:fill="B8CCE4"/>
            <w:tcW w:w="5901" w:type="dxa"/>
            <w:vAlign w:val="top"/>
          </w:tcPr>
          <w:p>
            <w:pPr>
              <w:pStyle w:val="TableText"/>
              <w:ind w:left="104" w:right="103" w:firstLine="9"/>
              <w:spacing w:before="87" w:line="219" w:lineRule="auto"/>
              <w:rPr/>
            </w:pPr>
            <w:r>
              <w:rPr>
                <w:spacing w:val="9"/>
              </w:rPr>
              <w:t>中原证券股份有限公司存在对境外子公司管控</w:t>
            </w:r>
            <w:r>
              <w:rPr>
                <w:spacing w:val="8"/>
              </w:rPr>
              <w:t>不到位</w:t>
            </w:r>
            <w:r>
              <w:rPr>
                <w:spacing w:val="-28"/>
              </w:rPr>
              <w:t xml:space="preserve"> </w:t>
            </w:r>
            <w:r>
              <w:rPr>
                <w:spacing w:val="8"/>
              </w:rPr>
              <w:t>，未有效</w:t>
            </w:r>
            <w:r>
              <w:rPr/>
              <w:t xml:space="preserve"> </w:t>
            </w:r>
            <w:r>
              <w:rPr>
                <w:spacing w:val="8"/>
              </w:rPr>
              <w:t>强化合规风险管理情形。</w:t>
            </w:r>
          </w:p>
        </w:tc>
      </w:tr>
      <w:tr>
        <w:trPr>
          <w:trHeight w:val="725" w:hRule="atLeast"/>
        </w:trPr>
        <w:tc>
          <w:tcPr>
            <w:tcW w:w="8668" w:type="dxa"/>
            <w:vAlign w:val="top"/>
            <w:gridSpan w:val="3"/>
          </w:tcPr>
          <w:p>
            <w:pPr>
              <w:pStyle w:val="TableText"/>
              <w:ind w:left="104" w:right="106" w:firstLine="16"/>
              <w:spacing w:before="45" w:line="234" w:lineRule="auto"/>
              <w:rPr/>
            </w:pPr>
            <w:r>
              <w:rPr>
                <w:b/>
                <w:bCs/>
                <w:spacing w:val="11"/>
              </w:rPr>
              <w:t>【行政监管措施】</w:t>
            </w:r>
            <w:r>
              <w:rPr>
                <w:spacing w:val="11"/>
              </w:rPr>
              <w:t>中国证券监督管理委员会河南监管局</w:t>
            </w:r>
            <w:r>
              <w:rPr>
                <w:spacing w:val="10"/>
              </w:rPr>
              <w:t>决定对境外子公司时任投资部门负责</w:t>
            </w:r>
            <w:r>
              <w:rPr/>
              <w:t xml:space="preserve"> </w:t>
            </w:r>
            <w:r>
              <w:rPr>
                <w:spacing w:val="9"/>
              </w:rPr>
              <w:t>人张某齐实施出具警示函的监督管理措施。</w:t>
            </w:r>
          </w:p>
        </w:tc>
      </w:tr>
      <w:tr>
        <w:trPr>
          <w:trHeight w:val="1442" w:hRule="atLeast"/>
        </w:trPr>
        <w:tc>
          <w:tcPr>
            <w:shd w:val="clear" w:fill="B8CCE4"/>
            <w:tcW w:w="1424" w:type="dxa"/>
            <w:vAlign w:val="top"/>
          </w:tcPr>
          <w:p>
            <w:pPr>
              <w:spacing w:line="276" w:lineRule="auto"/>
              <w:rPr>
                <w:rFonts w:ascii="Arial"/>
                <w:sz w:val="21"/>
              </w:rPr>
            </w:pPr>
            <w:r/>
          </w:p>
          <w:p>
            <w:pPr>
              <w:spacing w:line="277" w:lineRule="auto"/>
              <w:rPr>
                <w:rFonts w:ascii="Arial"/>
                <w:sz w:val="21"/>
              </w:rPr>
            </w:pPr>
            <w:r/>
          </w:p>
          <w:p>
            <w:pPr>
              <w:pStyle w:val="TableText"/>
              <w:ind w:left="348"/>
              <w:spacing w:before="86" w:line="178" w:lineRule="auto"/>
              <w:rPr/>
            </w:pPr>
            <w:r>
              <w:rPr>
                <w:spacing w:val="3"/>
              </w:rPr>
              <w:t>300742</w:t>
            </w:r>
          </w:p>
        </w:tc>
        <w:tc>
          <w:tcPr>
            <w:shd w:val="clear" w:fill="B8CCE4"/>
            <w:tcW w:w="1343" w:type="dxa"/>
            <w:vAlign w:val="top"/>
          </w:tcPr>
          <w:p>
            <w:pPr>
              <w:spacing w:line="270" w:lineRule="auto"/>
              <w:rPr>
                <w:rFonts w:ascii="Arial"/>
                <w:sz w:val="21"/>
              </w:rPr>
            </w:pPr>
            <w:r/>
          </w:p>
          <w:p>
            <w:pPr>
              <w:spacing w:line="270" w:lineRule="auto"/>
              <w:rPr>
                <w:rFonts w:ascii="Arial"/>
                <w:sz w:val="21"/>
              </w:rPr>
            </w:pPr>
            <w:r/>
          </w:p>
          <w:p>
            <w:pPr>
              <w:pStyle w:val="TableText"/>
              <w:ind w:left="288"/>
              <w:spacing w:before="86" w:line="188" w:lineRule="auto"/>
              <w:rPr/>
            </w:pPr>
            <w:r>
              <w:rPr>
                <w:spacing w:val="8"/>
              </w:rPr>
              <w:t>*</w:t>
            </w:r>
            <w:r>
              <w:rPr/>
              <w:t>ST</w:t>
            </w:r>
            <w:r>
              <w:rPr>
                <w:spacing w:val="8"/>
              </w:rPr>
              <w:t>越博</w:t>
            </w:r>
          </w:p>
        </w:tc>
        <w:tc>
          <w:tcPr>
            <w:shd w:val="clear" w:fill="B8CCE4"/>
            <w:tcW w:w="5901" w:type="dxa"/>
            <w:vAlign w:val="top"/>
          </w:tcPr>
          <w:p>
            <w:pPr>
              <w:pStyle w:val="TableText"/>
              <w:ind w:left="99" w:right="103" w:firstLine="2"/>
              <w:spacing w:before="47" w:line="242" w:lineRule="auto"/>
              <w:jc w:val="both"/>
              <w:rPr/>
            </w:pPr>
            <w:r>
              <w:rPr>
                <w:spacing w:val="11"/>
              </w:rPr>
              <w:t>南京越博动力系统股份有限公司2023年12月22日披露的《关 </w:t>
            </w:r>
            <w:r>
              <w:rPr>
                <w:spacing w:val="10"/>
              </w:rPr>
              <w:t>于聘任公司总经理的公告》</w:t>
            </w:r>
            <w:r>
              <w:rPr>
                <w:spacing w:val="-18"/>
              </w:rPr>
              <w:t xml:space="preserve"> </w:t>
            </w:r>
            <w:r>
              <w:rPr>
                <w:spacing w:val="10"/>
              </w:rPr>
              <w:t>2023年12月26日披露《关于补选</w:t>
            </w:r>
            <w:r>
              <w:rPr/>
              <w:t xml:space="preserve"> </w:t>
            </w:r>
            <w:r>
              <w:rPr>
                <w:spacing w:val="10"/>
              </w:rPr>
              <w:t>公司第三届董事会董事的公告》中关于候选人</w:t>
            </w:r>
            <w:r>
              <w:rPr>
                <w:b/>
                <w:bCs/>
                <w:spacing w:val="10"/>
              </w:rPr>
              <w:t>不是失信被执行</w:t>
            </w:r>
            <w:r>
              <w:rPr>
                <w:b/>
                <w:bCs/>
                <w:spacing w:val="12"/>
              </w:rPr>
              <w:t xml:space="preserve"> </w:t>
            </w:r>
            <w:r>
              <w:rPr>
                <w:b/>
                <w:bCs/>
                <w:spacing w:val="8"/>
              </w:rPr>
              <w:t>人</w:t>
            </w:r>
            <w:r>
              <w:rPr>
                <w:spacing w:val="8"/>
              </w:rPr>
              <w:t>的表述不真实。</w:t>
            </w:r>
          </w:p>
        </w:tc>
      </w:tr>
      <w:tr>
        <w:trPr>
          <w:trHeight w:val="1084" w:hRule="atLeast"/>
        </w:trPr>
        <w:tc>
          <w:tcPr>
            <w:tcW w:w="8668" w:type="dxa"/>
            <w:vAlign w:val="top"/>
            <w:gridSpan w:val="3"/>
          </w:tcPr>
          <w:p>
            <w:pPr>
              <w:pStyle w:val="TableText"/>
              <w:ind w:left="102" w:right="103" w:firstLine="19"/>
              <w:spacing w:before="48" w:line="239" w:lineRule="auto"/>
              <w:jc w:val="both"/>
              <w:rPr/>
            </w:pPr>
            <w:r>
              <w:rPr>
                <w:b/>
                <w:bCs/>
                <w:spacing w:val="11"/>
              </w:rPr>
              <w:t>【行政监管措施】</w:t>
            </w:r>
            <w:r>
              <w:rPr>
                <w:spacing w:val="11"/>
              </w:rPr>
              <w:t>中国证券监督管理委员会江苏监管局</w:t>
            </w:r>
            <w:r>
              <w:rPr>
                <w:spacing w:val="10"/>
              </w:rPr>
              <w:t>决定对南京越博动力系统股份有限公</w:t>
            </w:r>
            <w:r>
              <w:rPr/>
              <w:t xml:space="preserve"> </w:t>
            </w:r>
            <w:r>
              <w:rPr>
                <w:spacing w:val="12"/>
              </w:rPr>
              <w:t>司、董事长,时任董秘,总经理贺某采取出具警示函的行政监管措施,并记入证券期货市</w:t>
            </w:r>
            <w:r>
              <w:rPr>
                <w:spacing w:val="11"/>
              </w:rPr>
              <w:t>场诚信</w:t>
            </w:r>
            <w:r>
              <w:rPr/>
              <w:t xml:space="preserve"> </w:t>
            </w:r>
            <w:r>
              <w:rPr>
                <w:spacing w:val="5"/>
              </w:rPr>
              <w:t>档案。</w:t>
            </w:r>
          </w:p>
        </w:tc>
      </w:tr>
      <w:tr>
        <w:trPr>
          <w:trHeight w:val="2954" w:hRule="atLeast"/>
        </w:trPr>
        <w:tc>
          <w:tcPr>
            <w:shd w:val="clear" w:fill="B8CCE4"/>
            <w:tcW w:w="1424" w:type="dxa"/>
            <w:vAlign w:val="top"/>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348"/>
              <w:spacing w:before="86" w:line="178" w:lineRule="auto"/>
              <w:rPr/>
            </w:pPr>
            <w:r>
              <w:rPr>
                <w:spacing w:val="3"/>
              </w:rPr>
              <w:t>300878</w:t>
            </w:r>
          </w:p>
        </w:tc>
        <w:tc>
          <w:tcPr>
            <w:shd w:val="clear" w:fill="B8CCE4"/>
            <w:tcW w:w="1343"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242"/>
              <w:spacing w:before="86" w:line="189" w:lineRule="auto"/>
              <w:rPr/>
            </w:pPr>
            <w:r>
              <w:rPr>
                <w:spacing w:val="8"/>
              </w:rPr>
              <w:t>维康药业</w:t>
            </w:r>
          </w:p>
        </w:tc>
        <w:tc>
          <w:tcPr>
            <w:shd w:val="clear" w:fill="B8CCE4"/>
            <w:tcW w:w="5901" w:type="dxa"/>
            <w:vAlign w:val="top"/>
          </w:tcPr>
          <w:p>
            <w:pPr>
              <w:pStyle w:val="TableText"/>
              <w:ind w:left="97" w:right="120" w:firstLine="1"/>
              <w:spacing w:before="164" w:line="243" w:lineRule="auto"/>
              <w:rPr/>
            </w:pPr>
            <w:r>
              <w:rPr>
                <w:spacing w:val="8"/>
              </w:rPr>
              <w:t>公司未按规定披露关联方</w:t>
            </w:r>
            <w:r>
              <w:rPr>
                <w:b/>
                <w:bCs/>
                <w:spacing w:val="8"/>
              </w:rPr>
              <w:t>非经营性资金占用</w:t>
            </w:r>
            <w:r>
              <w:rPr>
                <w:spacing w:val="8"/>
              </w:rPr>
              <w:t>情况</w:t>
            </w:r>
            <w:r>
              <w:rPr>
                <w:spacing w:val="-10"/>
              </w:rPr>
              <w:t xml:space="preserve"> </w:t>
            </w:r>
            <w:r>
              <w:rPr>
                <w:spacing w:val="8"/>
              </w:rPr>
              <w:t>，</w:t>
            </w:r>
            <w:r>
              <w:rPr>
                <w:b/>
                <w:bCs/>
                <w:spacing w:val="8"/>
              </w:rPr>
              <w:t>募集资金使</w:t>
            </w:r>
            <w:r>
              <w:rPr>
                <w:b/>
                <w:bCs/>
              </w:rPr>
              <w:t xml:space="preserve"> </w:t>
            </w:r>
            <w:r>
              <w:rPr>
                <w:b/>
                <w:bCs/>
                <w:spacing w:val="9"/>
              </w:rPr>
              <w:t>用</w:t>
            </w:r>
            <w:r>
              <w:rPr>
                <w:spacing w:val="9"/>
              </w:rPr>
              <w:t>不规范</w:t>
            </w:r>
            <w:r>
              <w:rPr>
                <w:spacing w:val="-28"/>
              </w:rPr>
              <w:t xml:space="preserve"> </w:t>
            </w:r>
            <w:r>
              <w:rPr>
                <w:spacing w:val="9"/>
              </w:rPr>
              <w:t>，导致相关年度定期报告及募集资</w:t>
            </w:r>
            <w:r>
              <w:rPr>
                <w:spacing w:val="8"/>
              </w:rPr>
              <w:t>金专项报告信息披</w:t>
            </w:r>
            <w:r>
              <w:rPr/>
              <w:t xml:space="preserve"> </w:t>
            </w:r>
            <w:r>
              <w:rPr>
                <w:spacing w:val="10"/>
              </w:rPr>
              <w:t>露不准确；部分医药产品销售业务</w:t>
            </w:r>
            <w:r>
              <w:rPr>
                <w:b/>
                <w:bCs/>
                <w:spacing w:val="10"/>
              </w:rPr>
              <w:t>收入确认依据不足</w:t>
            </w:r>
            <w:r>
              <w:rPr>
                <w:spacing w:val="9"/>
              </w:rPr>
              <w:t>；部分医</w:t>
            </w:r>
            <w:r>
              <w:rPr/>
              <w:t xml:space="preserve"> </w:t>
            </w:r>
            <w:r>
              <w:rPr>
                <w:spacing w:val="8"/>
              </w:rPr>
              <w:t>药产品销售业务收入的</w:t>
            </w:r>
            <w:r>
              <w:rPr>
                <w:b/>
                <w:bCs/>
                <w:spacing w:val="8"/>
              </w:rPr>
              <w:t>确认时点</w:t>
            </w:r>
            <w:r>
              <w:rPr>
                <w:spacing w:val="8"/>
              </w:rPr>
              <w:t>早于客户签收时间</w:t>
            </w:r>
            <w:r>
              <w:rPr>
                <w:spacing w:val="-9"/>
              </w:rPr>
              <w:t xml:space="preserve"> </w:t>
            </w:r>
            <w:r>
              <w:rPr>
                <w:spacing w:val="8"/>
              </w:rPr>
              <w:t>，存在提前</w:t>
            </w:r>
            <w:r>
              <w:rPr/>
              <w:t xml:space="preserve"> </w:t>
            </w:r>
            <w:r>
              <w:rPr>
                <w:spacing w:val="7"/>
              </w:rPr>
              <w:t>确认收入的情况；</w:t>
            </w:r>
            <w:r>
              <w:rPr>
                <w:spacing w:val="-36"/>
              </w:rPr>
              <w:t xml:space="preserve"> </w:t>
            </w:r>
            <w:r>
              <w:rPr>
                <w:spacing w:val="7"/>
              </w:rPr>
              <w:t>2021年公司中药材贸易业务未按照</w:t>
            </w:r>
            <w:r>
              <w:rPr>
                <w:b/>
                <w:bCs/>
                <w:spacing w:val="7"/>
              </w:rPr>
              <w:t>业务实 </w:t>
            </w:r>
            <w:r>
              <w:rPr>
                <w:b/>
                <w:bCs/>
                <w:spacing w:val="6"/>
              </w:rPr>
              <w:t xml:space="preserve">  </w:t>
            </w:r>
            <w:r>
              <w:rPr>
                <w:b/>
                <w:bCs/>
                <w:spacing w:val="8"/>
              </w:rPr>
              <w:t>质</w:t>
            </w:r>
            <w:r>
              <w:rPr>
                <w:spacing w:val="8"/>
              </w:rPr>
              <w:t>进行会计处理</w:t>
            </w:r>
            <w:r>
              <w:rPr>
                <w:spacing w:val="-9"/>
              </w:rPr>
              <w:t xml:space="preserve"> </w:t>
            </w:r>
            <w:r>
              <w:rPr>
                <w:spacing w:val="8"/>
              </w:rPr>
              <w:t>，导致公司相关年度财务数据披露不准确；公</w:t>
            </w:r>
            <w:r>
              <w:rPr/>
              <w:t xml:space="preserve"> </w:t>
            </w:r>
            <w:r>
              <w:rPr>
                <w:spacing w:val="8"/>
              </w:rPr>
              <w:t>司违规</w:t>
            </w:r>
            <w:r>
              <w:rPr>
                <w:b/>
                <w:bCs/>
                <w:spacing w:val="8"/>
              </w:rPr>
              <w:t>使用个人银行账户</w:t>
            </w:r>
            <w:r>
              <w:rPr>
                <w:spacing w:val="8"/>
              </w:rPr>
              <w:t>开展资金收付</w:t>
            </w:r>
            <w:r>
              <w:rPr>
                <w:spacing w:val="-9"/>
              </w:rPr>
              <w:t xml:space="preserve"> </w:t>
            </w:r>
            <w:r>
              <w:rPr>
                <w:spacing w:val="8"/>
              </w:rPr>
              <w:t>，相关内部控制存在重</w:t>
            </w:r>
            <w:r>
              <w:rPr/>
              <w:t xml:space="preserve"> </w:t>
            </w:r>
            <w:r>
              <w:rPr>
                <w:spacing w:val="6"/>
              </w:rPr>
              <w:t>大缺陷</w:t>
            </w:r>
            <w:r>
              <w:rPr>
                <w:spacing w:val="-17"/>
              </w:rPr>
              <w:t xml:space="preserve"> </w:t>
            </w:r>
            <w:r>
              <w:rPr>
                <w:spacing w:val="6"/>
              </w:rPr>
              <w:t>，</w:t>
            </w:r>
            <w:r>
              <w:rPr>
                <w:spacing w:val="-35"/>
              </w:rPr>
              <w:t xml:space="preserve"> </w:t>
            </w:r>
            <w:r>
              <w:rPr>
                <w:b/>
                <w:bCs/>
                <w:spacing w:val="6"/>
              </w:rPr>
              <w:t>内部控制有关报告</w:t>
            </w:r>
            <w:r>
              <w:rPr>
                <w:spacing w:val="6"/>
              </w:rPr>
              <w:t>信息披露不准确。</w:t>
            </w:r>
          </w:p>
        </w:tc>
      </w:tr>
      <w:tr>
        <w:trPr>
          <w:trHeight w:val="724" w:hRule="atLeast"/>
        </w:trPr>
        <w:tc>
          <w:tcPr>
            <w:tcW w:w="8668" w:type="dxa"/>
            <w:vAlign w:val="top"/>
            <w:gridSpan w:val="3"/>
          </w:tcPr>
          <w:p>
            <w:pPr>
              <w:pStyle w:val="TableText"/>
              <w:ind w:left="104" w:right="106" w:firstLine="17"/>
              <w:spacing w:before="56" w:line="230" w:lineRule="auto"/>
              <w:rPr/>
            </w:pPr>
            <w:r>
              <w:rPr>
                <w:b/>
                <w:bCs/>
                <w:spacing w:val="11"/>
              </w:rPr>
              <w:t>【行政监管措施】</w:t>
            </w:r>
            <w:r>
              <w:rPr>
                <w:spacing w:val="11"/>
              </w:rPr>
              <w:t>中国证券监督管理委员会浙江监管局</w:t>
            </w:r>
            <w:r>
              <w:rPr>
                <w:spacing w:val="10"/>
              </w:rPr>
              <w:t>决定对浙江维康药业股份有限公司采</w:t>
            </w:r>
            <w:r>
              <w:rPr/>
              <w:t xml:space="preserve"> </w:t>
            </w:r>
            <w:r>
              <w:rPr>
                <w:spacing w:val="8"/>
              </w:rPr>
              <w:t>取责令改正并出具警示函的监督管理措施</w:t>
            </w:r>
            <w:r>
              <w:rPr>
                <w:spacing w:val="-10"/>
              </w:rPr>
              <w:t xml:space="preserve"> </w:t>
            </w:r>
            <w:r>
              <w:rPr>
                <w:spacing w:val="8"/>
              </w:rPr>
              <w:t>，并记入证券期货市场诚信档案。</w:t>
            </w:r>
          </w:p>
        </w:tc>
      </w:tr>
      <w:tr>
        <w:trPr>
          <w:trHeight w:val="364" w:hRule="atLeast"/>
        </w:trPr>
        <w:tc>
          <w:tcPr>
            <w:shd w:val="clear" w:fill="B8CCE4"/>
            <w:tcW w:w="1424" w:type="dxa"/>
            <w:vAlign w:val="top"/>
          </w:tcPr>
          <w:p>
            <w:pPr>
              <w:pStyle w:val="TableText"/>
              <w:ind w:left="346"/>
              <w:spacing w:before="113" w:line="168" w:lineRule="auto"/>
              <w:rPr/>
            </w:pPr>
            <w:r>
              <w:rPr>
                <w:spacing w:val="3"/>
              </w:rPr>
              <w:t>600711</w:t>
            </w:r>
          </w:p>
        </w:tc>
        <w:tc>
          <w:tcPr>
            <w:shd w:val="clear" w:fill="B8CCE4"/>
            <w:tcW w:w="1343" w:type="dxa"/>
            <w:vAlign w:val="top"/>
          </w:tcPr>
          <w:p>
            <w:pPr>
              <w:pStyle w:val="TableText"/>
              <w:ind w:left="244"/>
              <w:spacing w:before="100" w:line="177" w:lineRule="auto"/>
              <w:rPr/>
            </w:pPr>
            <w:r>
              <w:rPr>
                <w:spacing w:val="8"/>
              </w:rPr>
              <w:t>盛屯矿业</w:t>
            </w:r>
          </w:p>
        </w:tc>
        <w:tc>
          <w:tcPr>
            <w:shd w:val="clear" w:fill="B8CCE4"/>
            <w:tcW w:w="5901" w:type="dxa"/>
            <w:vAlign w:val="top"/>
          </w:tcPr>
          <w:p>
            <w:pPr>
              <w:pStyle w:val="TableText"/>
              <w:ind w:left="108"/>
              <w:spacing w:before="99" w:line="178" w:lineRule="auto"/>
              <w:rPr/>
            </w:pPr>
            <w:r>
              <w:rPr>
                <w:spacing w:val="7"/>
              </w:rPr>
              <w:t>2021年、</w:t>
            </w:r>
            <w:r>
              <w:rPr>
                <w:spacing w:val="-32"/>
              </w:rPr>
              <w:t xml:space="preserve"> </w:t>
            </w:r>
            <w:r>
              <w:rPr>
                <w:spacing w:val="7"/>
              </w:rPr>
              <w:t>2022年年度报告披露的有关</w:t>
            </w:r>
            <w:r>
              <w:rPr>
                <w:b/>
                <w:bCs/>
                <w:spacing w:val="7"/>
              </w:rPr>
              <w:t>财务信息不准确</w:t>
            </w:r>
            <w:r>
              <w:rPr>
                <w:spacing w:val="7"/>
              </w:rPr>
              <w:t>。</w:t>
            </w:r>
          </w:p>
        </w:tc>
      </w:tr>
      <w:tr>
        <w:trPr>
          <w:trHeight w:val="1084" w:hRule="atLeast"/>
        </w:trPr>
        <w:tc>
          <w:tcPr>
            <w:tcW w:w="8668" w:type="dxa"/>
            <w:vAlign w:val="top"/>
            <w:gridSpan w:val="3"/>
          </w:tcPr>
          <w:p>
            <w:pPr>
              <w:pStyle w:val="TableText"/>
              <w:ind w:left="104" w:right="106" w:firstLine="17"/>
              <w:spacing w:before="57" w:line="237" w:lineRule="auto"/>
              <w:jc w:val="both"/>
              <w:rPr/>
            </w:pPr>
            <w:r>
              <w:rPr>
                <w:b/>
                <w:bCs/>
                <w:spacing w:val="11"/>
              </w:rPr>
              <w:t>【行政监管措施】</w:t>
            </w:r>
            <w:r>
              <w:rPr>
                <w:spacing w:val="11"/>
              </w:rPr>
              <w:t>中国证券监督管理委员会厦门监管局</w:t>
            </w:r>
            <w:r>
              <w:rPr>
                <w:spacing w:val="10"/>
              </w:rPr>
              <w:t>决定对盛屯矿业集团股份有限公司采</w:t>
            </w:r>
            <w:r>
              <w:rPr/>
              <w:t xml:space="preserve"> </w:t>
            </w:r>
            <w:r>
              <w:rPr>
                <w:spacing w:val="10"/>
              </w:rPr>
              <w:t>取责令改正、</w:t>
            </w:r>
            <w:r>
              <w:rPr>
                <w:spacing w:val="-32"/>
              </w:rPr>
              <w:t xml:space="preserve"> </w:t>
            </w:r>
            <w:r>
              <w:rPr>
                <w:spacing w:val="10"/>
              </w:rPr>
              <w:t>出具警示函的行政监管措施</w:t>
            </w:r>
            <w:r>
              <w:rPr>
                <w:spacing w:val="-25"/>
              </w:rPr>
              <w:t xml:space="preserve"> </w:t>
            </w:r>
            <w:r>
              <w:rPr>
                <w:spacing w:val="10"/>
              </w:rPr>
              <w:t>，并</w:t>
            </w:r>
            <w:r>
              <w:rPr>
                <w:spacing w:val="9"/>
              </w:rPr>
              <w:t>根据《证券期货市场诚信监督管理办法》（证</w:t>
            </w:r>
            <w:r>
              <w:rPr/>
              <w:t xml:space="preserve"> </w:t>
            </w:r>
            <w:r>
              <w:rPr>
                <w:spacing w:val="8"/>
              </w:rPr>
              <w:t>监会令第166号）</w:t>
            </w:r>
            <w:r>
              <w:rPr>
                <w:spacing w:val="-36"/>
              </w:rPr>
              <w:t xml:space="preserve"> </w:t>
            </w:r>
            <w:r>
              <w:rPr>
                <w:spacing w:val="8"/>
              </w:rPr>
              <w:t>的规定将相关情况记入诚</w:t>
            </w:r>
            <w:r>
              <w:rPr>
                <w:spacing w:val="7"/>
              </w:rPr>
              <w:t>信档案。</w:t>
            </w:r>
          </w:p>
        </w:tc>
      </w:tr>
      <w:tr>
        <w:trPr>
          <w:trHeight w:val="364" w:hRule="atLeast"/>
        </w:trPr>
        <w:tc>
          <w:tcPr>
            <w:shd w:val="clear" w:fill="B8CCE4"/>
            <w:tcW w:w="1424" w:type="dxa"/>
            <w:vAlign w:val="top"/>
          </w:tcPr>
          <w:p>
            <w:pPr>
              <w:pStyle w:val="TableText"/>
              <w:ind w:left="348"/>
              <w:spacing w:before="119" w:line="164" w:lineRule="auto"/>
              <w:rPr/>
            </w:pPr>
            <w:r>
              <w:rPr>
                <w:spacing w:val="3"/>
              </w:rPr>
              <w:t>300076</w:t>
            </w:r>
          </w:p>
        </w:tc>
        <w:tc>
          <w:tcPr>
            <w:shd w:val="clear" w:fill="B8CCE4"/>
            <w:tcW w:w="1343" w:type="dxa"/>
            <w:vAlign w:val="top"/>
          </w:tcPr>
          <w:p>
            <w:pPr>
              <w:pStyle w:val="TableText"/>
              <w:ind w:left="233"/>
              <w:spacing w:before="108" w:line="172" w:lineRule="auto"/>
              <w:rPr/>
            </w:pPr>
            <w:r>
              <w:rPr/>
              <w:t>GQY</w:t>
            </w:r>
            <w:r>
              <w:rPr>
                <w:spacing w:val="14"/>
              </w:rPr>
              <w:t>视讯</w:t>
            </w:r>
          </w:p>
        </w:tc>
        <w:tc>
          <w:tcPr>
            <w:shd w:val="clear" w:fill="B8CCE4"/>
            <w:tcW w:w="5901" w:type="dxa"/>
            <w:vAlign w:val="top"/>
          </w:tcPr>
          <w:p>
            <w:pPr>
              <w:pStyle w:val="TableText"/>
              <w:ind w:left="109"/>
              <w:spacing w:before="106" w:line="173" w:lineRule="auto"/>
              <w:rPr/>
            </w:pPr>
            <w:r>
              <w:rPr>
                <w:spacing w:val="6"/>
              </w:rPr>
              <w:t>限制期减持股票。</w:t>
            </w:r>
          </w:p>
        </w:tc>
      </w:tr>
      <w:tr>
        <w:trPr>
          <w:trHeight w:val="725" w:hRule="atLeast"/>
        </w:trPr>
        <w:tc>
          <w:tcPr>
            <w:tcW w:w="8668" w:type="dxa"/>
            <w:vAlign w:val="top"/>
            <w:gridSpan w:val="3"/>
          </w:tcPr>
          <w:p>
            <w:pPr>
              <w:pStyle w:val="TableText"/>
              <w:ind w:left="104" w:right="106" w:firstLine="17"/>
              <w:spacing w:before="63" w:line="228" w:lineRule="auto"/>
              <w:rPr/>
            </w:pPr>
            <w:r>
              <w:rPr>
                <w:b/>
                <w:bCs/>
                <w:spacing w:val="11"/>
              </w:rPr>
              <w:t>【行政监管措施】</w:t>
            </w:r>
            <w:r>
              <w:rPr>
                <w:spacing w:val="11"/>
              </w:rPr>
              <w:t>中国证券监督管理委员会宁波监管局</w:t>
            </w:r>
            <w:r>
              <w:rPr>
                <w:spacing w:val="10"/>
              </w:rPr>
              <w:t>决定对股东郭某寅采取责令改正的行</w:t>
            </w:r>
            <w:r>
              <w:rPr/>
              <w:t xml:space="preserve"> </w:t>
            </w:r>
            <w:r>
              <w:rPr>
                <w:spacing w:val="7"/>
              </w:rPr>
              <w:t>政监管措施</w:t>
            </w:r>
            <w:r>
              <w:rPr>
                <w:spacing w:val="-15"/>
              </w:rPr>
              <w:t xml:space="preserve"> </w:t>
            </w:r>
            <w:r>
              <w:rPr>
                <w:spacing w:val="7"/>
              </w:rPr>
              <w:t>，并记入证券期货市场诚信档案。</w:t>
            </w:r>
          </w:p>
        </w:tc>
      </w:tr>
      <w:tr>
        <w:trPr>
          <w:trHeight w:val="364" w:hRule="atLeast"/>
        </w:trPr>
        <w:tc>
          <w:tcPr>
            <w:shd w:val="clear" w:fill="B8CCE4"/>
            <w:tcW w:w="1424" w:type="dxa"/>
            <w:vAlign w:val="top"/>
          </w:tcPr>
          <w:p>
            <w:pPr>
              <w:pStyle w:val="TableText"/>
              <w:ind w:left="346"/>
              <w:spacing w:before="119" w:line="164" w:lineRule="auto"/>
              <w:rPr/>
            </w:pPr>
            <w:r>
              <w:rPr>
                <w:spacing w:val="3"/>
              </w:rPr>
              <w:t>600362</w:t>
            </w:r>
          </w:p>
        </w:tc>
        <w:tc>
          <w:tcPr>
            <w:shd w:val="clear" w:fill="B8CCE4"/>
            <w:tcW w:w="1343" w:type="dxa"/>
            <w:vAlign w:val="top"/>
          </w:tcPr>
          <w:p>
            <w:pPr>
              <w:pStyle w:val="TableText"/>
              <w:ind w:left="242"/>
              <w:spacing w:before="106" w:line="173" w:lineRule="auto"/>
              <w:rPr/>
            </w:pPr>
            <w:r>
              <w:rPr>
                <w:spacing w:val="8"/>
              </w:rPr>
              <w:t>江西铜业</w:t>
            </w:r>
          </w:p>
        </w:tc>
        <w:tc>
          <w:tcPr>
            <w:shd w:val="clear" w:fill="B8CCE4"/>
            <w:tcW w:w="5901" w:type="dxa"/>
            <w:vAlign w:val="top"/>
          </w:tcPr>
          <w:p>
            <w:pPr>
              <w:pStyle w:val="TableText"/>
              <w:ind w:left="99"/>
              <w:spacing w:before="105" w:line="174" w:lineRule="auto"/>
              <w:rPr/>
            </w:pPr>
            <w:r>
              <w:rPr>
                <w:spacing w:val="9"/>
              </w:rPr>
              <w:t>江西铜业股份有限公司尚未完成</w:t>
            </w:r>
            <w:r>
              <w:rPr>
                <w:b/>
                <w:bCs/>
                <w:spacing w:val="9"/>
              </w:rPr>
              <w:t>同业竞争承诺</w:t>
            </w:r>
            <w:r>
              <w:rPr>
                <w:spacing w:val="9"/>
              </w:rPr>
              <w:t>事项。</w:t>
            </w:r>
          </w:p>
        </w:tc>
      </w:tr>
      <w:tr>
        <w:trPr>
          <w:trHeight w:val="724" w:hRule="atLeast"/>
        </w:trPr>
        <w:tc>
          <w:tcPr>
            <w:tcW w:w="8668" w:type="dxa"/>
            <w:vAlign w:val="top"/>
            <w:gridSpan w:val="3"/>
          </w:tcPr>
          <w:p>
            <w:pPr>
              <w:pStyle w:val="TableText"/>
              <w:ind w:left="103" w:right="106" w:firstLine="17"/>
              <w:spacing w:before="64" w:line="227" w:lineRule="auto"/>
              <w:rPr/>
            </w:pPr>
            <w:r>
              <w:rPr>
                <w:b/>
                <w:bCs/>
                <w:spacing w:val="11"/>
              </w:rPr>
              <w:t>【行政监管措施】</w:t>
            </w:r>
            <w:r>
              <w:rPr>
                <w:spacing w:val="11"/>
              </w:rPr>
              <w:t>中国证券监督管理委员会山东监管局</w:t>
            </w:r>
            <w:r>
              <w:rPr>
                <w:spacing w:val="10"/>
              </w:rPr>
              <w:t>决定对江西铜业股份有限公司采取责</w:t>
            </w:r>
            <w:r>
              <w:rPr/>
              <w:t xml:space="preserve"> </w:t>
            </w:r>
            <w:r>
              <w:rPr>
                <w:spacing w:val="8"/>
              </w:rPr>
              <w:t>令改正的行政监管措施</w:t>
            </w:r>
            <w:r>
              <w:rPr>
                <w:spacing w:val="-18"/>
              </w:rPr>
              <w:t xml:space="preserve"> </w:t>
            </w:r>
            <w:r>
              <w:rPr>
                <w:spacing w:val="8"/>
              </w:rPr>
              <w:t>，并记入证券期货市场诚信档案数据库。</w:t>
            </w:r>
          </w:p>
        </w:tc>
      </w:tr>
      <w:tr>
        <w:trPr>
          <w:trHeight w:val="373" w:hRule="atLeast"/>
        </w:trPr>
        <w:tc>
          <w:tcPr>
            <w:shd w:val="clear" w:fill="B8CCE4"/>
            <w:tcW w:w="1424" w:type="dxa"/>
            <w:vAlign w:val="top"/>
          </w:tcPr>
          <w:p>
            <w:pPr>
              <w:pStyle w:val="TableText"/>
              <w:ind w:left="346"/>
              <w:spacing w:before="121" w:line="169" w:lineRule="auto"/>
              <w:rPr/>
            </w:pPr>
            <w:r>
              <w:rPr>
                <w:spacing w:val="3"/>
              </w:rPr>
              <w:t>600227</w:t>
            </w:r>
          </w:p>
        </w:tc>
        <w:tc>
          <w:tcPr>
            <w:shd w:val="clear" w:fill="B8CCE4"/>
            <w:tcW w:w="1343" w:type="dxa"/>
            <w:vAlign w:val="top"/>
          </w:tcPr>
          <w:p>
            <w:pPr>
              <w:pStyle w:val="TableText"/>
              <w:ind w:left="347"/>
              <w:spacing w:before="108" w:line="178" w:lineRule="auto"/>
              <w:rPr/>
            </w:pPr>
            <w:r>
              <w:rPr>
                <w:spacing w:val="8"/>
              </w:rPr>
              <w:t>赤天化</w:t>
            </w:r>
          </w:p>
        </w:tc>
        <w:tc>
          <w:tcPr>
            <w:shd w:val="clear" w:fill="B8CCE4"/>
            <w:tcW w:w="5901" w:type="dxa"/>
            <w:vAlign w:val="top"/>
          </w:tcPr>
          <w:p>
            <w:pPr>
              <w:pStyle w:val="TableText"/>
              <w:ind w:left="100"/>
              <w:spacing w:before="105" w:line="180" w:lineRule="auto"/>
              <w:rPr/>
            </w:pPr>
            <w:r>
              <w:rPr>
                <w:spacing w:val="8"/>
              </w:rPr>
              <w:t>贵州渔阳贸易有限公司未完成2018年的</w:t>
            </w:r>
            <w:r>
              <w:rPr>
                <w:b/>
                <w:bCs/>
                <w:spacing w:val="8"/>
              </w:rPr>
              <w:t>业绩补偿</w:t>
            </w:r>
            <w:r>
              <w:rPr>
                <w:spacing w:val="8"/>
              </w:rPr>
              <w:t>。</w:t>
            </w:r>
          </w:p>
        </w:tc>
      </w:tr>
    </w:tbl>
    <w:p>
      <w:pPr>
        <w:pStyle w:val="BodyText"/>
        <w:spacing w:line="14" w:lineRule="auto"/>
        <w:rPr>
          <w:sz w:val="2"/>
        </w:rPr>
      </w:pPr>
      <w:r/>
    </w:p>
    <w:p>
      <w:pPr>
        <w:spacing w:line="14" w:lineRule="auto"/>
        <w:sectPr>
          <w:pgSz w:w="11910" w:h="16840"/>
          <w:pgMar w:top="400" w:right="1622" w:bottom="48" w:left="1604" w:header="0" w:footer="0" w:gutter="0"/>
        </w:sectPr>
        <w:rPr>
          <w:sz w:val="2"/>
          <w:szCs w:val="2"/>
        </w:rPr>
      </w:pPr>
    </w:p>
    <w:tbl>
      <w:tblPr>
        <w:tblStyle w:val="TableNormal"/>
        <w:tblW w:w="8668"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424"/>
        <w:gridCol w:w="1343"/>
        <w:gridCol w:w="5901"/>
      </w:tblGrid>
      <w:tr>
        <w:trPr>
          <w:trHeight w:val="744" w:hRule="atLeast"/>
        </w:trPr>
        <w:tc>
          <w:tcPr>
            <w:tcW w:w="8668" w:type="dxa"/>
            <w:vAlign w:val="top"/>
            <w:gridSpan w:val="3"/>
            <w:tcBorders>
              <w:top w:val="single" w:color="4F81BD" w:sz="2" w:space="0"/>
            </w:tcBorders>
          </w:tcPr>
          <w:p>
            <w:pPr>
              <w:pStyle w:val="TableText"/>
              <w:ind w:left="103" w:right="106" w:firstLine="17"/>
              <w:spacing w:before="58" w:line="236" w:lineRule="auto"/>
              <w:rPr/>
            </w:pPr>
            <w:r>
              <w:rPr>
                <w:b/>
                <w:bCs/>
                <w:spacing w:val="11"/>
              </w:rPr>
              <w:t>【行政监管措施】</w:t>
            </w:r>
            <w:r>
              <w:rPr>
                <w:spacing w:val="11"/>
              </w:rPr>
              <w:t>中国证券监督管理委员会贵州监管局</w:t>
            </w:r>
            <w:r>
              <w:rPr>
                <w:spacing w:val="10"/>
              </w:rPr>
              <w:t>决定对贵州渔阳贸易有限公司采取责</w:t>
            </w:r>
            <w:r>
              <w:rPr/>
              <w:t xml:space="preserve"> </w:t>
            </w:r>
            <w:r>
              <w:rPr>
                <w:spacing w:val="9"/>
              </w:rPr>
              <w:t>令改正的监督管理措施,并记入证券期货市场诚信档案。</w:t>
            </w:r>
          </w:p>
        </w:tc>
      </w:tr>
      <w:tr>
        <w:trPr>
          <w:trHeight w:val="3315" w:hRule="atLeast"/>
        </w:trPr>
        <w:tc>
          <w:tcPr>
            <w:shd w:val="clear" w:fill="B8CCE4"/>
            <w:tcW w:w="1424"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pStyle w:val="TableText"/>
              <w:ind w:left="346"/>
              <w:spacing w:before="85" w:line="179" w:lineRule="auto"/>
              <w:rPr/>
            </w:pPr>
            <w:r>
              <w:rPr>
                <w:spacing w:val="3"/>
              </w:rPr>
              <w:t>601375</w:t>
            </w:r>
          </w:p>
        </w:tc>
        <w:tc>
          <w:tcPr>
            <w:shd w:val="clear" w:fill="B8CCE4"/>
            <w:tcW w:w="1343"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256"/>
              <w:spacing w:before="85" w:line="189" w:lineRule="auto"/>
              <w:rPr/>
            </w:pPr>
            <w:r>
              <w:rPr>
                <w:spacing w:val="5"/>
              </w:rPr>
              <w:t>中原证券</w:t>
            </w:r>
          </w:p>
        </w:tc>
        <w:tc>
          <w:tcPr>
            <w:shd w:val="clear" w:fill="B8CCE4"/>
            <w:tcW w:w="5901" w:type="dxa"/>
            <w:vAlign w:val="top"/>
          </w:tcPr>
          <w:p>
            <w:pPr>
              <w:pStyle w:val="TableText"/>
              <w:ind w:left="98" w:right="120" w:firstLine="1"/>
              <w:spacing w:before="152" w:line="245" w:lineRule="auto"/>
              <w:rPr/>
            </w:pPr>
            <w:r>
              <w:rPr>
                <w:spacing w:val="10"/>
              </w:rPr>
              <w:t>合规管理和风险管理不到位。未制定母子公司统一</w:t>
            </w:r>
            <w:r>
              <w:rPr>
                <w:spacing w:val="9"/>
              </w:rPr>
              <w:t>授信管理制</w:t>
            </w:r>
            <w:r>
              <w:rPr/>
              <w:t xml:space="preserve"> </w:t>
            </w:r>
            <w:r>
              <w:rPr>
                <w:spacing w:val="9"/>
              </w:rPr>
              <w:t>度</w:t>
            </w:r>
            <w:r>
              <w:rPr>
                <w:spacing w:val="-28"/>
              </w:rPr>
              <w:t xml:space="preserve"> </w:t>
            </w:r>
            <w:r>
              <w:rPr>
                <w:spacing w:val="9"/>
              </w:rPr>
              <w:t>，未对个别重大投资项目风险进行审慎评</w:t>
            </w:r>
            <w:r>
              <w:rPr>
                <w:spacing w:val="8"/>
              </w:rPr>
              <w:t>估。对境外子公司</w:t>
            </w:r>
            <w:r>
              <w:rPr/>
              <w:t xml:space="preserve"> </w:t>
            </w:r>
            <w:r>
              <w:rPr>
                <w:spacing w:val="9"/>
              </w:rPr>
              <w:t>、另类子公司合规风险管控不到位</w:t>
            </w:r>
            <w:r>
              <w:rPr>
                <w:spacing w:val="-28"/>
              </w:rPr>
              <w:t xml:space="preserve"> </w:t>
            </w:r>
            <w:r>
              <w:rPr>
                <w:spacing w:val="9"/>
              </w:rPr>
              <w:t>，未有效</w:t>
            </w:r>
            <w:r>
              <w:rPr>
                <w:spacing w:val="8"/>
              </w:rPr>
              <w:t>强化合规风险管理</w:t>
            </w:r>
            <w:r>
              <w:rPr/>
              <w:t xml:space="preserve"> </w:t>
            </w:r>
            <w:r>
              <w:rPr>
                <w:spacing w:val="8"/>
              </w:rPr>
              <w:t>;  开展股票质押业务时</w:t>
            </w:r>
            <w:r>
              <w:rPr>
                <w:spacing w:val="-26"/>
              </w:rPr>
              <w:t xml:space="preserve"> </w:t>
            </w:r>
            <w:r>
              <w:rPr>
                <w:spacing w:val="8"/>
              </w:rPr>
              <w:t>，风险管理不审慎、</w:t>
            </w:r>
            <w:r>
              <w:rPr>
                <w:spacing w:val="-32"/>
              </w:rPr>
              <w:t xml:space="preserve"> </w:t>
            </w:r>
            <w:r>
              <w:rPr>
                <w:spacing w:val="8"/>
              </w:rPr>
              <w:t>内控管理</w:t>
            </w:r>
            <w:r>
              <w:rPr>
                <w:spacing w:val="7"/>
              </w:rPr>
              <w:t>不到位；</w:t>
            </w:r>
            <w:r>
              <w:rPr/>
              <w:t xml:space="preserve"> </w:t>
            </w:r>
            <w:r>
              <w:rPr>
                <w:spacing w:val="9"/>
              </w:rPr>
              <w:t>健全合规风控制度前实质开展债券销售业务</w:t>
            </w:r>
            <w:r>
              <w:rPr>
                <w:spacing w:val="-28"/>
              </w:rPr>
              <w:t xml:space="preserve"> </w:t>
            </w:r>
            <w:r>
              <w:rPr>
                <w:spacing w:val="8"/>
              </w:rPr>
              <w:t>，收取发行人票面</w:t>
            </w:r>
            <w:r>
              <w:rPr/>
              <w:t xml:space="preserve"> </w:t>
            </w:r>
            <w:r>
              <w:rPr>
                <w:spacing w:val="8"/>
              </w:rPr>
              <w:t>利息补差费用</w:t>
            </w:r>
            <w:r>
              <w:rPr>
                <w:spacing w:val="-9"/>
              </w:rPr>
              <w:t xml:space="preserve"> </w:t>
            </w:r>
            <w:r>
              <w:rPr>
                <w:spacing w:val="8"/>
              </w:rPr>
              <w:t>，为他人规避监管提供便利；从业人员兼职管理</w:t>
            </w:r>
            <w:r>
              <w:rPr/>
              <w:t xml:space="preserve"> </w:t>
            </w:r>
            <w:r>
              <w:rPr>
                <w:spacing w:val="7"/>
              </w:rPr>
              <w:t>不到位</w:t>
            </w:r>
            <w:r>
              <w:rPr>
                <w:spacing w:val="-16"/>
              </w:rPr>
              <w:t xml:space="preserve"> </w:t>
            </w:r>
            <w:r>
              <w:rPr>
                <w:spacing w:val="7"/>
              </w:rPr>
              <w:t>，员工投资行为管控存在薄弱环节</w:t>
            </w:r>
            <w:r>
              <w:rPr>
                <w:spacing w:val="-25"/>
              </w:rPr>
              <w:t xml:space="preserve"> </w:t>
            </w:r>
            <w:r>
              <w:rPr>
                <w:spacing w:val="7"/>
              </w:rPr>
              <w:t>，防范员工代客理财</w:t>
            </w:r>
            <w:r>
              <w:rPr/>
              <w:t xml:space="preserve"> </w:t>
            </w:r>
            <w:r>
              <w:rPr>
                <w:spacing w:val="9"/>
              </w:rPr>
              <w:t>行为管控机制不完善；廉洁从业事前管控不</w:t>
            </w:r>
            <w:r>
              <w:rPr>
                <w:spacing w:val="8"/>
              </w:rPr>
              <w:t>到位</w:t>
            </w:r>
            <w:r>
              <w:rPr>
                <w:spacing w:val="-28"/>
              </w:rPr>
              <w:t xml:space="preserve"> </w:t>
            </w:r>
            <w:r>
              <w:rPr>
                <w:spacing w:val="8"/>
              </w:rPr>
              <w:t>，个别岗位人</w:t>
            </w:r>
            <w:r>
              <w:rPr/>
              <w:t xml:space="preserve"> </w:t>
            </w:r>
            <w:r>
              <w:rPr>
                <w:spacing w:val="8"/>
              </w:rPr>
              <w:t>员发生廉洁从业风险事件。</w:t>
            </w:r>
          </w:p>
        </w:tc>
      </w:tr>
      <w:tr>
        <w:trPr>
          <w:trHeight w:val="725" w:hRule="atLeast"/>
        </w:trPr>
        <w:tc>
          <w:tcPr>
            <w:tcW w:w="8668" w:type="dxa"/>
            <w:vAlign w:val="top"/>
            <w:gridSpan w:val="3"/>
          </w:tcPr>
          <w:p>
            <w:pPr>
              <w:pStyle w:val="TableText"/>
              <w:ind w:left="103" w:right="106" w:firstLine="17"/>
              <w:spacing w:before="42" w:line="235" w:lineRule="auto"/>
              <w:rPr/>
            </w:pPr>
            <w:r>
              <w:rPr>
                <w:b/>
                <w:bCs/>
                <w:spacing w:val="11"/>
              </w:rPr>
              <w:t>【行政监管措施】</w:t>
            </w:r>
            <w:r>
              <w:rPr>
                <w:spacing w:val="11"/>
              </w:rPr>
              <w:t>中国证券监督管理委员会河南监管局</w:t>
            </w:r>
            <w:r>
              <w:rPr>
                <w:spacing w:val="10"/>
              </w:rPr>
              <w:t>决定对中原证券股份有限公司实施责</w:t>
            </w:r>
            <w:r>
              <w:rPr/>
              <w:t xml:space="preserve"> </w:t>
            </w:r>
            <w:r>
              <w:rPr>
                <w:spacing w:val="8"/>
              </w:rPr>
              <w:t>令改正的监督管理措施。</w:t>
            </w:r>
          </w:p>
        </w:tc>
      </w:tr>
      <w:tr>
        <w:trPr>
          <w:trHeight w:val="1085" w:hRule="atLeast"/>
        </w:trPr>
        <w:tc>
          <w:tcPr>
            <w:shd w:val="clear" w:fill="B8CCE4"/>
            <w:tcW w:w="1424" w:type="dxa"/>
            <w:vAlign w:val="top"/>
          </w:tcPr>
          <w:p>
            <w:pPr>
              <w:spacing w:line="372" w:lineRule="auto"/>
              <w:rPr>
                <w:rFonts w:ascii="Arial"/>
                <w:sz w:val="21"/>
              </w:rPr>
            </w:pPr>
            <w:r/>
          </w:p>
          <w:p>
            <w:pPr>
              <w:pStyle w:val="TableText"/>
              <w:ind w:left="346"/>
              <w:spacing w:before="86" w:line="178" w:lineRule="auto"/>
              <w:rPr/>
            </w:pPr>
            <w:r>
              <w:rPr>
                <w:spacing w:val="3"/>
              </w:rPr>
              <w:t>603458</w:t>
            </w:r>
          </w:p>
        </w:tc>
        <w:tc>
          <w:tcPr>
            <w:shd w:val="clear" w:fill="B8CCE4"/>
            <w:tcW w:w="1343" w:type="dxa"/>
            <w:vAlign w:val="top"/>
          </w:tcPr>
          <w:p>
            <w:pPr>
              <w:spacing w:line="359" w:lineRule="auto"/>
              <w:rPr>
                <w:rFonts w:ascii="Arial"/>
                <w:sz w:val="21"/>
              </w:rPr>
            </w:pPr>
            <w:r/>
          </w:p>
          <w:p>
            <w:pPr>
              <w:pStyle w:val="TableText"/>
              <w:ind w:left="244"/>
              <w:spacing w:before="85" w:line="188" w:lineRule="auto"/>
              <w:rPr/>
            </w:pPr>
            <w:r>
              <w:rPr>
                <w:spacing w:val="8"/>
              </w:rPr>
              <w:t>勘设股份</w:t>
            </w:r>
          </w:p>
        </w:tc>
        <w:tc>
          <w:tcPr>
            <w:shd w:val="clear" w:fill="B8CCE4"/>
            <w:tcW w:w="5901" w:type="dxa"/>
            <w:vAlign w:val="top"/>
          </w:tcPr>
          <w:p>
            <w:pPr>
              <w:pStyle w:val="TableText"/>
              <w:ind w:left="98" w:right="103" w:firstLine="1"/>
              <w:spacing w:before="84" w:line="231" w:lineRule="auto"/>
              <w:jc w:val="both"/>
              <w:rPr/>
            </w:pPr>
            <w:r>
              <w:rPr>
                <w:spacing w:val="10"/>
              </w:rPr>
              <w:t>贵州省交通规划勘察设计研究院股份有限公司在</w:t>
            </w:r>
            <w:r>
              <w:rPr>
                <w:b/>
                <w:bCs/>
                <w:spacing w:val="10"/>
              </w:rPr>
              <w:t>确认部分业务</w:t>
            </w:r>
            <w:r>
              <w:rPr>
                <w:b/>
                <w:bCs/>
                <w:spacing w:val="11"/>
              </w:rPr>
              <w:t xml:space="preserve"> </w:t>
            </w:r>
            <w:r>
              <w:rPr>
                <w:b/>
                <w:bCs/>
                <w:spacing w:val="9"/>
              </w:rPr>
              <w:t>收入成本时存在跨期</w:t>
            </w:r>
            <w:r>
              <w:rPr>
                <w:spacing w:val="9"/>
              </w:rPr>
              <w:t>,导致公司2022年年报、</w:t>
            </w:r>
            <w:r>
              <w:rPr>
                <w:spacing w:val="-39"/>
              </w:rPr>
              <w:t xml:space="preserve"> </w:t>
            </w:r>
            <w:r>
              <w:rPr>
                <w:spacing w:val="9"/>
              </w:rPr>
              <w:t>202</w:t>
            </w:r>
            <w:r>
              <w:rPr>
                <w:spacing w:val="8"/>
              </w:rPr>
              <w:t>3年半年报信</w:t>
            </w:r>
            <w:r>
              <w:rPr/>
              <w:t xml:space="preserve"> </w:t>
            </w:r>
            <w:r>
              <w:rPr>
                <w:spacing w:val="7"/>
              </w:rPr>
              <w:t>息披露不准确。</w:t>
            </w:r>
          </w:p>
        </w:tc>
      </w:tr>
      <w:tr>
        <w:trPr>
          <w:trHeight w:val="724" w:hRule="atLeast"/>
        </w:trPr>
        <w:tc>
          <w:tcPr>
            <w:tcW w:w="8668" w:type="dxa"/>
            <w:vAlign w:val="top"/>
            <w:gridSpan w:val="3"/>
          </w:tcPr>
          <w:p>
            <w:pPr>
              <w:pStyle w:val="TableText"/>
              <w:ind w:left="114" w:right="106" w:firstLine="6"/>
              <w:spacing w:before="44" w:line="234" w:lineRule="auto"/>
              <w:rPr/>
            </w:pPr>
            <w:r>
              <w:rPr>
                <w:b/>
                <w:bCs/>
                <w:spacing w:val="11"/>
              </w:rPr>
              <w:t>【行政监管措施】</w:t>
            </w:r>
            <w:r>
              <w:rPr>
                <w:spacing w:val="11"/>
              </w:rPr>
              <w:t>中国证券监督管理委员会贵州监管局</w:t>
            </w:r>
            <w:r>
              <w:rPr>
                <w:spacing w:val="10"/>
              </w:rPr>
              <w:t>决定对贵州省交通规划勘察设计研究</w:t>
            </w:r>
            <w:r>
              <w:rPr/>
              <w:t xml:space="preserve"> </w:t>
            </w:r>
            <w:r>
              <w:rPr>
                <w:spacing w:val="9"/>
              </w:rPr>
              <w:t>院股份有限公司采取责令改正的监督管理措施,并记入证券期货市场诚信档案。</w:t>
            </w:r>
          </w:p>
        </w:tc>
      </w:tr>
      <w:tr>
        <w:trPr>
          <w:trHeight w:val="364" w:hRule="atLeast"/>
        </w:trPr>
        <w:tc>
          <w:tcPr>
            <w:shd w:val="clear" w:fill="B8CCE4"/>
            <w:tcW w:w="1424" w:type="dxa"/>
            <w:vAlign w:val="top"/>
          </w:tcPr>
          <w:p>
            <w:pPr>
              <w:pStyle w:val="TableText"/>
              <w:ind w:left="348"/>
              <w:spacing w:before="100" w:line="177" w:lineRule="auto"/>
              <w:rPr/>
            </w:pPr>
            <w:r>
              <w:rPr>
                <w:spacing w:val="3"/>
              </w:rPr>
              <w:t>300620</w:t>
            </w:r>
          </w:p>
        </w:tc>
        <w:tc>
          <w:tcPr>
            <w:shd w:val="clear" w:fill="B8CCE4"/>
            <w:tcW w:w="1343" w:type="dxa"/>
            <w:vAlign w:val="top"/>
          </w:tcPr>
          <w:p>
            <w:pPr>
              <w:pStyle w:val="TableText"/>
              <w:ind w:left="241"/>
              <w:spacing w:before="85" w:line="188" w:lineRule="auto"/>
              <w:rPr/>
            </w:pPr>
            <w:r>
              <w:rPr>
                <w:spacing w:val="9"/>
              </w:rPr>
              <w:t>光库科技</w:t>
            </w:r>
          </w:p>
        </w:tc>
        <w:tc>
          <w:tcPr>
            <w:shd w:val="clear" w:fill="B8CCE4"/>
            <w:tcW w:w="5901" w:type="dxa"/>
            <w:vAlign w:val="top"/>
          </w:tcPr>
          <w:p>
            <w:pPr>
              <w:pStyle w:val="TableText"/>
              <w:ind w:left="108"/>
              <w:spacing w:before="85" w:line="188" w:lineRule="auto"/>
              <w:rPr/>
            </w:pPr>
            <w:r>
              <w:rPr>
                <w:spacing w:val="7"/>
              </w:rPr>
              <w:t>时任高管减持</w:t>
            </w:r>
            <w:r>
              <w:rPr>
                <w:b/>
                <w:bCs/>
                <w:spacing w:val="7"/>
              </w:rPr>
              <w:t>未预披露。</w:t>
            </w:r>
          </w:p>
        </w:tc>
      </w:tr>
      <w:tr>
        <w:trPr>
          <w:trHeight w:val="725" w:hRule="atLeast"/>
        </w:trPr>
        <w:tc>
          <w:tcPr>
            <w:tcW w:w="8668" w:type="dxa"/>
            <w:vAlign w:val="top"/>
            <w:gridSpan w:val="3"/>
          </w:tcPr>
          <w:p>
            <w:pPr>
              <w:pStyle w:val="TableText"/>
              <w:ind w:left="108" w:right="105" w:firstLine="12"/>
              <w:spacing w:before="45" w:line="234" w:lineRule="auto"/>
              <w:rPr/>
            </w:pPr>
            <w:r>
              <w:rPr>
                <w:b/>
                <w:bCs/>
                <w:spacing w:val="15"/>
              </w:rPr>
              <w:t>【行政监管措施】</w:t>
            </w:r>
            <w:r>
              <w:rPr>
                <w:spacing w:val="15"/>
              </w:rPr>
              <w:t>中国证券监督管理委员会广东监管局决定对时任高管</w:t>
            </w:r>
            <w:r>
              <w:rPr/>
              <w:t>HE</w:t>
            </w:r>
            <w:r>
              <w:rPr>
                <w:spacing w:val="15"/>
              </w:rPr>
              <w:t xml:space="preserve"> **</w:t>
            </w:r>
            <w:r>
              <w:rPr/>
              <w:t>XIN</w:t>
            </w:r>
            <w:r>
              <w:rPr>
                <w:spacing w:val="15"/>
              </w:rPr>
              <w:t>采取</w:t>
            </w:r>
            <w:r>
              <w:rPr>
                <w:spacing w:val="14"/>
              </w:rPr>
              <w:t>责令</w:t>
            </w:r>
            <w:r>
              <w:rPr/>
              <w:t xml:space="preserve"> </w:t>
            </w:r>
            <w:r>
              <w:rPr>
                <w:spacing w:val="8"/>
              </w:rPr>
              <w:t>改正的行政监管措施。</w:t>
            </w:r>
          </w:p>
        </w:tc>
      </w:tr>
      <w:tr>
        <w:trPr>
          <w:trHeight w:val="365" w:hRule="atLeast"/>
        </w:trPr>
        <w:tc>
          <w:tcPr>
            <w:shd w:val="clear" w:fill="B8CCE4"/>
            <w:tcW w:w="1424" w:type="dxa"/>
            <w:vAlign w:val="top"/>
          </w:tcPr>
          <w:p>
            <w:pPr>
              <w:pStyle w:val="TableText"/>
              <w:ind w:left="348"/>
              <w:spacing w:before="106" w:line="174" w:lineRule="auto"/>
              <w:rPr/>
            </w:pPr>
            <w:r>
              <w:rPr>
                <w:spacing w:val="3"/>
              </w:rPr>
              <w:t>300742</w:t>
            </w:r>
          </w:p>
        </w:tc>
        <w:tc>
          <w:tcPr>
            <w:shd w:val="clear" w:fill="B8CCE4"/>
            <w:tcW w:w="1343" w:type="dxa"/>
            <w:vAlign w:val="top"/>
          </w:tcPr>
          <w:p>
            <w:pPr>
              <w:pStyle w:val="TableText"/>
              <w:ind w:left="288"/>
              <w:spacing w:before="91" w:line="184" w:lineRule="auto"/>
              <w:rPr/>
            </w:pPr>
            <w:r>
              <w:rPr>
                <w:spacing w:val="8"/>
              </w:rPr>
              <w:t>*</w:t>
            </w:r>
            <w:r>
              <w:rPr/>
              <w:t>ST</w:t>
            </w:r>
            <w:r>
              <w:rPr>
                <w:spacing w:val="8"/>
              </w:rPr>
              <w:t>越博</w:t>
            </w:r>
          </w:p>
        </w:tc>
        <w:tc>
          <w:tcPr>
            <w:shd w:val="clear" w:fill="B8CCE4"/>
            <w:tcW w:w="5901" w:type="dxa"/>
            <w:vAlign w:val="top"/>
          </w:tcPr>
          <w:p>
            <w:pPr>
              <w:pStyle w:val="TableText"/>
              <w:ind w:left="101"/>
              <w:spacing w:before="90" w:line="185" w:lineRule="auto"/>
              <w:rPr/>
            </w:pPr>
            <w:r>
              <w:rPr>
                <w:b/>
                <w:bCs/>
                <w:spacing w:val="8"/>
              </w:rPr>
              <w:t>年审会计师</w:t>
            </w:r>
            <w:r>
              <w:rPr>
                <w:spacing w:val="8"/>
              </w:rPr>
              <w:t>辞任未及时披露。</w:t>
            </w:r>
          </w:p>
        </w:tc>
      </w:tr>
      <w:tr>
        <w:trPr>
          <w:trHeight w:val="1084" w:hRule="atLeast"/>
        </w:trPr>
        <w:tc>
          <w:tcPr>
            <w:tcW w:w="8668" w:type="dxa"/>
            <w:vAlign w:val="top"/>
            <w:gridSpan w:val="3"/>
          </w:tcPr>
          <w:p>
            <w:pPr>
              <w:pStyle w:val="TableText"/>
              <w:ind w:left="104" w:right="105" w:firstLine="17"/>
              <w:spacing w:before="48" w:line="239" w:lineRule="auto"/>
              <w:jc w:val="both"/>
              <w:rPr/>
            </w:pPr>
            <w:r>
              <w:rPr>
                <w:b/>
                <w:bCs/>
                <w:spacing w:val="13"/>
              </w:rPr>
              <w:t>【行政监管措施】</w:t>
            </w:r>
            <w:r>
              <w:rPr>
                <w:spacing w:val="13"/>
              </w:rPr>
              <w:t>中国证券监督管理委员会江苏监管局决定对*</w:t>
            </w:r>
            <w:r>
              <w:rPr/>
              <w:t>ST</w:t>
            </w:r>
            <w:r>
              <w:rPr>
                <w:spacing w:val="13"/>
              </w:rPr>
              <w:t>越博采取责令改</w:t>
            </w:r>
            <w:r>
              <w:rPr>
                <w:spacing w:val="12"/>
              </w:rPr>
              <w:t>正的行政</w:t>
            </w:r>
            <w:r>
              <w:rPr/>
              <w:t xml:space="preserve"> </w:t>
            </w:r>
            <w:r>
              <w:rPr>
                <w:spacing w:val="12"/>
              </w:rPr>
              <w:t>监管措施,对时任董事长,时任董秘贺某、董事会秘书,董事长李某采取出具警</w:t>
            </w:r>
            <w:r>
              <w:rPr>
                <w:spacing w:val="11"/>
              </w:rPr>
              <w:t>示函的行政监管</w:t>
            </w:r>
            <w:r>
              <w:rPr/>
              <w:t xml:space="preserve"> </w:t>
            </w:r>
            <w:r>
              <w:rPr>
                <w:spacing w:val="8"/>
              </w:rPr>
              <w:t>措施,并记入证券期货市场诚信档案。</w:t>
            </w:r>
          </w:p>
        </w:tc>
      </w:tr>
      <w:tr>
        <w:trPr>
          <w:trHeight w:val="1085" w:hRule="atLeast"/>
        </w:trPr>
        <w:tc>
          <w:tcPr>
            <w:shd w:val="clear" w:fill="B8CCE4"/>
            <w:tcW w:w="1424" w:type="dxa"/>
            <w:vAlign w:val="top"/>
          </w:tcPr>
          <w:p>
            <w:pPr>
              <w:spacing w:line="377" w:lineRule="auto"/>
              <w:rPr>
                <w:rFonts w:ascii="Arial"/>
                <w:sz w:val="21"/>
              </w:rPr>
            </w:pPr>
            <w:r/>
          </w:p>
          <w:p>
            <w:pPr>
              <w:pStyle w:val="TableText"/>
              <w:ind w:left="346"/>
              <w:spacing w:before="86" w:line="178" w:lineRule="auto"/>
              <w:rPr/>
            </w:pPr>
            <w:r>
              <w:rPr>
                <w:spacing w:val="3"/>
              </w:rPr>
              <w:t>600898</w:t>
            </w:r>
          </w:p>
        </w:tc>
        <w:tc>
          <w:tcPr>
            <w:shd w:val="clear" w:fill="B8CCE4"/>
            <w:tcW w:w="1343" w:type="dxa"/>
            <w:vAlign w:val="top"/>
          </w:tcPr>
          <w:p>
            <w:pPr>
              <w:spacing w:line="361" w:lineRule="auto"/>
              <w:rPr>
                <w:rFonts w:ascii="Arial"/>
                <w:sz w:val="21"/>
              </w:rPr>
            </w:pPr>
            <w:r/>
          </w:p>
          <w:p>
            <w:pPr>
              <w:pStyle w:val="TableText"/>
              <w:ind w:left="288"/>
              <w:spacing w:before="86" w:line="190" w:lineRule="auto"/>
              <w:rPr/>
            </w:pPr>
            <w:r>
              <w:rPr>
                <w:spacing w:val="8"/>
              </w:rPr>
              <w:t>*</w:t>
            </w:r>
            <w:r>
              <w:rPr/>
              <w:t>ST</w:t>
            </w:r>
            <w:r>
              <w:rPr>
                <w:spacing w:val="8"/>
              </w:rPr>
              <w:t>美讯</w:t>
            </w:r>
          </w:p>
        </w:tc>
        <w:tc>
          <w:tcPr>
            <w:shd w:val="clear" w:fill="B8CCE4"/>
            <w:tcW w:w="5901" w:type="dxa"/>
            <w:vAlign w:val="top"/>
          </w:tcPr>
          <w:p>
            <w:pPr>
              <w:pStyle w:val="TableText"/>
              <w:ind w:left="99" w:right="103"/>
              <w:spacing w:before="92" w:line="229" w:lineRule="auto"/>
              <w:jc w:val="both"/>
              <w:rPr/>
            </w:pPr>
            <w:r>
              <w:rPr>
                <w:spacing w:val="9"/>
              </w:rPr>
              <w:t>公司对个别客户的收入确认依据不充分</w:t>
            </w:r>
            <w:r>
              <w:rPr>
                <w:spacing w:val="-21"/>
              </w:rPr>
              <w:t xml:space="preserve"> </w:t>
            </w:r>
            <w:r>
              <w:rPr>
                <w:spacing w:val="9"/>
              </w:rPr>
              <w:t>，销售退回会计处理不</w:t>
            </w:r>
            <w:r>
              <w:rPr/>
              <w:t xml:space="preserve"> </w:t>
            </w:r>
            <w:r>
              <w:rPr>
                <w:spacing w:val="8"/>
              </w:rPr>
              <w:t>及时</w:t>
            </w:r>
            <w:r>
              <w:rPr>
                <w:spacing w:val="-25"/>
              </w:rPr>
              <w:t xml:space="preserve"> </w:t>
            </w:r>
            <w:r>
              <w:rPr>
                <w:spacing w:val="8"/>
              </w:rPr>
              <w:t>，收入计量不准确</w:t>
            </w:r>
            <w:r>
              <w:rPr>
                <w:spacing w:val="-26"/>
              </w:rPr>
              <w:t xml:space="preserve"> </w:t>
            </w:r>
            <w:r>
              <w:rPr>
                <w:spacing w:val="8"/>
              </w:rPr>
              <w:t>，导致多确认营业收入、营业成</w:t>
            </w:r>
            <w:r>
              <w:rPr>
                <w:spacing w:val="7"/>
              </w:rPr>
              <w:t>本；公</w:t>
            </w:r>
            <w:r>
              <w:rPr/>
              <w:t xml:space="preserve"> </w:t>
            </w:r>
            <w:r>
              <w:rPr>
                <w:spacing w:val="9"/>
              </w:rPr>
              <w:t>司对个别客户的信用减值损失计提不准确。</w:t>
            </w:r>
          </w:p>
        </w:tc>
      </w:tr>
      <w:tr>
        <w:trPr>
          <w:trHeight w:val="725" w:hRule="atLeast"/>
        </w:trPr>
        <w:tc>
          <w:tcPr>
            <w:tcW w:w="8668" w:type="dxa"/>
            <w:vAlign w:val="top"/>
            <w:gridSpan w:val="3"/>
          </w:tcPr>
          <w:p>
            <w:pPr>
              <w:pStyle w:val="TableText"/>
              <w:ind w:left="114" w:right="106" w:firstLine="7"/>
              <w:spacing w:before="48" w:line="233" w:lineRule="auto"/>
              <w:rPr/>
            </w:pPr>
            <w:r>
              <w:rPr>
                <w:b/>
                <w:bCs/>
                <w:spacing w:val="11"/>
              </w:rPr>
              <w:t>【行政监管措施】</w:t>
            </w:r>
            <w:r>
              <w:rPr>
                <w:spacing w:val="11"/>
              </w:rPr>
              <w:t>中国证券监督管理委员会山东监管局</w:t>
            </w:r>
            <w:r>
              <w:rPr>
                <w:spacing w:val="10"/>
              </w:rPr>
              <w:t>决定对董事长宋某林、总经理宋某红</w:t>
            </w:r>
            <w:r>
              <w:rPr/>
              <w:t xml:space="preserve"> </w:t>
            </w:r>
            <w:r>
              <w:rPr>
                <w:spacing w:val="9"/>
              </w:rPr>
              <w:t>、财务总监郭某采取出具警示函的行政监管措</w:t>
            </w:r>
            <w:r>
              <w:rPr>
                <w:spacing w:val="8"/>
              </w:rPr>
              <w:t>施</w:t>
            </w:r>
            <w:r>
              <w:rPr>
                <w:spacing w:val="-28"/>
              </w:rPr>
              <w:t xml:space="preserve"> </w:t>
            </w:r>
            <w:r>
              <w:rPr>
                <w:spacing w:val="8"/>
              </w:rPr>
              <w:t>，并记入证券期货市场诚信档案数据库。</w:t>
            </w:r>
          </w:p>
        </w:tc>
      </w:tr>
      <w:tr>
        <w:trPr>
          <w:trHeight w:val="1156" w:hRule="atLeast"/>
        </w:trPr>
        <w:tc>
          <w:tcPr>
            <w:shd w:val="clear" w:fill="B8CCE4"/>
            <w:tcW w:w="1424" w:type="dxa"/>
            <w:vAlign w:val="top"/>
          </w:tcPr>
          <w:p>
            <w:pPr>
              <w:spacing w:line="414" w:lineRule="auto"/>
              <w:rPr>
                <w:rFonts w:ascii="Arial"/>
                <w:sz w:val="21"/>
              </w:rPr>
            </w:pPr>
            <w:r/>
          </w:p>
          <w:p>
            <w:pPr>
              <w:pStyle w:val="TableText"/>
              <w:ind w:left="348"/>
              <w:spacing w:before="86" w:line="178" w:lineRule="auto"/>
              <w:rPr/>
            </w:pPr>
            <w:r>
              <w:rPr>
                <w:spacing w:val="3"/>
              </w:rPr>
              <w:t>300240</w:t>
            </w:r>
          </w:p>
        </w:tc>
        <w:tc>
          <w:tcPr>
            <w:shd w:val="clear" w:fill="B8CCE4"/>
            <w:tcW w:w="1343" w:type="dxa"/>
            <w:vAlign w:val="top"/>
          </w:tcPr>
          <w:p>
            <w:pPr>
              <w:spacing w:line="400" w:lineRule="auto"/>
              <w:rPr>
                <w:rFonts w:ascii="Arial"/>
                <w:sz w:val="21"/>
              </w:rPr>
            </w:pPr>
            <w:r/>
          </w:p>
          <w:p>
            <w:pPr>
              <w:pStyle w:val="TableText"/>
              <w:ind w:left="348"/>
              <w:spacing w:before="86" w:line="188" w:lineRule="auto"/>
              <w:rPr/>
            </w:pPr>
            <w:r>
              <w:rPr>
                <w:spacing w:val="8"/>
              </w:rPr>
              <w:t>飞力达</w:t>
            </w:r>
          </w:p>
        </w:tc>
        <w:tc>
          <w:tcPr>
            <w:shd w:val="clear" w:fill="B8CCE4"/>
            <w:tcW w:w="5901" w:type="dxa"/>
            <w:vAlign w:val="top"/>
          </w:tcPr>
          <w:p>
            <w:pPr>
              <w:pStyle w:val="TableText"/>
              <w:ind w:left="99" w:right="120"/>
              <w:spacing w:before="163" w:line="229" w:lineRule="auto"/>
              <w:rPr/>
            </w:pPr>
            <w:r>
              <w:rPr>
                <w:spacing w:val="12"/>
              </w:rPr>
              <w:t>公司2023年年度报告第二节第六项“分季度主要财务指标” </w:t>
            </w:r>
            <w:r>
              <w:rPr>
                <w:spacing w:val="9"/>
              </w:rPr>
              <w:t>中“第四季度”部分及第三节第四项“主营业务分析”</w:t>
            </w:r>
            <w:r>
              <w:rPr>
                <w:spacing w:val="-38"/>
              </w:rPr>
              <w:t xml:space="preserve"> </w:t>
            </w:r>
            <w:r>
              <w:rPr>
                <w:spacing w:val="9"/>
              </w:rPr>
              <w:t>中“收</w:t>
            </w:r>
            <w:r>
              <w:rPr/>
              <w:t xml:space="preserve"> </w:t>
            </w:r>
            <w:r>
              <w:rPr>
                <w:spacing w:val="9"/>
              </w:rPr>
              <w:t>入与成本”部分存在</w:t>
            </w:r>
            <w:r>
              <w:rPr>
                <w:b/>
                <w:bCs/>
                <w:spacing w:val="9"/>
              </w:rPr>
              <w:t>多处计算错误。</w:t>
            </w:r>
          </w:p>
        </w:tc>
      </w:tr>
      <w:tr>
        <w:trPr>
          <w:trHeight w:val="1085" w:hRule="atLeast"/>
        </w:trPr>
        <w:tc>
          <w:tcPr>
            <w:tcW w:w="8668" w:type="dxa"/>
            <w:vAlign w:val="top"/>
            <w:gridSpan w:val="3"/>
          </w:tcPr>
          <w:p>
            <w:pPr>
              <w:pStyle w:val="TableText"/>
              <w:ind w:left="104" w:right="105" w:firstLine="17"/>
              <w:spacing w:before="49" w:line="239" w:lineRule="auto"/>
              <w:jc w:val="both"/>
              <w:rPr/>
            </w:pPr>
            <w:r>
              <w:rPr>
                <w:b/>
                <w:bCs/>
                <w:spacing w:val="11"/>
              </w:rPr>
              <w:t>【行政监管措施】</w:t>
            </w:r>
            <w:r>
              <w:rPr>
                <w:spacing w:val="11"/>
              </w:rPr>
              <w:t>中国证券监督管理委员会江苏监管局</w:t>
            </w:r>
            <w:r>
              <w:rPr>
                <w:spacing w:val="10"/>
              </w:rPr>
              <w:t>决定对公司采取责令改正的行政监管</w:t>
            </w:r>
            <w:r>
              <w:rPr/>
              <w:t xml:space="preserve"> </w:t>
            </w:r>
            <w:r>
              <w:rPr>
                <w:spacing w:val="12"/>
              </w:rPr>
              <w:t>措施,对董事长姚某、董事,总经理耿某、董事会秘书,高管童某波、财务总监</w:t>
            </w:r>
            <w:r>
              <w:rPr>
                <w:spacing w:val="11"/>
              </w:rPr>
              <w:t>李某采取出具警</w:t>
            </w:r>
            <w:r>
              <w:rPr/>
              <w:t xml:space="preserve"> </w:t>
            </w:r>
            <w:r>
              <w:rPr>
                <w:spacing w:val="9"/>
              </w:rPr>
              <w:t>示函的行政监管措施,并记入证券期货市场诚信档案。</w:t>
            </w:r>
          </w:p>
        </w:tc>
      </w:tr>
      <w:tr>
        <w:trPr>
          <w:trHeight w:val="365" w:hRule="atLeast"/>
        </w:trPr>
        <w:tc>
          <w:tcPr>
            <w:shd w:val="clear" w:fill="B8CCE4"/>
            <w:tcW w:w="1424" w:type="dxa"/>
            <w:vAlign w:val="top"/>
          </w:tcPr>
          <w:p>
            <w:pPr>
              <w:pStyle w:val="TableText"/>
              <w:ind w:left="348"/>
              <w:spacing w:before="109" w:line="172" w:lineRule="auto"/>
              <w:rPr/>
            </w:pPr>
            <w:r>
              <w:rPr>
                <w:spacing w:val="3"/>
              </w:rPr>
              <w:t>300701</w:t>
            </w:r>
          </w:p>
        </w:tc>
        <w:tc>
          <w:tcPr>
            <w:shd w:val="clear" w:fill="B8CCE4"/>
            <w:tcW w:w="1343" w:type="dxa"/>
            <w:vAlign w:val="top"/>
          </w:tcPr>
          <w:p>
            <w:pPr>
              <w:pStyle w:val="TableText"/>
              <w:ind w:left="241"/>
              <w:spacing w:before="96" w:line="181" w:lineRule="auto"/>
              <w:rPr/>
            </w:pPr>
            <w:r>
              <w:rPr>
                <w:spacing w:val="9"/>
              </w:rPr>
              <w:t>森霸传感</w:t>
            </w:r>
          </w:p>
        </w:tc>
        <w:tc>
          <w:tcPr>
            <w:shd w:val="clear" w:fill="B8CCE4"/>
            <w:tcW w:w="5901" w:type="dxa"/>
            <w:vAlign w:val="top"/>
          </w:tcPr>
          <w:p>
            <w:pPr>
              <w:pStyle w:val="TableText"/>
              <w:ind w:left="101"/>
              <w:spacing w:before="96" w:line="181" w:lineRule="auto"/>
              <w:rPr/>
            </w:pPr>
            <w:r>
              <w:rPr>
                <w:spacing w:val="8"/>
              </w:rPr>
              <w:t>副总经理配偶</w:t>
            </w:r>
            <w:r>
              <w:rPr>
                <w:b/>
                <w:bCs/>
                <w:spacing w:val="8"/>
              </w:rPr>
              <w:t>短线交易</w:t>
            </w:r>
            <w:r>
              <w:rPr>
                <w:spacing w:val="8"/>
              </w:rPr>
              <w:t>。</w:t>
            </w:r>
          </w:p>
        </w:tc>
      </w:tr>
      <w:tr>
        <w:trPr>
          <w:trHeight w:val="735" w:hRule="atLeast"/>
        </w:trPr>
        <w:tc>
          <w:tcPr>
            <w:tcW w:w="8668" w:type="dxa"/>
            <w:vAlign w:val="top"/>
            <w:gridSpan w:val="3"/>
          </w:tcPr>
          <w:p>
            <w:pPr>
              <w:pStyle w:val="TableText"/>
              <w:ind w:left="116" w:right="106" w:firstLine="4"/>
              <w:spacing w:before="52" w:line="235" w:lineRule="auto"/>
              <w:rPr/>
            </w:pPr>
            <w:r>
              <w:rPr>
                <w:b/>
                <w:bCs/>
                <w:spacing w:val="11"/>
              </w:rPr>
              <w:t>【行政监管措施】</w:t>
            </w:r>
            <w:r>
              <w:rPr>
                <w:spacing w:val="11"/>
              </w:rPr>
              <w:t>中国证券监督管理委员会河南监管局</w:t>
            </w:r>
            <w:r>
              <w:rPr>
                <w:spacing w:val="10"/>
              </w:rPr>
              <w:t>决定对副总经理邓某宏采取出具警示</w:t>
            </w:r>
            <w:r>
              <w:rPr/>
              <w:t xml:space="preserve"> </w:t>
            </w:r>
            <w:r>
              <w:rPr>
                <w:spacing w:val="7"/>
              </w:rPr>
              <w:t>函的行政监管措施</w:t>
            </w:r>
            <w:r>
              <w:rPr>
                <w:spacing w:val="-19"/>
              </w:rPr>
              <w:t xml:space="preserve"> </w:t>
            </w:r>
            <w:r>
              <w:rPr>
                <w:spacing w:val="7"/>
              </w:rPr>
              <w:t>，并记入证券期货市场诚信档案。</w:t>
            </w:r>
          </w:p>
        </w:tc>
      </w:tr>
    </w:tbl>
    <w:p>
      <w:pPr>
        <w:pStyle w:val="BodyText"/>
        <w:rPr/>
      </w:pPr>
      <w:r/>
    </w:p>
    <w:p>
      <w:pPr>
        <w:sectPr>
          <w:pgSz w:w="11910" w:h="16840"/>
          <w:pgMar w:top="400" w:right="1622" w:bottom="400" w:left="1604" w:header="0" w:footer="0" w:gutter="0"/>
        </w:sectPr>
        <w:rPr/>
      </w:pPr>
    </w:p>
    <w:p>
      <w:pPr>
        <w:pStyle w:val="BodyText"/>
        <w:spacing w:line="446" w:lineRule="auto"/>
        <w:rPr/>
      </w:pPr>
      <w:r/>
    </w:p>
    <w:p>
      <w:pPr>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8"/>
        </w:rPr>
        <w:t>（</w:t>
      </w:r>
      <w:r>
        <w:rPr>
          <w:rFonts w:ascii="Microsoft YaHei" w:hAnsi="Microsoft YaHei" w:eastAsia="Microsoft YaHei" w:cs="Microsoft YaHei"/>
          <w:sz w:val="24"/>
          <w:szCs w:val="24"/>
          <w:b/>
          <w:bCs/>
          <w:color w:val="333333"/>
          <w:spacing w:val="52"/>
          <w:w w:val="101"/>
        </w:rPr>
        <w:t xml:space="preserve"> </w:t>
      </w:r>
      <w:r>
        <w:rPr>
          <w:rFonts w:ascii="Microsoft YaHei" w:hAnsi="Microsoft YaHei" w:eastAsia="Microsoft YaHei" w:cs="Microsoft YaHei"/>
          <w:sz w:val="24"/>
          <w:szCs w:val="24"/>
          <w:b/>
          <w:bCs/>
          <w:color w:val="333333"/>
          <w:spacing w:val="-8"/>
        </w:rPr>
        <w:t>4</w:t>
      </w:r>
      <w:r>
        <w:rPr>
          <w:rFonts w:ascii="Microsoft YaHei" w:hAnsi="Microsoft YaHei" w:eastAsia="Microsoft YaHei" w:cs="Microsoft YaHei"/>
          <w:sz w:val="24"/>
          <w:szCs w:val="24"/>
          <w:b/>
          <w:bCs/>
          <w:color w:val="333333"/>
          <w:spacing w:val="62"/>
          <w:w w:val="101"/>
        </w:rPr>
        <w:t xml:space="preserve"> </w:t>
      </w:r>
      <w:r>
        <w:rPr>
          <w:rFonts w:ascii="Microsoft YaHei" w:hAnsi="Microsoft YaHei" w:eastAsia="Microsoft YaHei" w:cs="Microsoft YaHei"/>
          <w:sz w:val="24"/>
          <w:szCs w:val="24"/>
          <w:b/>
          <w:bCs/>
          <w:color w:val="333333"/>
          <w:spacing w:val="-8"/>
        </w:rPr>
        <w:t>）立案调查</w:t>
      </w:r>
    </w:p>
    <w:p>
      <w:pPr>
        <w:spacing w:before="193"/>
        <w:rPr/>
      </w:pPr>
      <w:r/>
    </w:p>
    <w:tbl>
      <w:tblPr>
        <w:tblStyle w:val="TableNormal"/>
        <w:tblW w:w="8515" w:type="dxa"/>
        <w:tblInd w:w="1210"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364"/>
        <w:gridCol w:w="1343"/>
        <w:gridCol w:w="5808"/>
      </w:tblGrid>
      <w:tr>
        <w:trPr>
          <w:trHeight w:val="387" w:hRule="atLeast"/>
        </w:trPr>
        <w:tc>
          <w:tcPr>
            <w:shd w:val="clear" w:fill="4F81BD"/>
            <w:tcW w:w="1364" w:type="dxa"/>
            <w:vAlign w:val="top"/>
            <w:tcBorders>
              <w:bottom w:val="single" w:color="4F81BD" w:sz="2" w:space="0"/>
            </w:tcBorders>
          </w:tcPr>
          <w:p>
            <w:pPr>
              <w:pStyle w:val="TableText"/>
              <w:ind w:left="256"/>
              <w:spacing w:before="109" w:line="187" w:lineRule="auto"/>
              <w:rPr/>
            </w:pPr>
            <w:r>
              <w:rPr>
                <w:b/>
                <w:bCs/>
                <w:color w:val="FFFFFF"/>
                <w:spacing w:val="8"/>
              </w:rPr>
              <w:t>公司代码</w:t>
            </w:r>
          </w:p>
        </w:tc>
        <w:tc>
          <w:tcPr>
            <w:shd w:val="clear" w:fill="4F81BD"/>
            <w:tcW w:w="1343" w:type="dxa"/>
            <w:vAlign w:val="top"/>
            <w:tcBorders>
              <w:bottom w:val="single" w:color="4F81BD" w:sz="2" w:space="0"/>
            </w:tcBorders>
          </w:tcPr>
          <w:p>
            <w:pPr>
              <w:pStyle w:val="TableText"/>
              <w:ind w:left="243"/>
              <w:spacing w:before="109" w:line="187" w:lineRule="auto"/>
              <w:rPr/>
            </w:pPr>
            <w:r>
              <w:rPr>
                <w:b/>
                <w:bCs/>
                <w:color w:val="FFFFFF"/>
                <w:spacing w:val="8"/>
              </w:rPr>
              <w:t>公司简称</w:t>
            </w:r>
          </w:p>
        </w:tc>
        <w:tc>
          <w:tcPr>
            <w:shd w:val="clear" w:fill="4F81BD"/>
            <w:tcW w:w="5808" w:type="dxa"/>
            <w:vAlign w:val="top"/>
            <w:tcBorders>
              <w:bottom w:val="single" w:color="4F81BD" w:sz="2" w:space="0"/>
            </w:tcBorders>
          </w:tcPr>
          <w:p>
            <w:pPr>
              <w:pStyle w:val="TableText"/>
              <w:ind w:left="2475"/>
              <w:spacing w:before="109" w:line="187" w:lineRule="auto"/>
              <w:rPr/>
            </w:pPr>
            <w:r>
              <w:rPr>
                <w:b/>
                <w:bCs/>
                <w:color w:val="FFFFFF"/>
                <w:spacing w:val="8"/>
              </w:rPr>
              <w:t>违规行为</w:t>
            </w:r>
          </w:p>
        </w:tc>
      </w:tr>
      <w:tr>
        <w:trPr>
          <w:trHeight w:val="1089" w:hRule="atLeast"/>
        </w:trPr>
        <w:tc>
          <w:tcPr>
            <w:shd w:val="clear" w:fill="B8CCE4"/>
            <w:tcW w:w="1364" w:type="dxa"/>
            <w:vAlign w:val="top"/>
            <w:tcBorders>
              <w:top w:val="single" w:color="4F81BD" w:sz="2" w:space="0"/>
            </w:tcBorders>
          </w:tcPr>
          <w:p>
            <w:pPr>
              <w:spacing w:line="369" w:lineRule="auto"/>
              <w:rPr>
                <w:rFonts w:ascii="Arial"/>
                <w:sz w:val="21"/>
              </w:rPr>
            </w:pPr>
            <w:r/>
          </w:p>
          <w:p>
            <w:pPr>
              <w:pStyle w:val="TableText"/>
              <w:ind w:left="317"/>
              <w:spacing w:before="86" w:line="179" w:lineRule="auto"/>
              <w:rPr/>
            </w:pPr>
            <w:r>
              <w:rPr>
                <w:spacing w:val="3"/>
              </w:rPr>
              <w:t>300165</w:t>
            </w:r>
          </w:p>
        </w:tc>
        <w:tc>
          <w:tcPr>
            <w:shd w:val="clear" w:fill="B8CCE4"/>
            <w:tcW w:w="1343" w:type="dxa"/>
            <w:vAlign w:val="top"/>
            <w:tcBorders>
              <w:top w:val="single" w:color="4F81BD" w:sz="2" w:space="0"/>
            </w:tcBorders>
          </w:tcPr>
          <w:p>
            <w:pPr>
              <w:spacing w:line="357" w:lineRule="auto"/>
              <w:rPr>
                <w:rFonts w:ascii="Arial"/>
                <w:sz w:val="21"/>
              </w:rPr>
            </w:pPr>
            <w:r/>
          </w:p>
          <w:p>
            <w:pPr>
              <w:pStyle w:val="TableText"/>
              <w:ind w:left="242"/>
              <w:spacing w:before="86" w:line="188" w:lineRule="auto"/>
              <w:rPr/>
            </w:pPr>
            <w:r>
              <w:rPr>
                <w:spacing w:val="8"/>
              </w:rPr>
              <w:t>天瑞仪器</w:t>
            </w:r>
          </w:p>
        </w:tc>
        <w:tc>
          <w:tcPr>
            <w:shd w:val="clear" w:fill="B8CCE4"/>
            <w:tcW w:w="5808" w:type="dxa"/>
            <w:vAlign w:val="top"/>
            <w:tcBorders>
              <w:top w:val="single" w:color="4F81BD" w:sz="2" w:space="0"/>
            </w:tcBorders>
          </w:tcPr>
          <w:p>
            <w:pPr>
              <w:pStyle w:val="TableText"/>
              <w:ind w:left="98" w:right="236" w:firstLine="15"/>
              <w:spacing w:before="47"/>
              <w:jc w:val="both"/>
              <w:rPr/>
            </w:pPr>
            <w:r>
              <w:rPr>
                <w:spacing w:val="8"/>
              </w:rPr>
              <w:t>因公司</w:t>
            </w:r>
            <w:r>
              <w:rPr>
                <w:b/>
                <w:bCs/>
                <w:spacing w:val="8"/>
              </w:rPr>
              <w:t>涉嫌信息披露违法违规</w:t>
            </w:r>
            <w:r>
              <w:rPr>
                <w:b/>
                <w:bCs/>
                <w:spacing w:val="-26"/>
              </w:rPr>
              <w:t xml:space="preserve"> </w:t>
            </w:r>
            <w:r>
              <w:rPr>
                <w:spacing w:val="8"/>
              </w:rPr>
              <w:t>，根据《中华人民共和国证券</w:t>
            </w:r>
            <w:r>
              <w:rPr/>
              <w:t xml:space="preserve"> </w:t>
            </w:r>
            <w:r>
              <w:rPr>
                <w:spacing w:val="7"/>
              </w:rPr>
              <w:t>法》《中华人民共和国行政处罚法》等法律法规</w:t>
            </w:r>
            <w:r>
              <w:rPr>
                <w:spacing w:val="-12"/>
              </w:rPr>
              <w:t xml:space="preserve"> </w:t>
            </w:r>
            <w:r>
              <w:rPr>
                <w:spacing w:val="7"/>
              </w:rPr>
              <w:t>，</w:t>
            </w:r>
            <w:r>
              <w:rPr>
                <w:spacing w:val="-34"/>
              </w:rPr>
              <w:t xml:space="preserve"> </w:t>
            </w:r>
            <w:r>
              <w:rPr>
                <w:spacing w:val="7"/>
              </w:rPr>
              <w:t>中国证监</w:t>
            </w:r>
            <w:r>
              <w:rPr/>
              <w:t xml:space="preserve"> </w:t>
            </w:r>
            <w:r>
              <w:rPr>
                <w:spacing w:val="9"/>
              </w:rPr>
              <w:t>会决定对江苏天瑞仪器股份有限公司立案。</w:t>
            </w:r>
          </w:p>
        </w:tc>
      </w:tr>
      <w:tr>
        <w:trPr>
          <w:trHeight w:val="1083" w:hRule="atLeast"/>
        </w:trPr>
        <w:tc>
          <w:tcPr>
            <w:tcW w:w="1364" w:type="dxa"/>
            <w:vAlign w:val="top"/>
          </w:tcPr>
          <w:p>
            <w:pPr>
              <w:spacing w:line="368" w:lineRule="auto"/>
              <w:rPr>
                <w:rFonts w:ascii="Arial"/>
                <w:sz w:val="21"/>
              </w:rPr>
            </w:pPr>
            <w:r/>
          </w:p>
          <w:p>
            <w:pPr>
              <w:pStyle w:val="TableText"/>
              <w:ind w:left="311"/>
              <w:spacing w:before="86" w:line="178" w:lineRule="auto"/>
              <w:rPr/>
            </w:pPr>
            <w:r>
              <w:rPr>
                <w:spacing w:val="3"/>
              </w:rPr>
              <w:t>002502</w:t>
            </w:r>
          </w:p>
        </w:tc>
        <w:tc>
          <w:tcPr>
            <w:tcW w:w="1343" w:type="dxa"/>
            <w:vAlign w:val="top"/>
          </w:tcPr>
          <w:p>
            <w:pPr>
              <w:spacing w:line="354" w:lineRule="auto"/>
              <w:rPr>
                <w:rFonts w:ascii="Arial"/>
                <w:sz w:val="21"/>
              </w:rPr>
            </w:pPr>
            <w:r/>
          </w:p>
          <w:p>
            <w:pPr>
              <w:pStyle w:val="TableText"/>
              <w:ind w:left="341"/>
              <w:spacing w:before="85" w:line="189" w:lineRule="auto"/>
              <w:rPr/>
            </w:pPr>
            <w:r>
              <w:rPr/>
              <w:t>ST</w:t>
            </w:r>
            <w:r>
              <w:rPr>
                <w:spacing w:val="7"/>
              </w:rPr>
              <w:t>鼎龙</w:t>
            </w:r>
          </w:p>
        </w:tc>
        <w:tc>
          <w:tcPr>
            <w:tcW w:w="5808" w:type="dxa"/>
            <w:vAlign w:val="top"/>
          </w:tcPr>
          <w:p>
            <w:pPr>
              <w:pStyle w:val="TableText"/>
              <w:ind w:left="99" w:right="236" w:firstLine="14"/>
              <w:spacing w:before="43"/>
              <w:jc w:val="both"/>
              <w:rPr/>
            </w:pPr>
            <w:r>
              <w:rPr>
                <w:spacing w:val="8"/>
              </w:rPr>
              <w:t>因公司</w:t>
            </w:r>
            <w:r>
              <w:rPr>
                <w:b/>
                <w:bCs/>
                <w:spacing w:val="8"/>
              </w:rPr>
              <w:t>涉嫌信息披露违法违规</w:t>
            </w:r>
            <w:r>
              <w:rPr>
                <w:b/>
                <w:bCs/>
                <w:spacing w:val="-26"/>
              </w:rPr>
              <w:t xml:space="preserve"> </w:t>
            </w:r>
            <w:r>
              <w:rPr>
                <w:spacing w:val="8"/>
              </w:rPr>
              <w:t>，根据《中华人民共和国证券</w:t>
            </w:r>
            <w:r>
              <w:rPr/>
              <w:t xml:space="preserve"> </w:t>
            </w:r>
            <w:r>
              <w:rPr>
                <w:spacing w:val="8"/>
              </w:rPr>
              <w:t>法》《中华人民共和国行政处罚法》等法律法规</w:t>
            </w:r>
            <w:r>
              <w:rPr>
                <w:spacing w:val="-14"/>
              </w:rPr>
              <w:t xml:space="preserve"> </w:t>
            </w:r>
            <w:r>
              <w:rPr>
                <w:spacing w:val="8"/>
              </w:rPr>
              <w:t>，证监会决</w:t>
            </w:r>
            <w:r>
              <w:rPr/>
              <w:t xml:space="preserve"> </w:t>
            </w:r>
            <w:r>
              <w:rPr>
                <w:spacing w:val="7"/>
              </w:rPr>
              <w:t>定对公司立案。</w:t>
            </w:r>
          </w:p>
        </w:tc>
      </w:tr>
      <w:tr>
        <w:trPr>
          <w:trHeight w:val="1084" w:hRule="atLeast"/>
        </w:trPr>
        <w:tc>
          <w:tcPr>
            <w:shd w:val="clear" w:fill="B8CCE4"/>
            <w:tcW w:w="1364" w:type="dxa"/>
            <w:vAlign w:val="top"/>
          </w:tcPr>
          <w:p>
            <w:pPr>
              <w:spacing w:line="372" w:lineRule="auto"/>
              <w:rPr>
                <w:rFonts w:ascii="Arial"/>
                <w:sz w:val="21"/>
              </w:rPr>
            </w:pPr>
            <w:r/>
          </w:p>
          <w:p>
            <w:pPr>
              <w:pStyle w:val="TableText"/>
              <w:ind w:left="312"/>
              <w:spacing w:before="86" w:line="178" w:lineRule="auto"/>
              <w:rPr/>
            </w:pPr>
            <w:r>
              <w:rPr>
                <w:spacing w:val="3"/>
              </w:rPr>
              <w:t>833300</w:t>
            </w:r>
          </w:p>
        </w:tc>
        <w:tc>
          <w:tcPr>
            <w:shd w:val="clear" w:fill="B8CCE4"/>
            <w:tcW w:w="1343" w:type="dxa"/>
            <w:vAlign w:val="top"/>
          </w:tcPr>
          <w:p>
            <w:pPr>
              <w:spacing w:line="359" w:lineRule="auto"/>
              <w:rPr>
                <w:rFonts w:ascii="Arial"/>
                <w:sz w:val="21"/>
              </w:rPr>
            </w:pPr>
            <w:r/>
          </w:p>
          <w:p>
            <w:pPr>
              <w:pStyle w:val="TableText"/>
              <w:ind w:left="242"/>
              <w:spacing w:before="85" w:line="188" w:lineRule="auto"/>
              <w:rPr/>
            </w:pPr>
            <w:r>
              <w:rPr>
                <w:spacing w:val="8"/>
              </w:rPr>
              <w:t>利树股份</w:t>
            </w:r>
          </w:p>
        </w:tc>
        <w:tc>
          <w:tcPr>
            <w:shd w:val="clear" w:fill="B8CCE4"/>
            <w:tcW w:w="5808" w:type="dxa"/>
            <w:vAlign w:val="top"/>
          </w:tcPr>
          <w:p>
            <w:pPr>
              <w:pStyle w:val="TableText"/>
              <w:ind w:left="98" w:right="237" w:firstLine="15"/>
              <w:spacing w:before="44"/>
              <w:jc w:val="both"/>
              <w:rPr/>
            </w:pPr>
            <w:r>
              <w:rPr>
                <w:spacing w:val="8"/>
              </w:rPr>
              <w:t>因</w:t>
            </w:r>
            <w:r>
              <w:rPr>
                <w:b/>
                <w:bCs/>
                <w:spacing w:val="8"/>
              </w:rPr>
              <w:t>涉嫌信息披露违法违规</w:t>
            </w:r>
            <w:r>
              <w:rPr>
                <w:b/>
                <w:bCs/>
                <w:spacing w:val="-25"/>
              </w:rPr>
              <w:t xml:space="preserve"> </w:t>
            </w:r>
            <w:r>
              <w:rPr>
                <w:spacing w:val="8"/>
              </w:rPr>
              <w:t>，根据《中华人民共和国证券</w:t>
            </w:r>
            <w:r>
              <w:rPr>
                <w:spacing w:val="7"/>
              </w:rPr>
              <w:t>法》</w:t>
            </w:r>
            <w:r>
              <w:rPr/>
              <w:t xml:space="preserve"> </w:t>
            </w:r>
            <w:r>
              <w:rPr>
                <w:spacing w:val="7"/>
              </w:rPr>
              <w:t>、《中华人民共和国行政处罚法》等法律法规</w:t>
            </w:r>
            <w:r>
              <w:rPr>
                <w:spacing w:val="-10"/>
              </w:rPr>
              <w:t xml:space="preserve"> </w:t>
            </w:r>
            <w:r>
              <w:rPr>
                <w:spacing w:val="7"/>
              </w:rPr>
              <w:t>，</w:t>
            </w:r>
            <w:r>
              <w:rPr>
                <w:spacing w:val="-36"/>
              </w:rPr>
              <w:t xml:space="preserve"> </w:t>
            </w:r>
            <w:r>
              <w:rPr>
                <w:spacing w:val="7"/>
              </w:rPr>
              <w:t>中国证券监</w:t>
            </w:r>
            <w:r>
              <w:rPr/>
              <w:t xml:space="preserve"> </w:t>
            </w:r>
            <w:r>
              <w:rPr>
                <w:spacing w:val="9"/>
              </w:rPr>
              <w:t>督管理委员会决定对福建利树股份有限公司进行立案。</w:t>
            </w:r>
          </w:p>
        </w:tc>
      </w:tr>
      <w:tr>
        <w:trPr>
          <w:trHeight w:val="377" w:hRule="atLeast"/>
        </w:trPr>
        <w:tc>
          <w:tcPr>
            <w:shd w:val="clear" w:fill="4F81BD"/>
            <w:tcW w:w="1364" w:type="dxa"/>
            <w:vAlign w:val="top"/>
            <w:tcBorders>
              <w:bottom w:val="single" w:color="4F81BD" w:sz="2" w:space="0"/>
            </w:tcBorders>
          </w:tcPr>
          <w:p>
            <w:pPr>
              <w:pStyle w:val="TableText"/>
              <w:ind w:left="256"/>
              <w:spacing w:before="105" w:line="183" w:lineRule="auto"/>
              <w:rPr/>
            </w:pPr>
            <w:r>
              <w:rPr>
                <w:b/>
                <w:bCs/>
                <w:color w:val="FFFFFF"/>
                <w:spacing w:val="8"/>
              </w:rPr>
              <w:t>公司代码</w:t>
            </w:r>
          </w:p>
        </w:tc>
        <w:tc>
          <w:tcPr>
            <w:shd w:val="clear" w:fill="4F81BD"/>
            <w:tcW w:w="1343" w:type="dxa"/>
            <w:vAlign w:val="top"/>
            <w:tcBorders>
              <w:bottom w:val="single" w:color="4F81BD" w:sz="2" w:space="0"/>
            </w:tcBorders>
          </w:tcPr>
          <w:p>
            <w:pPr>
              <w:pStyle w:val="TableText"/>
              <w:ind w:left="243"/>
              <w:spacing w:before="105" w:line="183" w:lineRule="auto"/>
              <w:rPr/>
            </w:pPr>
            <w:r>
              <w:rPr>
                <w:b/>
                <w:bCs/>
                <w:color w:val="FFFFFF"/>
                <w:spacing w:val="8"/>
              </w:rPr>
              <w:t>公司简称</w:t>
            </w:r>
          </w:p>
        </w:tc>
        <w:tc>
          <w:tcPr>
            <w:shd w:val="clear" w:fill="4F81BD"/>
            <w:tcW w:w="5808" w:type="dxa"/>
            <w:vAlign w:val="top"/>
            <w:tcBorders>
              <w:bottom w:val="single" w:color="4F81BD" w:sz="2" w:space="0"/>
            </w:tcBorders>
          </w:tcPr>
          <w:p>
            <w:pPr>
              <w:pStyle w:val="TableText"/>
              <w:ind w:left="2475"/>
              <w:spacing w:before="105" w:line="183" w:lineRule="auto"/>
              <w:rPr/>
            </w:pPr>
            <w:r>
              <w:rPr>
                <w:b/>
                <w:bCs/>
                <w:color w:val="FFFFFF"/>
                <w:spacing w:val="8"/>
              </w:rPr>
              <w:t>违规行为</w:t>
            </w:r>
          </w:p>
        </w:tc>
      </w:tr>
      <w:tr>
        <w:trPr>
          <w:trHeight w:val="1448" w:hRule="atLeast"/>
        </w:trPr>
        <w:tc>
          <w:tcPr>
            <w:shd w:val="clear" w:fill="B8CCE4"/>
            <w:tcW w:w="1364" w:type="dxa"/>
            <w:vAlign w:val="top"/>
            <w:tcBorders>
              <w:top w:val="single" w:color="4F81BD" w:sz="2" w:space="0"/>
            </w:tcBorders>
          </w:tcPr>
          <w:p>
            <w:pPr>
              <w:spacing w:line="278" w:lineRule="auto"/>
              <w:rPr>
                <w:rFonts w:ascii="Arial"/>
                <w:sz w:val="21"/>
              </w:rPr>
            </w:pPr>
            <w:r/>
          </w:p>
          <w:p>
            <w:pPr>
              <w:spacing w:line="278" w:lineRule="auto"/>
              <w:rPr>
                <w:rFonts w:ascii="Arial"/>
                <w:sz w:val="21"/>
              </w:rPr>
            </w:pPr>
            <w:r/>
          </w:p>
          <w:p>
            <w:pPr>
              <w:pStyle w:val="TableText"/>
              <w:ind w:left="314"/>
              <w:spacing w:before="86" w:line="179" w:lineRule="auto"/>
              <w:rPr/>
            </w:pPr>
            <w:r>
              <w:rPr>
                <w:spacing w:val="3"/>
              </w:rPr>
              <w:t>601555</w:t>
            </w:r>
          </w:p>
        </w:tc>
        <w:tc>
          <w:tcPr>
            <w:shd w:val="clear" w:fill="B8CCE4"/>
            <w:tcW w:w="1343" w:type="dxa"/>
            <w:vAlign w:val="top"/>
            <w:tcBorders>
              <w:top w:val="single" w:color="4F81BD" w:sz="2" w:space="0"/>
            </w:tcBorders>
          </w:tcPr>
          <w:p>
            <w:pPr>
              <w:spacing w:line="271" w:lineRule="auto"/>
              <w:rPr>
                <w:rFonts w:ascii="Arial"/>
                <w:sz w:val="21"/>
              </w:rPr>
            </w:pPr>
            <w:r/>
          </w:p>
          <w:p>
            <w:pPr>
              <w:spacing w:line="272" w:lineRule="auto"/>
              <w:rPr>
                <w:rFonts w:ascii="Arial"/>
                <w:sz w:val="21"/>
              </w:rPr>
            </w:pPr>
            <w:r/>
          </w:p>
          <w:p>
            <w:pPr>
              <w:pStyle w:val="TableText"/>
              <w:ind w:left="241"/>
              <w:spacing w:before="86" w:line="189" w:lineRule="auto"/>
              <w:rPr/>
            </w:pPr>
            <w:r>
              <w:rPr>
                <w:spacing w:val="8"/>
              </w:rPr>
              <w:t>东吴证券</w:t>
            </w:r>
          </w:p>
        </w:tc>
        <w:tc>
          <w:tcPr>
            <w:shd w:val="clear" w:fill="B8CCE4"/>
            <w:tcW w:w="5808" w:type="dxa"/>
            <w:vAlign w:val="top"/>
            <w:tcBorders>
              <w:top w:val="single" w:color="4F81BD" w:sz="2" w:space="0"/>
            </w:tcBorders>
          </w:tcPr>
          <w:p>
            <w:pPr>
              <w:pStyle w:val="TableText"/>
              <w:ind w:left="99" w:right="236" w:firstLine="14"/>
              <w:spacing w:before="93" w:line="235" w:lineRule="auto"/>
              <w:jc w:val="both"/>
              <w:rPr/>
            </w:pPr>
            <w:r>
              <w:rPr>
                <w:spacing w:val="9"/>
              </w:rPr>
              <w:t>因东吴证券股份有限公司</w:t>
            </w:r>
            <w:r>
              <w:rPr>
                <w:b/>
                <w:bCs/>
                <w:spacing w:val="9"/>
              </w:rPr>
              <w:t>涉嫌国美通讯、紫鑫药业非公开发</w:t>
            </w:r>
            <w:r>
              <w:rPr>
                <w:b/>
                <w:bCs/>
                <w:spacing w:val="7"/>
              </w:rPr>
              <w:t xml:space="preserve"> </w:t>
            </w:r>
            <w:r>
              <w:rPr>
                <w:b/>
                <w:bCs/>
                <w:spacing w:val="8"/>
              </w:rPr>
              <w:t>行股票保荐业务未勤勉尽责</w:t>
            </w:r>
            <w:r>
              <w:rPr>
                <w:b/>
                <w:bCs/>
                <w:spacing w:val="-14"/>
              </w:rPr>
              <w:t xml:space="preserve"> </w:t>
            </w:r>
            <w:r>
              <w:rPr>
                <w:spacing w:val="8"/>
              </w:rPr>
              <w:t>，根据《中华人民共和国证券法</w:t>
            </w:r>
            <w:r>
              <w:rPr/>
              <w:t xml:space="preserve"> </w:t>
            </w:r>
            <w:r>
              <w:rPr>
                <w:spacing w:val="7"/>
              </w:rPr>
              <w:t>》《中华人民共和国行政处罚法》等法律法规</w:t>
            </w:r>
            <w:r>
              <w:rPr>
                <w:spacing w:val="-11"/>
              </w:rPr>
              <w:t xml:space="preserve"> </w:t>
            </w:r>
            <w:r>
              <w:rPr>
                <w:spacing w:val="7"/>
              </w:rPr>
              <w:t>，</w:t>
            </w:r>
            <w:r>
              <w:rPr>
                <w:spacing w:val="-36"/>
              </w:rPr>
              <w:t xml:space="preserve"> </w:t>
            </w:r>
            <w:r>
              <w:rPr>
                <w:spacing w:val="7"/>
              </w:rPr>
              <w:t>中国证监会</w:t>
            </w:r>
            <w:r>
              <w:rPr/>
              <w:t xml:space="preserve"> </w:t>
            </w:r>
            <w:r>
              <w:rPr>
                <w:spacing w:val="9"/>
              </w:rPr>
              <w:t>决定对东吴证券股份有限公司立案。</w:t>
            </w:r>
          </w:p>
        </w:tc>
      </w:tr>
      <w:tr>
        <w:trPr>
          <w:trHeight w:val="1083" w:hRule="atLeast"/>
        </w:trPr>
        <w:tc>
          <w:tcPr>
            <w:tcW w:w="1364" w:type="dxa"/>
            <w:vAlign w:val="top"/>
          </w:tcPr>
          <w:p>
            <w:pPr>
              <w:spacing w:line="376" w:lineRule="auto"/>
              <w:rPr>
                <w:rFonts w:ascii="Arial"/>
                <w:sz w:val="21"/>
              </w:rPr>
            </w:pPr>
            <w:r/>
          </w:p>
          <w:p>
            <w:pPr>
              <w:pStyle w:val="TableText"/>
              <w:ind w:left="311"/>
              <w:spacing w:before="86" w:line="179" w:lineRule="auto"/>
              <w:rPr/>
            </w:pPr>
            <w:r>
              <w:rPr>
                <w:spacing w:val="3"/>
              </w:rPr>
              <w:t>002131</w:t>
            </w:r>
          </w:p>
        </w:tc>
        <w:tc>
          <w:tcPr>
            <w:tcW w:w="1343" w:type="dxa"/>
            <w:vAlign w:val="top"/>
          </w:tcPr>
          <w:p>
            <w:pPr>
              <w:spacing w:line="364" w:lineRule="auto"/>
              <w:rPr>
                <w:rFonts w:ascii="Arial"/>
                <w:sz w:val="21"/>
              </w:rPr>
            </w:pPr>
            <w:r/>
          </w:p>
          <w:p>
            <w:pPr>
              <w:pStyle w:val="TableText"/>
              <w:ind w:left="242"/>
              <w:spacing w:before="86" w:line="188" w:lineRule="auto"/>
              <w:rPr/>
            </w:pPr>
            <w:r>
              <w:rPr>
                <w:spacing w:val="8"/>
              </w:rPr>
              <w:t>利欧股份</w:t>
            </w:r>
          </w:p>
        </w:tc>
        <w:tc>
          <w:tcPr>
            <w:tcW w:w="5808" w:type="dxa"/>
            <w:vAlign w:val="top"/>
          </w:tcPr>
          <w:p>
            <w:pPr>
              <w:pStyle w:val="TableText"/>
              <w:ind w:left="99" w:right="236" w:firstLine="1"/>
              <w:spacing w:before="52" w:line="238" w:lineRule="auto"/>
              <w:jc w:val="both"/>
              <w:rPr/>
            </w:pPr>
            <w:r>
              <w:rPr>
                <w:spacing w:val="8"/>
              </w:rPr>
              <w:t>董事长及董事因</w:t>
            </w:r>
            <w:r>
              <w:rPr>
                <w:b/>
                <w:bCs/>
                <w:spacing w:val="8"/>
              </w:rPr>
              <w:t>涉嫌短线交易“利欧股份”股票</w:t>
            </w:r>
            <w:r>
              <w:rPr>
                <w:b/>
                <w:bCs/>
                <w:spacing w:val="-13"/>
              </w:rPr>
              <w:t xml:space="preserve"> </w:t>
            </w:r>
            <w:r>
              <w:rPr>
                <w:spacing w:val="8"/>
              </w:rPr>
              <w:t>，根据《中</w:t>
            </w:r>
            <w:r>
              <w:rPr/>
              <w:t xml:space="preserve"> </w:t>
            </w:r>
            <w:r>
              <w:rPr>
                <w:spacing w:val="10"/>
              </w:rPr>
              <w:t>华人民共和国证券法》《中华人民共和国行</w:t>
            </w:r>
            <w:r>
              <w:rPr>
                <w:spacing w:val="9"/>
              </w:rPr>
              <w:t>政处罚法》等法</w:t>
            </w:r>
            <w:r>
              <w:rPr/>
              <w:t xml:space="preserve"> </w:t>
            </w:r>
            <w:r>
              <w:rPr>
                <w:spacing w:val="5"/>
              </w:rPr>
              <w:t>律法规</w:t>
            </w:r>
            <w:r>
              <w:rPr>
                <w:spacing w:val="-20"/>
              </w:rPr>
              <w:t xml:space="preserve"> </w:t>
            </w:r>
            <w:r>
              <w:rPr>
                <w:spacing w:val="5"/>
              </w:rPr>
              <w:t>，</w:t>
            </w:r>
            <w:r>
              <w:rPr>
                <w:spacing w:val="-34"/>
              </w:rPr>
              <w:t xml:space="preserve"> </w:t>
            </w:r>
            <w:r>
              <w:rPr>
                <w:spacing w:val="5"/>
              </w:rPr>
              <w:t>中国证监会决定对其立案。</w:t>
            </w:r>
          </w:p>
        </w:tc>
      </w:tr>
      <w:tr>
        <w:trPr>
          <w:trHeight w:val="1093" w:hRule="atLeast"/>
        </w:trPr>
        <w:tc>
          <w:tcPr>
            <w:shd w:val="clear" w:fill="B8CCE4"/>
            <w:tcW w:w="1364" w:type="dxa"/>
            <w:vAlign w:val="top"/>
          </w:tcPr>
          <w:p>
            <w:pPr>
              <w:spacing w:line="379" w:lineRule="auto"/>
              <w:rPr>
                <w:rFonts w:ascii="Arial"/>
                <w:sz w:val="21"/>
              </w:rPr>
            </w:pPr>
            <w:r/>
          </w:p>
          <w:p>
            <w:pPr>
              <w:pStyle w:val="TableText"/>
              <w:ind w:left="311"/>
              <w:spacing w:before="85" w:line="178" w:lineRule="auto"/>
              <w:rPr/>
            </w:pPr>
            <w:r>
              <w:rPr>
                <w:spacing w:val="3"/>
              </w:rPr>
              <w:t>002808</w:t>
            </w:r>
          </w:p>
        </w:tc>
        <w:tc>
          <w:tcPr>
            <w:shd w:val="clear" w:fill="B8CCE4"/>
            <w:tcW w:w="1343" w:type="dxa"/>
            <w:vAlign w:val="top"/>
          </w:tcPr>
          <w:p>
            <w:pPr>
              <w:spacing w:line="367" w:lineRule="auto"/>
              <w:rPr>
                <w:rFonts w:ascii="Arial"/>
                <w:sz w:val="21"/>
              </w:rPr>
            </w:pPr>
            <w:r/>
          </w:p>
          <w:p>
            <w:pPr>
              <w:pStyle w:val="TableText"/>
              <w:ind w:left="341"/>
              <w:spacing w:before="86" w:line="187" w:lineRule="auto"/>
              <w:rPr/>
            </w:pPr>
            <w:r>
              <w:rPr/>
              <w:t>ST</w:t>
            </w:r>
            <w:r>
              <w:rPr>
                <w:spacing w:val="7"/>
              </w:rPr>
              <w:t>恒久</w:t>
            </w:r>
          </w:p>
        </w:tc>
        <w:tc>
          <w:tcPr>
            <w:shd w:val="clear" w:fill="B8CCE4"/>
            <w:tcW w:w="5808" w:type="dxa"/>
            <w:vAlign w:val="top"/>
          </w:tcPr>
          <w:p>
            <w:pPr>
              <w:pStyle w:val="TableText"/>
              <w:ind w:left="98" w:right="237" w:firstLine="15"/>
              <w:spacing w:before="53"/>
              <w:jc w:val="both"/>
              <w:rPr/>
            </w:pPr>
            <w:r>
              <w:rPr>
                <w:spacing w:val="8"/>
              </w:rPr>
              <w:t>因</w:t>
            </w:r>
            <w:r>
              <w:rPr>
                <w:b/>
                <w:bCs/>
                <w:spacing w:val="8"/>
              </w:rPr>
              <w:t>涉嫌信息披露违法违规</w:t>
            </w:r>
            <w:r>
              <w:rPr>
                <w:b/>
                <w:bCs/>
                <w:spacing w:val="-25"/>
              </w:rPr>
              <w:t xml:space="preserve"> </w:t>
            </w:r>
            <w:r>
              <w:rPr>
                <w:spacing w:val="8"/>
              </w:rPr>
              <w:t>，根据《中华人民共和国证券</w:t>
            </w:r>
            <w:r>
              <w:rPr>
                <w:spacing w:val="7"/>
              </w:rPr>
              <w:t>法》</w:t>
            </w:r>
            <w:r>
              <w:rPr/>
              <w:t xml:space="preserve"> </w:t>
            </w:r>
            <w:r>
              <w:rPr>
                <w:spacing w:val="7"/>
              </w:rPr>
              <w:t>《中华人民共和国行政处罚法》等法律法规</w:t>
            </w:r>
            <w:r>
              <w:rPr>
                <w:spacing w:val="-13"/>
              </w:rPr>
              <w:t xml:space="preserve"> </w:t>
            </w:r>
            <w:r>
              <w:rPr>
                <w:spacing w:val="7"/>
              </w:rPr>
              <w:t>，</w:t>
            </w:r>
            <w:r>
              <w:rPr>
                <w:spacing w:val="-33"/>
              </w:rPr>
              <w:t xml:space="preserve"> </w:t>
            </w:r>
            <w:r>
              <w:rPr>
                <w:spacing w:val="7"/>
              </w:rPr>
              <w:t>中国证券监督</w:t>
            </w:r>
            <w:r>
              <w:rPr/>
              <w:t xml:space="preserve"> </w:t>
            </w:r>
            <w:r>
              <w:rPr>
                <w:spacing w:val="9"/>
              </w:rPr>
              <w:t>管理委员会决定对实际控制人、控股股东立案。</w:t>
            </w:r>
          </w:p>
        </w:tc>
      </w:tr>
    </w:tbl>
    <w:p>
      <w:pPr>
        <w:pStyle w:val="BodyText"/>
        <w:rPr/>
      </w:pPr>
      <w:r/>
    </w:p>
    <w:p>
      <w:pPr>
        <w:sectPr>
          <w:pgSz w:w="11910" w:h="16840"/>
          <w:pgMar w:top="400" w:right="1698" w:bottom="400" w:left="478" w:header="0" w:footer="0" w:gutter="0"/>
        </w:sectPr>
        <w:rPr/>
      </w:pPr>
    </w:p>
    <w:p>
      <w:pPr>
        <w:spacing w:line="924" w:lineRule="exact"/>
        <w:rPr/>
      </w:pPr>
      <w:r>
        <w:rPr>
          <w:position w:val="-18"/>
        </w:rPr>
        <w:pict>
          <v:group id="_x0000_s30" style="mso-position-vertical-relative:line;mso-position-horizontal-relative:char;width:134.8pt;height:46.25pt;" filled="false" stroked="false" coordsize="2696,925" coordorigin="0,0">
            <v:shape id="_x0000_s32" style="position:absolute;left:0;top:0;width:2696;height:925;" filled="false" stroked="false" type="#_x0000_t75">
              <v:imagedata o:title="" r:id="rId15"/>
            </v:shape>
            <v:shape id="_x0000_s34" style="position:absolute;left:-20;top:-20;width:2736;height:965;" filled="false" stroked="false" type="#_x0000_t202">
              <v:fill on="false"/>
              <v:stroke on="false"/>
              <v:path/>
              <v:imagedata o:title=""/>
              <o:lock v:ext="edit" aspectratio="false"/>
              <v:textbox inset="0mm,0mm,0mm,0mm">
                <w:txbxContent>
                  <w:p>
                    <w:pPr>
                      <w:ind w:left="377"/>
                      <w:spacing w:before="301"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3"/>
                      </w:rPr>
                      <w:t>上交所监管动态</w:t>
                    </w:r>
                  </w:p>
                </w:txbxContent>
              </v:textbox>
            </v:shape>
          </v:group>
        </w:pict>
      </w:r>
    </w:p>
    <w:p>
      <w:pPr>
        <w:pStyle w:val="BodyText"/>
        <w:spacing w:line="280" w:lineRule="auto"/>
        <w:rPr/>
      </w:pPr>
      <w:r/>
    </w:p>
    <w:p>
      <w:pPr>
        <w:ind w:left="938"/>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1、上市公司监管动态</w:t>
      </w:r>
    </w:p>
    <w:p>
      <w:pPr>
        <w:ind w:left="424" w:firstLine="482"/>
        <w:spacing w:before="1" w:line="183"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5"/>
        </w:rPr>
        <w:t>2024年4月22日-4月28日</w:t>
      </w:r>
      <w:r>
        <w:rPr>
          <w:rFonts w:ascii="Microsoft YaHei" w:hAnsi="Microsoft YaHei" w:eastAsia="Microsoft YaHei" w:cs="Microsoft YaHei"/>
          <w:sz w:val="24"/>
          <w:szCs w:val="24"/>
          <w:spacing w:val="-40"/>
        </w:rPr>
        <w:t xml:space="preserve"> </w:t>
      </w:r>
      <w:r>
        <w:rPr>
          <w:rFonts w:ascii="Microsoft YaHei" w:hAnsi="Microsoft YaHei" w:eastAsia="Microsoft YaHei" w:cs="Microsoft YaHei"/>
          <w:sz w:val="24"/>
          <w:szCs w:val="24"/>
          <w:spacing w:val="-5"/>
        </w:rPr>
        <w:t>，上交所公司监管部门作</w:t>
      </w:r>
      <w:r>
        <w:rPr>
          <w:rFonts w:ascii="Microsoft YaHei" w:hAnsi="Microsoft YaHei" w:eastAsia="Microsoft YaHei" w:cs="Microsoft YaHei"/>
          <w:sz w:val="24"/>
          <w:szCs w:val="24"/>
          <w:spacing w:val="-6"/>
        </w:rPr>
        <w:t>出9份监管警示函，对1宗行为予以纪律处分。</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5"/>
        </w:rPr>
        <w:t>同时，加大信息披露和股价异常的联动监管</w:t>
      </w:r>
      <w:r>
        <w:rPr>
          <w:rFonts w:ascii="Microsoft YaHei" w:hAnsi="Microsoft YaHei" w:eastAsia="Microsoft YaHei" w:cs="Microsoft YaHei"/>
          <w:sz w:val="24"/>
          <w:szCs w:val="24"/>
          <w:spacing w:val="-40"/>
        </w:rPr>
        <w:t xml:space="preserve"> </w:t>
      </w:r>
      <w:r>
        <w:rPr>
          <w:rFonts w:ascii="Microsoft YaHei" w:hAnsi="Microsoft YaHei" w:eastAsia="Microsoft YaHei" w:cs="Microsoft YaHei"/>
          <w:sz w:val="24"/>
          <w:szCs w:val="24"/>
          <w:spacing w:val="-5"/>
        </w:rPr>
        <w:t>，针对</w:t>
      </w:r>
      <w:r>
        <w:rPr>
          <w:rFonts w:ascii="Microsoft YaHei" w:hAnsi="Microsoft YaHei" w:eastAsia="Microsoft YaHei" w:cs="Microsoft YaHei"/>
          <w:sz w:val="24"/>
          <w:szCs w:val="24"/>
          <w:spacing w:val="-6"/>
        </w:rPr>
        <w:t>公司披露敏感信息或股价发生明显异常的</w:t>
      </w:r>
      <w:r>
        <w:rPr>
          <w:rFonts w:ascii="Microsoft YaHei" w:hAnsi="Microsoft YaHei" w:eastAsia="Microsoft YaHei" w:cs="Microsoft YaHei"/>
          <w:sz w:val="24"/>
          <w:szCs w:val="24"/>
          <w:spacing w:val="-39"/>
        </w:rPr>
        <w:t xml:space="preserve"> </w:t>
      </w:r>
      <w:r>
        <w:rPr>
          <w:rFonts w:ascii="Microsoft YaHei" w:hAnsi="Microsoft YaHei" w:eastAsia="Microsoft YaHei" w:cs="Microsoft YaHei"/>
          <w:sz w:val="24"/>
          <w:szCs w:val="24"/>
          <w:spacing w:val="-6"/>
        </w:rPr>
        <w:t>，提请启</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动内幕交易、异常交易核查7单。</w:t>
      </w:r>
    </w:p>
    <w:p>
      <w:pPr>
        <w:ind w:firstLine="1606"/>
        <w:spacing w:before="90" w:line="3448" w:lineRule="exact"/>
        <w:rPr/>
      </w:pPr>
      <w:r>
        <w:rPr>
          <w:position w:val="-68"/>
        </w:rPr>
        <w:drawing>
          <wp:inline distT="0" distB="0" distL="0" distR="0">
            <wp:extent cx="5039994" cy="2189480"/>
            <wp:effectExtent l="0" t="0" r="0" b="0"/>
            <wp:docPr id="22" name="IM 22"/>
            <wp:cNvGraphicFramePr/>
            <a:graphic>
              <a:graphicData uri="http://schemas.openxmlformats.org/drawingml/2006/picture">
                <pic:pic>
                  <pic:nvPicPr>
                    <pic:cNvPr id="22" name="IM 22"/>
                    <pic:cNvPicPr/>
                  </pic:nvPicPr>
                  <pic:blipFill>
                    <a:blip r:embed="rId16"/>
                    <a:stretch>
                      <a:fillRect/>
                    </a:stretch>
                  </pic:blipFill>
                  <pic:spPr>
                    <a:xfrm rot="0">
                      <a:off x="0" y="0"/>
                      <a:ext cx="5039994" cy="2189480"/>
                    </a:xfrm>
                    <a:prstGeom prst="rect">
                      <a:avLst/>
                    </a:prstGeom>
                  </pic:spPr>
                </pic:pic>
              </a:graphicData>
            </a:graphic>
          </wp:inline>
        </w:drawing>
      </w:r>
    </w:p>
    <w:p>
      <w:pPr>
        <w:ind w:left="430"/>
        <w:spacing w:before="34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7"/>
        </w:rPr>
        <w:t>（  1  ）监管措施统计</w:t>
      </w:r>
    </w:p>
    <w:p>
      <w:pPr>
        <w:spacing w:before="2"/>
        <w:rPr/>
      </w:pPr>
      <w:r/>
    </w:p>
    <w:p>
      <w:pPr>
        <w:spacing w:before="2"/>
        <w:rPr/>
      </w:pPr>
      <w:r/>
    </w:p>
    <w:tbl>
      <w:tblPr>
        <w:tblStyle w:val="TableNormal"/>
        <w:tblW w:w="8819" w:type="dxa"/>
        <w:tblInd w:w="1202"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1324"/>
        <w:gridCol w:w="5004"/>
      </w:tblGrid>
      <w:tr>
        <w:trPr>
          <w:trHeight w:val="378" w:hRule="atLeast"/>
        </w:trPr>
        <w:tc>
          <w:tcPr>
            <w:shd w:val="clear" w:fill="C0504D"/>
            <w:tcW w:w="1276" w:type="dxa"/>
            <w:vAlign w:val="top"/>
            <w:tcBorders>
              <w:bottom w:val="single" w:color="C0504D" w:sz="10" w:space="0"/>
            </w:tcBorders>
          </w:tcPr>
          <w:p>
            <w:pPr>
              <w:pStyle w:val="TableText"/>
              <w:ind w:left="212"/>
              <w:spacing w:before="92" w:line="189" w:lineRule="auto"/>
              <w:rPr/>
            </w:pPr>
            <w:r>
              <w:rPr>
                <w:b/>
                <w:bCs/>
                <w:color w:val="FFFFFF"/>
                <w:spacing w:val="8"/>
              </w:rPr>
              <w:t>公司代码</w:t>
            </w:r>
          </w:p>
        </w:tc>
        <w:tc>
          <w:tcPr>
            <w:shd w:val="clear" w:fill="C0504D"/>
            <w:tcW w:w="1215" w:type="dxa"/>
            <w:vAlign w:val="top"/>
            <w:tcBorders>
              <w:bottom w:val="single" w:color="C0504D" w:sz="10" w:space="0"/>
            </w:tcBorders>
          </w:tcPr>
          <w:p>
            <w:pPr>
              <w:pStyle w:val="TableText"/>
              <w:ind w:left="179"/>
              <w:spacing w:before="92" w:line="189" w:lineRule="auto"/>
              <w:rPr/>
            </w:pPr>
            <w:r>
              <w:rPr>
                <w:b/>
                <w:bCs/>
                <w:color w:val="FFFFFF"/>
                <w:spacing w:val="8"/>
              </w:rPr>
              <w:t>公司简称</w:t>
            </w:r>
          </w:p>
        </w:tc>
        <w:tc>
          <w:tcPr>
            <w:shd w:val="clear" w:fill="C0504D"/>
            <w:tcW w:w="1324" w:type="dxa"/>
            <w:vAlign w:val="top"/>
            <w:tcBorders>
              <w:bottom w:val="single" w:color="C0504D" w:sz="10" w:space="0"/>
            </w:tcBorders>
          </w:tcPr>
          <w:p>
            <w:pPr>
              <w:pStyle w:val="TableText"/>
              <w:ind w:left="246"/>
              <w:spacing w:before="94" w:line="188" w:lineRule="auto"/>
              <w:rPr/>
            </w:pPr>
            <w:r>
              <w:rPr>
                <w:b/>
                <w:bCs/>
                <w:color w:val="FFFFFF"/>
                <w:spacing w:val="5"/>
              </w:rPr>
              <w:t>函件类别</w:t>
            </w:r>
          </w:p>
        </w:tc>
        <w:tc>
          <w:tcPr>
            <w:shd w:val="clear" w:fill="C0504D"/>
            <w:tcW w:w="5004" w:type="dxa"/>
            <w:vAlign w:val="top"/>
            <w:tcBorders>
              <w:bottom w:val="single" w:color="C0504D" w:sz="10" w:space="0"/>
            </w:tcBorders>
          </w:tcPr>
          <w:p>
            <w:pPr>
              <w:pStyle w:val="TableText"/>
              <w:ind w:left="2074"/>
              <w:spacing w:before="92" w:line="189" w:lineRule="auto"/>
              <w:rPr/>
            </w:pPr>
            <w:r>
              <w:rPr>
                <w:b/>
                <w:bCs/>
                <w:color w:val="FFFFFF"/>
                <w:spacing w:val="8"/>
              </w:rPr>
              <w:t>违规类型</w:t>
            </w:r>
          </w:p>
        </w:tc>
      </w:tr>
      <w:tr>
        <w:trPr>
          <w:trHeight w:val="1437" w:hRule="atLeast"/>
        </w:trPr>
        <w:tc>
          <w:tcPr>
            <w:shd w:val="clear" w:fill="F2DCDC"/>
            <w:tcW w:w="1276" w:type="dxa"/>
            <w:vAlign w:val="top"/>
            <w:tcBorders>
              <w:top w:val="single" w:color="C0504D" w:sz="10" w:space="0"/>
            </w:tcBorders>
          </w:tcPr>
          <w:p>
            <w:pPr>
              <w:pStyle w:val="TableText"/>
              <w:ind w:left="270"/>
              <w:spacing w:before="93" w:line="178" w:lineRule="auto"/>
              <w:rPr/>
            </w:pPr>
            <w:r>
              <w:rPr>
                <w:spacing w:val="3"/>
              </w:rPr>
              <w:t>600338</w:t>
            </w:r>
          </w:p>
        </w:tc>
        <w:tc>
          <w:tcPr>
            <w:shd w:val="clear" w:fill="F2DCDC"/>
            <w:tcW w:w="1215" w:type="dxa"/>
            <w:vAlign w:val="top"/>
            <w:tcBorders>
              <w:top w:val="single" w:color="C0504D" w:sz="10" w:space="0"/>
            </w:tcBorders>
          </w:tcPr>
          <w:p>
            <w:pPr>
              <w:pStyle w:val="TableText"/>
              <w:ind w:left="181"/>
              <w:spacing w:before="78" w:line="189" w:lineRule="auto"/>
              <w:rPr/>
            </w:pPr>
            <w:r>
              <w:rPr>
                <w:spacing w:val="8"/>
              </w:rPr>
              <w:t>西藏珠峰</w:t>
            </w:r>
          </w:p>
        </w:tc>
        <w:tc>
          <w:tcPr>
            <w:shd w:val="clear" w:fill="F2DCDC"/>
            <w:tcW w:w="1324" w:type="dxa"/>
            <w:vAlign w:val="top"/>
            <w:tcBorders>
              <w:top w:val="single" w:color="C0504D" w:sz="10" w:space="0"/>
            </w:tcBorders>
          </w:tcPr>
          <w:p>
            <w:pPr>
              <w:pStyle w:val="TableText"/>
              <w:ind w:left="236"/>
              <w:spacing w:before="78" w:line="189" w:lineRule="auto"/>
              <w:rPr/>
            </w:pPr>
            <w:r>
              <w:rPr>
                <w:spacing w:val="8"/>
              </w:rPr>
              <w:t>监管警示</w:t>
            </w:r>
          </w:p>
        </w:tc>
        <w:tc>
          <w:tcPr>
            <w:shd w:val="clear" w:fill="F2DCDC"/>
            <w:tcW w:w="5004" w:type="dxa"/>
            <w:vAlign w:val="top"/>
            <w:tcBorders>
              <w:top w:val="single" w:color="C0504D" w:sz="10" w:space="0"/>
            </w:tcBorders>
          </w:tcPr>
          <w:p>
            <w:pPr>
              <w:pStyle w:val="TableText"/>
              <w:ind w:left="3" w:right="159" w:firstLine="2"/>
              <w:spacing w:before="77" w:line="236" w:lineRule="auto"/>
              <w:jc w:val="both"/>
              <w:rPr/>
            </w:pPr>
            <w:r>
              <w:rPr>
                <w:spacing w:val="9"/>
              </w:rPr>
              <w:t>西藏珠峰资源股份有限公司披露的相关人员收到监管</w:t>
            </w:r>
            <w:r>
              <w:rPr>
                <w:spacing w:val="15"/>
              </w:rPr>
              <w:t xml:space="preserve"> </w:t>
            </w:r>
            <w:r>
              <w:rPr>
                <w:spacing w:val="8"/>
              </w:rPr>
              <w:t>谈话措施的公告</w:t>
            </w:r>
            <w:r>
              <w:rPr>
                <w:spacing w:val="-19"/>
              </w:rPr>
              <w:t xml:space="preserve"> </w:t>
            </w:r>
            <w:r>
              <w:rPr>
                <w:spacing w:val="8"/>
              </w:rPr>
              <w:t>，未准确披露证监局发出的监管文书</w:t>
            </w:r>
            <w:r>
              <w:rPr/>
              <w:t xml:space="preserve"> </w:t>
            </w:r>
            <w:r>
              <w:rPr>
                <w:spacing w:val="9"/>
              </w:rPr>
              <w:t>,  </w:t>
            </w:r>
            <w:r>
              <w:rPr>
                <w:b/>
                <w:bCs/>
                <w:spacing w:val="9"/>
              </w:rPr>
              <w:t>公告中存在多个错别字</w:t>
            </w:r>
            <w:r>
              <w:rPr>
                <w:b/>
                <w:bCs/>
                <w:spacing w:val="-26"/>
              </w:rPr>
              <w:t xml:space="preserve"> </w:t>
            </w:r>
            <w:r>
              <w:rPr>
                <w:spacing w:val="9"/>
              </w:rPr>
              <w:t>，反映出公司信息披露内控</w:t>
            </w:r>
            <w:r>
              <w:rPr/>
              <w:t xml:space="preserve"> </w:t>
            </w:r>
            <w:r>
              <w:rPr>
                <w:spacing w:val="7"/>
              </w:rPr>
              <w:t>流于形式。</w:t>
            </w:r>
          </w:p>
        </w:tc>
      </w:tr>
      <w:tr>
        <w:trPr>
          <w:trHeight w:val="1441" w:hRule="atLeast"/>
        </w:trPr>
        <w:tc>
          <w:tcPr>
            <w:tcW w:w="1276" w:type="dxa"/>
            <w:vAlign w:val="top"/>
          </w:tcPr>
          <w:p>
            <w:pPr>
              <w:pStyle w:val="TableText"/>
              <w:ind w:left="270"/>
              <w:spacing w:before="102" w:line="178" w:lineRule="auto"/>
              <w:rPr/>
            </w:pPr>
            <w:r>
              <w:rPr>
                <w:spacing w:val="3"/>
              </w:rPr>
              <w:t>603650</w:t>
            </w:r>
          </w:p>
        </w:tc>
        <w:tc>
          <w:tcPr>
            <w:tcW w:w="1215" w:type="dxa"/>
            <w:vAlign w:val="top"/>
          </w:tcPr>
          <w:p>
            <w:pPr>
              <w:pStyle w:val="TableText"/>
              <w:ind w:left="177"/>
              <w:spacing w:before="88" w:line="189" w:lineRule="auto"/>
              <w:rPr/>
            </w:pPr>
            <w:r>
              <w:rPr>
                <w:spacing w:val="9"/>
              </w:rPr>
              <w:t>彤程新材</w:t>
            </w:r>
          </w:p>
        </w:tc>
        <w:tc>
          <w:tcPr>
            <w:tcW w:w="1324" w:type="dxa"/>
            <w:vAlign w:val="top"/>
          </w:tcPr>
          <w:p>
            <w:pPr>
              <w:pStyle w:val="TableText"/>
              <w:ind w:left="236"/>
              <w:spacing w:before="88" w:line="189" w:lineRule="auto"/>
              <w:rPr/>
            </w:pPr>
            <w:r>
              <w:rPr>
                <w:spacing w:val="8"/>
              </w:rPr>
              <w:t>监管警示</w:t>
            </w:r>
          </w:p>
        </w:tc>
        <w:tc>
          <w:tcPr>
            <w:tcW w:w="5004" w:type="dxa"/>
            <w:vAlign w:val="top"/>
          </w:tcPr>
          <w:p>
            <w:pPr>
              <w:pStyle w:val="TableText"/>
              <w:ind w:left="2" w:right="44" w:firstLine="15"/>
              <w:spacing w:before="48"/>
              <w:rPr/>
            </w:pPr>
            <w:r>
              <w:rPr>
                <w:spacing w:val="7"/>
              </w:rPr>
              <w:t>5%以上的股东经主动减持和被动稀释</w:t>
            </w:r>
            <w:r>
              <w:rPr>
                <w:spacing w:val="-12"/>
              </w:rPr>
              <w:t xml:space="preserve"> </w:t>
            </w:r>
            <w:r>
              <w:rPr>
                <w:spacing w:val="7"/>
              </w:rPr>
              <w:t>，未按规定在</w:t>
            </w:r>
            <w:r>
              <w:rPr>
                <w:b/>
                <w:bCs/>
                <w:spacing w:val="7"/>
              </w:rPr>
              <w:t>持</w:t>
            </w:r>
            <w:r>
              <w:rPr>
                <w:b/>
                <w:bCs/>
              </w:rPr>
              <w:t xml:space="preserve"> </w:t>
            </w:r>
            <w:r>
              <w:rPr>
                <w:b/>
                <w:bCs/>
                <w:spacing w:val="8"/>
              </w:rPr>
              <w:t>股变动达5%时</w:t>
            </w:r>
            <w:r>
              <w:rPr>
                <w:spacing w:val="8"/>
              </w:rPr>
              <w:t>停止交易</w:t>
            </w:r>
            <w:r>
              <w:rPr>
                <w:spacing w:val="-20"/>
              </w:rPr>
              <w:t xml:space="preserve"> </w:t>
            </w:r>
            <w:r>
              <w:rPr>
                <w:spacing w:val="8"/>
              </w:rPr>
              <w:t>，且未及时通知公司并履行权</w:t>
            </w:r>
            <w:r>
              <w:rPr/>
              <w:t xml:space="preserve"> </w:t>
            </w:r>
            <w:r>
              <w:rPr>
                <w:spacing w:val="8"/>
              </w:rPr>
              <w:t>益变动披露义务</w:t>
            </w:r>
            <w:r>
              <w:rPr>
                <w:spacing w:val="-21"/>
              </w:rPr>
              <w:t xml:space="preserve"> </w:t>
            </w:r>
            <w:r>
              <w:rPr>
                <w:spacing w:val="8"/>
              </w:rPr>
              <w:t>，超比例主动减持股份占总股本的</w:t>
            </w:r>
          </w:p>
          <w:p>
            <w:pPr>
              <w:pStyle w:val="TableText"/>
              <w:ind w:left="9"/>
              <w:spacing w:before="50" w:line="211" w:lineRule="auto"/>
              <w:rPr/>
            </w:pPr>
            <w:r>
              <w:rPr>
                <w:spacing w:val="2"/>
              </w:rPr>
              <w:t>0.20%。</w:t>
            </w:r>
          </w:p>
        </w:tc>
      </w:tr>
      <w:tr>
        <w:trPr>
          <w:trHeight w:val="364" w:hRule="atLeast"/>
        </w:trPr>
        <w:tc>
          <w:tcPr>
            <w:shd w:val="clear" w:fill="F2DCDC"/>
            <w:tcW w:w="1276" w:type="dxa"/>
            <w:vAlign w:val="top"/>
          </w:tcPr>
          <w:p>
            <w:pPr>
              <w:pStyle w:val="TableText"/>
              <w:ind w:left="270"/>
              <w:spacing w:before="105" w:line="174" w:lineRule="auto"/>
              <w:rPr/>
            </w:pPr>
            <w:r>
              <w:rPr>
                <w:spacing w:val="3"/>
              </w:rPr>
              <w:t>688350</w:t>
            </w:r>
          </w:p>
        </w:tc>
        <w:tc>
          <w:tcPr>
            <w:shd w:val="clear" w:fill="F2DCDC"/>
            <w:tcW w:w="1215" w:type="dxa"/>
            <w:vAlign w:val="top"/>
          </w:tcPr>
          <w:p>
            <w:pPr>
              <w:pStyle w:val="TableText"/>
              <w:ind w:left="187"/>
              <w:spacing w:before="90" w:line="184" w:lineRule="auto"/>
              <w:rPr/>
            </w:pPr>
            <w:r>
              <w:rPr>
                <w:spacing w:val="6"/>
              </w:rPr>
              <w:t>富淼科技</w:t>
            </w:r>
          </w:p>
        </w:tc>
        <w:tc>
          <w:tcPr>
            <w:shd w:val="clear" w:fill="F2DCDC"/>
            <w:tcW w:w="1324" w:type="dxa"/>
            <w:vAlign w:val="top"/>
          </w:tcPr>
          <w:p>
            <w:pPr>
              <w:pStyle w:val="TableText"/>
              <w:ind w:left="236"/>
              <w:spacing w:before="90" w:line="184" w:lineRule="auto"/>
              <w:rPr/>
            </w:pPr>
            <w:r>
              <w:rPr>
                <w:spacing w:val="8"/>
              </w:rPr>
              <w:t>监管警示</w:t>
            </w:r>
          </w:p>
        </w:tc>
        <w:tc>
          <w:tcPr>
            <w:shd w:val="clear" w:fill="F2DCDC"/>
            <w:tcW w:w="5004" w:type="dxa"/>
            <w:vAlign w:val="top"/>
          </w:tcPr>
          <w:p>
            <w:pPr>
              <w:pStyle w:val="TableText"/>
              <w:ind w:left="11"/>
              <w:spacing w:before="90" w:line="184" w:lineRule="auto"/>
              <w:rPr/>
            </w:pPr>
            <w:r>
              <w:rPr>
                <w:spacing w:val="7"/>
              </w:rPr>
              <w:t>时任董事</w:t>
            </w:r>
            <w:r>
              <w:rPr>
                <w:b/>
                <w:bCs/>
                <w:spacing w:val="7"/>
              </w:rPr>
              <w:t>短线交易</w:t>
            </w:r>
            <w:r>
              <w:rPr>
                <w:spacing w:val="7"/>
              </w:rPr>
              <w:t>。</w:t>
            </w:r>
          </w:p>
        </w:tc>
      </w:tr>
      <w:tr>
        <w:trPr>
          <w:trHeight w:val="364" w:hRule="atLeast"/>
        </w:trPr>
        <w:tc>
          <w:tcPr>
            <w:tcW w:w="1276" w:type="dxa"/>
            <w:vAlign w:val="top"/>
          </w:tcPr>
          <w:p>
            <w:pPr>
              <w:pStyle w:val="TableText"/>
              <w:ind w:left="270"/>
              <w:spacing w:before="106" w:line="173" w:lineRule="auto"/>
              <w:rPr/>
            </w:pPr>
            <w:r>
              <w:rPr>
                <w:spacing w:val="3"/>
              </w:rPr>
              <w:t>688156</w:t>
            </w:r>
          </w:p>
        </w:tc>
        <w:tc>
          <w:tcPr>
            <w:tcW w:w="1215" w:type="dxa"/>
            <w:vAlign w:val="top"/>
          </w:tcPr>
          <w:p>
            <w:pPr>
              <w:pStyle w:val="TableText"/>
              <w:ind w:left="178"/>
              <w:spacing w:before="93" w:line="182" w:lineRule="auto"/>
              <w:rPr/>
            </w:pPr>
            <w:r>
              <w:rPr>
                <w:spacing w:val="8"/>
              </w:rPr>
              <w:t>路德环境</w:t>
            </w:r>
          </w:p>
        </w:tc>
        <w:tc>
          <w:tcPr>
            <w:tcW w:w="1324" w:type="dxa"/>
            <w:vAlign w:val="top"/>
          </w:tcPr>
          <w:p>
            <w:pPr>
              <w:pStyle w:val="TableText"/>
              <w:ind w:left="236"/>
              <w:spacing w:before="93" w:line="182" w:lineRule="auto"/>
              <w:rPr/>
            </w:pPr>
            <w:r>
              <w:rPr>
                <w:spacing w:val="8"/>
              </w:rPr>
              <w:t>监管警示</w:t>
            </w:r>
          </w:p>
        </w:tc>
        <w:tc>
          <w:tcPr>
            <w:tcW w:w="5004" w:type="dxa"/>
            <w:vAlign w:val="top"/>
          </w:tcPr>
          <w:p>
            <w:pPr>
              <w:pStyle w:val="TableText"/>
              <w:ind w:left="11"/>
              <w:spacing w:before="93" w:line="182" w:lineRule="auto"/>
              <w:rPr/>
            </w:pPr>
            <w:r>
              <w:rPr>
                <w:spacing w:val="8"/>
              </w:rPr>
              <w:t>时任董事在</w:t>
            </w:r>
            <w:r>
              <w:rPr>
                <w:b/>
                <w:bCs/>
                <w:spacing w:val="8"/>
              </w:rPr>
              <w:t>窗口期</w:t>
            </w:r>
            <w:r>
              <w:rPr>
                <w:spacing w:val="8"/>
              </w:rPr>
              <w:t>违规买卖股票。</w:t>
            </w:r>
          </w:p>
        </w:tc>
      </w:tr>
      <w:tr>
        <w:trPr>
          <w:trHeight w:val="1441" w:hRule="atLeast"/>
        </w:trPr>
        <w:tc>
          <w:tcPr>
            <w:shd w:val="clear" w:fill="F2DCDC"/>
            <w:tcW w:w="1276" w:type="dxa"/>
            <w:vAlign w:val="top"/>
          </w:tcPr>
          <w:p>
            <w:pPr>
              <w:pStyle w:val="TableText"/>
              <w:ind w:left="270"/>
              <w:spacing w:before="108" w:line="178" w:lineRule="auto"/>
              <w:rPr/>
            </w:pPr>
            <w:r>
              <w:rPr>
                <w:spacing w:val="3"/>
              </w:rPr>
              <w:t>600338</w:t>
            </w:r>
          </w:p>
        </w:tc>
        <w:tc>
          <w:tcPr>
            <w:shd w:val="clear" w:fill="F2DCDC"/>
            <w:tcW w:w="1215" w:type="dxa"/>
            <w:vAlign w:val="top"/>
          </w:tcPr>
          <w:p>
            <w:pPr>
              <w:pStyle w:val="TableText"/>
              <w:ind w:left="181"/>
              <w:spacing w:before="94" w:line="189" w:lineRule="auto"/>
              <w:rPr/>
            </w:pPr>
            <w:r>
              <w:rPr>
                <w:spacing w:val="8"/>
              </w:rPr>
              <w:t>西藏珠峰</w:t>
            </w:r>
          </w:p>
        </w:tc>
        <w:tc>
          <w:tcPr>
            <w:shd w:val="clear" w:fill="F2DCDC"/>
            <w:tcW w:w="1324" w:type="dxa"/>
            <w:vAlign w:val="top"/>
          </w:tcPr>
          <w:p>
            <w:pPr>
              <w:pStyle w:val="TableText"/>
              <w:ind w:left="236"/>
              <w:spacing w:before="94" w:line="189" w:lineRule="auto"/>
              <w:rPr/>
            </w:pPr>
            <w:r>
              <w:rPr>
                <w:spacing w:val="8"/>
              </w:rPr>
              <w:t>监管警示</w:t>
            </w:r>
          </w:p>
        </w:tc>
        <w:tc>
          <w:tcPr>
            <w:shd w:val="clear" w:fill="F2DCDC"/>
            <w:tcW w:w="5004" w:type="dxa"/>
            <w:vAlign w:val="top"/>
          </w:tcPr>
          <w:p>
            <w:pPr>
              <w:pStyle w:val="TableText"/>
              <w:ind w:left="1" w:right="159" w:firstLine="19"/>
              <w:spacing w:before="92" w:line="234" w:lineRule="auto"/>
              <w:jc w:val="both"/>
              <w:rPr/>
            </w:pPr>
            <w:r>
              <w:rPr>
                <w:spacing w:val="7"/>
              </w:rPr>
              <w:t>由于公司工作疏忽</w:t>
            </w:r>
            <w:r>
              <w:rPr>
                <w:spacing w:val="-14"/>
              </w:rPr>
              <w:t xml:space="preserve"> </w:t>
            </w:r>
            <w:r>
              <w:rPr>
                <w:spacing w:val="7"/>
              </w:rPr>
              <w:t>，导致</w:t>
            </w:r>
            <w:r>
              <w:rPr>
                <w:b/>
                <w:bCs/>
                <w:spacing w:val="7"/>
              </w:rPr>
              <w:t>公告中存在文字错误</w:t>
            </w:r>
            <w:r>
              <w:rPr>
                <w:spacing w:val="7"/>
              </w:rPr>
              <w:t>。主要</w:t>
            </w:r>
            <w:r>
              <w:rPr/>
              <w:t xml:space="preserve"> </w:t>
            </w:r>
            <w:r>
              <w:rPr>
                <w:spacing w:val="10"/>
              </w:rPr>
              <w:t>原因系公司工作人员在拷贝</w:t>
            </w:r>
            <w:r>
              <w:rPr/>
              <w:t>PDF</w:t>
            </w:r>
            <w:r>
              <w:rPr>
                <w:spacing w:val="10"/>
              </w:rPr>
              <w:t>文件后未进行仔细检</w:t>
            </w:r>
            <w:r>
              <w:rPr>
                <w:spacing w:val="16"/>
              </w:rPr>
              <w:t xml:space="preserve"> </w:t>
            </w:r>
            <w:r>
              <w:rPr>
                <w:spacing w:val="7"/>
              </w:rPr>
              <w:t>查复核</w:t>
            </w:r>
            <w:r>
              <w:rPr>
                <w:spacing w:val="-28"/>
              </w:rPr>
              <w:t xml:space="preserve"> </w:t>
            </w:r>
            <w:r>
              <w:rPr>
                <w:spacing w:val="7"/>
              </w:rPr>
              <w:t>，导致了文中出现多处错别字</w:t>
            </w:r>
            <w:r>
              <w:rPr>
                <w:spacing w:val="-25"/>
              </w:rPr>
              <w:t xml:space="preserve"> </w:t>
            </w:r>
            <w:r>
              <w:rPr>
                <w:spacing w:val="7"/>
              </w:rPr>
              <w:t>，与证监局发出</w:t>
            </w:r>
            <w:r>
              <w:rPr/>
              <w:t xml:space="preserve"> </w:t>
            </w:r>
            <w:r>
              <w:rPr>
                <w:spacing w:val="8"/>
              </w:rPr>
              <w:t>的监管文书不符。</w:t>
            </w:r>
          </w:p>
        </w:tc>
      </w:tr>
      <w:tr>
        <w:trPr>
          <w:trHeight w:val="365" w:hRule="atLeast"/>
        </w:trPr>
        <w:tc>
          <w:tcPr>
            <w:tcW w:w="1276" w:type="dxa"/>
            <w:vAlign w:val="top"/>
          </w:tcPr>
          <w:p>
            <w:pPr>
              <w:pStyle w:val="TableText"/>
              <w:ind w:left="270"/>
              <w:spacing w:before="113" w:line="169" w:lineRule="auto"/>
              <w:rPr/>
            </w:pPr>
            <w:r>
              <w:rPr>
                <w:spacing w:val="3"/>
              </w:rPr>
              <w:t>603716</w:t>
            </w:r>
          </w:p>
        </w:tc>
        <w:tc>
          <w:tcPr>
            <w:tcW w:w="1215" w:type="dxa"/>
            <w:vAlign w:val="top"/>
          </w:tcPr>
          <w:p>
            <w:pPr>
              <w:pStyle w:val="TableText"/>
              <w:ind w:left="178"/>
              <w:spacing w:before="99" w:line="179" w:lineRule="auto"/>
              <w:rPr/>
            </w:pPr>
            <w:r>
              <w:rPr>
                <w:spacing w:val="8"/>
              </w:rPr>
              <w:t>塞力医疗</w:t>
            </w:r>
          </w:p>
        </w:tc>
        <w:tc>
          <w:tcPr>
            <w:tcW w:w="1324" w:type="dxa"/>
            <w:vAlign w:val="top"/>
          </w:tcPr>
          <w:p>
            <w:pPr>
              <w:pStyle w:val="TableText"/>
              <w:ind w:left="236"/>
              <w:spacing w:before="99" w:line="179" w:lineRule="auto"/>
              <w:rPr/>
            </w:pPr>
            <w:r>
              <w:rPr>
                <w:spacing w:val="8"/>
              </w:rPr>
              <w:t>监管警示</w:t>
            </w:r>
          </w:p>
        </w:tc>
        <w:tc>
          <w:tcPr>
            <w:tcW w:w="5004" w:type="dxa"/>
            <w:vAlign w:val="top"/>
          </w:tcPr>
          <w:p>
            <w:pPr>
              <w:pStyle w:val="TableText"/>
              <w:ind w:left="2"/>
              <w:spacing w:before="99" w:line="179" w:lineRule="auto"/>
              <w:rPr/>
            </w:pPr>
            <w:r>
              <w:rPr>
                <w:spacing w:val="9"/>
              </w:rPr>
              <w:t>公司三年到期后</w:t>
            </w:r>
            <w:r>
              <w:rPr>
                <w:b/>
                <w:bCs/>
                <w:spacing w:val="9"/>
              </w:rPr>
              <w:t>未注销回购的相应股份</w:t>
            </w:r>
            <w:r>
              <w:rPr>
                <w:spacing w:val="9"/>
              </w:rPr>
              <w:t>。</w:t>
            </w:r>
          </w:p>
        </w:tc>
      </w:tr>
      <w:tr>
        <w:trPr>
          <w:trHeight w:val="1082" w:hRule="atLeast"/>
        </w:trPr>
        <w:tc>
          <w:tcPr>
            <w:shd w:val="clear" w:fill="F2DCDC"/>
            <w:tcW w:w="1276" w:type="dxa"/>
            <w:vAlign w:val="top"/>
          </w:tcPr>
          <w:p>
            <w:pPr>
              <w:pStyle w:val="TableText"/>
              <w:ind w:left="270"/>
              <w:spacing w:before="113" w:line="178" w:lineRule="auto"/>
              <w:rPr/>
            </w:pPr>
            <w:r>
              <w:rPr>
                <w:spacing w:val="3"/>
              </w:rPr>
              <w:t>603327</w:t>
            </w:r>
          </w:p>
        </w:tc>
        <w:tc>
          <w:tcPr>
            <w:shd w:val="clear" w:fill="F2DCDC"/>
            <w:tcW w:w="1215" w:type="dxa"/>
            <w:vAlign w:val="top"/>
          </w:tcPr>
          <w:p>
            <w:pPr>
              <w:pStyle w:val="TableText"/>
              <w:ind w:left="178"/>
              <w:spacing w:before="98" w:line="189" w:lineRule="auto"/>
              <w:rPr/>
            </w:pPr>
            <w:r>
              <w:rPr>
                <w:spacing w:val="8"/>
              </w:rPr>
              <w:t>福蓉科技</w:t>
            </w:r>
          </w:p>
        </w:tc>
        <w:tc>
          <w:tcPr>
            <w:shd w:val="clear" w:fill="F2DCDC"/>
            <w:tcW w:w="1324" w:type="dxa"/>
            <w:vAlign w:val="top"/>
          </w:tcPr>
          <w:p>
            <w:pPr>
              <w:pStyle w:val="TableText"/>
              <w:ind w:left="236"/>
              <w:spacing w:before="98" w:line="189" w:lineRule="auto"/>
              <w:rPr/>
            </w:pPr>
            <w:r>
              <w:rPr>
                <w:spacing w:val="8"/>
              </w:rPr>
              <w:t>监管警示</w:t>
            </w:r>
          </w:p>
        </w:tc>
        <w:tc>
          <w:tcPr>
            <w:shd w:val="clear" w:fill="F2DCDC"/>
            <w:tcW w:w="5004" w:type="dxa"/>
            <w:vAlign w:val="top"/>
          </w:tcPr>
          <w:p>
            <w:pPr>
              <w:pStyle w:val="TableText"/>
              <w:ind w:left="1" w:right="39" w:firstLine="1"/>
              <w:spacing w:before="98" w:line="227" w:lineRule="auto"/>
              <w:rPr/>
            </w:pPr>
            <w:r>
              <w:rPr>
                <w:spacing w:val="8"/>
              </w:rPr>
              <w:t>公司在</w:t>
            </w:r>
            <w:r>
              <w:rPr>
                <w:b/>
                <w:bCs/>
                <w:spacing w:val="8"/>
              </w:rPr>
              <w:t>上证e互动平台</w:t>
            </w:r>
            <w:r>
              <w:rPr>
                <w:spacing w:val="8"/>
              </w:rPr>
              <w:t>发布与</w:t>
            </w:r>
            <w:r>
              <w:rPr/>
              <w:t>AI</w:t>
            </w:r>
            <w:r>
              <w:rPr>
                <w:spacing w:val="8"/>
              </w:rPr>
              <w:t>相关信息</w:t>
            </w:r>
            <w:r>
              <w:rPr>
                <w:spacing w:val="-14"/>
              </w:rPr>
              <w:t xml:space="preserve"> </w:t>
            </w:r>
            <w:r>
              <w:rPr>
                <w:spacing w:val="8"/>
              </w:rPr>
              <w:t>，未根据公司</w:t>
            </w:r>
            <w:r>
              <w:rPr/>
              <w:t xml:space="preserve"> </w:t>
            </w:r>
            <w:r>
              <w:rPr>
                <w:spacing w:val="8"/>
              </w:rPr>
              <w:t>实际情况说明公司产品与</w:t>
            </w:r>
            <w:r>
              <w:rPr/>
              <w:t>AI</w:t>
            </w:r>
            <w:r>
              <w:rPr>
                <w:spacing w:val="8"/>
              </w:rPr>
              <w:t>功能无关</w:t>
            </w:r>
            <w:r>
              <w:rPr>
                <w:spacing w:val="-8"/>
              </w:rPr>
              <w:t xml:space="preserve"> </w:t>
            </w:r>
            <w:r>
              <w:rPr>
                <w:spacing w:val="8"/>
              </w:rPr>
              <w:t>，发布信息不准</w:t>
            </w:r>
            <w:r>
              <w:rPr/>
              <w:t xml:space="preserve">   </w:t>
            </w:r>
            <w:r>
              <w:rPr>
                <w:spacing w:val="7"/>
              </w:rPr>
              <w:t>确、不完整</w:t>
            </w:r>
            <w:r>
              <w:rPr>
                <w:spacing w:val="-17"/>
              </w:rPr>
              <w:t xml:space="preserve"> </w:t>
            </w:r>
            <w:r>
              <w:rPr>
                <w:spacing w:val="7"/>
              </w:rPr>
              <w:t>，可能对投资者决策产生误导。</w:t>
            </w:r>
          </w:p>
        </w:tc>
      </w:tr>
      <w:tr>
        <w:trPr>
          <w:trHeight w:val="724" w:hRule="atLeast"/>
        </w:trPr>
        <w:tc>
          <w:tcPr>
            <w:tcW w:w="1276" w:type="dxa"/>
            <w:vAlign w:val="top"/>
          </w:tcPr>
          <w:p>
            <w:pPr>
              <w:pStyle w:val="TableText"/>
              <w:ind w:left="270"/>
              <w:spacing w:before="116" w:line="179" w:lineRule="auto"/>
              <w:rPr/>
            </w:pPr>
            <w:r>
              <w:rPr>
                <w:spacing w:val="3"/>
              </w:rPr>
              <w:t>603180</w:t>
            </w:r>
          </w:p>
        </w:tc>
        <w:tc>
          <w:tcPr>
            <w:tcW w:w="1215" w:type="dxa"/>
            <w:vAlign w:val="top"/>
          </w:tcPr>
          <w:p>
            <w:pPr>
              <w:pStyle w:val="TableText"/>
              <w:ind w:left="177"/>
              <w:spacing w:before="103" w:line="189" w:lineRule="auto"/>
              <w:rPr/>
            </w:pPr>
            <w:r>
              <w:rPr>
                <w:spacing w:val="9"/>
              </w:rPr>
              <w:t>金牌厨柜</w:t>
            </w:r>
          </w:p>
        </w:tc>
        <w:tc>
          <w:tcPr>
            <w:tcW w:w="1324" w:type="dxa"/>
            <w:vAlign w:val="top"/>
          </w:tcPr>
          <w:p>
            <w:pPr>
              <w:pStyle w:val="TableText"/>
              <w:ind w:left="236"/>
              <w:spacing w:before="103" w:line="189" w:lineRule="auto"/>
              <w:rPr/>
            </w:pPr>
            <w:r>
              <w:rPr>
                <w:spacing w:val="8"/>
              </w:rPr>
              <w:t>监管警示</w:t>
            </w:r>
          </w:p>
        </w:tc>
        <w:tc>
          <w:tcPr>
            <w:tcW w:w="5004" w:type="dxa"/>
            <w:vAlign w:val="top"/>
          </w:tcPr>
          <w:p>
            <w:pPr>
              <w:pStyle w:val="TableText"/>
              <w:ind w:left="2" w:right="37"/>
              <w:spacing w:before="102" w:line="214" w:lineRule="auto"/>
              <w:rPr/>
            </w:pPr>
            <w:r>
              <w:rPr>
                <w:spacing w:val="9"/>
              </w:rPr>
              <w:t>公司时任监事在6个月内买入又卖出其所持可转换公司</w:t>
            </w:r>
            <w:r>
              <w:rPr>
                <w:spacing w:val="14"/>
              </w:rPr>
              <w:t xml:space="preserve"> </w:t>
            </w:r>
            <w:r>
              <w:rPr>
                <w:spacing w:val="6"/>
              </w:rPr>
              <w:t>债券的行为</w:t>
            </w:r>
            <w:r>
              <w:rPr>
                <w:spacing w:val="-24"/>
              </w:rPr>
              <w:t xml:space="preserve"> </w:t>
            </w:r>
            <w:r>
              <w:rPr>
                <w:spacing w:val="6"/>
              </w:rPr>
              <w:t>，构成</w:t>
            </w:r>
            <w:r>
              <w:rPr>
                <w:b/>
                <w:bCs/>
                <w:spacing w:val="6"/>
              </w:rPr>
              <w:t>短线交易。</w:t>
            </w:r>
          </w:p>
        </w:tc>
      </w:tr>
      <w:tr>
        <w:trPr>
          <w:trHeight w:val="723" w:hRule="atLeast"/>
        </w:trPr>
        <w:tc>
          <w:tcPr>
            <w:shd w:val="clear" w:fill="F2DCDC"/>
            <w:tcW w:w="1276" w:type="dxa"/>
            <w:vAlign w:val="top"/>
          </w:tcPr>
          <w:p>
            <w:pPr>
              <w:pStyle w:val="TableText"/>
              <w:ind w:left="270"/>
              <w:spacing w:before="118" w:line="178" w:lineRule="auto"/>
              <w:rPr/>
            </w:pPr>
            <w:r>
              <w:rPr>
                <w:spacing w:val="3"/>
              </w:rPr>
              <w:t>603843</w:t>
            </w:r>
          </w:p>
        </w:tc>
        <w:tc>
          <w:tcPr>
            <w:shd w:val="clear" w:fill="F2DCDC"/>
            <w:tcW w:w="1215" w:type="dxa"/>
            <w:vAlign w:val="top"/>
          </w:tcPr>
          <w:p>
            <w:pPr>
              <w:pStyle w:val="TableText"/>
              <w:ind w:left="178"/>
              <w:spacing w:before="105" w:line="188" w:lineRule="auto"/>
              <w:rPr/>
            </w:pPr>
            <w:r>
              <w:rPr>
                <w:spacing w:val="8"/>
              </w:rPr>
              <w:t>正平股份</w:t>
            </w:r>
          </w:p>
        </w:tc>
        <w:tc>
          <w:tcPr>
            <w:shd w:val="clear" w:fill="F2DCDC"/>
            <w:tcW w:w="1324" w:type="dxa"/>
            <w:vAlign w:val="top"/>
          </w:tcPr>
          <w:p>
            <w:pPr>
              <w:pStyle w:val="TableText"/>
              <w:ind w:left="234"/>
              <w:spacing w:before="106" w:line="187" w:lineRule="auto"/>
              <w:rPr/>
            </w:pPr>
            <w:r>
              <w:rPr>
                <w:spacing w:val="8"/>
              </w:rPr>
              <w:t>公开谴责</w:t>
            </w:r>
          </w:p>
        </w:tc>
        <w:tc>
          <w:tcPr>
            <w:shd w:val="clear" w:fill="F2DCDC"/>
            <w:tcW w:w="5004" w:type="dxa"/>
            <w:vAlign w:val="top"/>
          </w:tcPr>
          <w:p>
            <w:pPr>
              <w:pStyle w:val="TableText"/>
              <w:ind w:left="3" w:right="87" w:hanging="1"/>
              <w:spacing w:before="103" w:line="213" w:lineRule="auto"/>
              <w:rPr/>
            </w:pPr>
            <w:r>
              <w:rPr>
                <w:spacing w:val="9"/>
              </w:rPr>
              <w:t>公司虚构供应商工程量、虚增合同履约成本导致2021</w:t>
            </w:r>
            <w:r>
              <w:rPr>
                <w:spacing w:val="3"/>
              </w:rPr>
              <w:t xml:space="preserve"> </w:t>
            </w:r>
            <w:r>
              <w:rPr>
                <w:spacing w:val="8"/>
              </w:rPr>
              <w:t>年年度报告和2022年半年度报告存在</w:t>
            </w:r>
            <w:r>
              <w:rPr>
                <w:b/>
                <w:bCs/>
                <w:spacing w:val="8"/>
              </w:rPr>
              <w:t>虚假记载</w:t>
            </w:r>
            <w:r>
              <w:rPr>
                <w:spacing w:val="8"/>
              </w:rPr>
              <w:t>。</w:t>
            </w:r>
          </w:p>
        </w:tc>
      </w:tr>
      <w:tr>
        <w:trPr>
          <w:trHeight w:val="391" w:hRule="atLeast"/>
        </w:trPr>
        <w:tc>
          <w:tcPr>
            <w:tcW w:w="1276" w:type="dxa"/>
            <w:vAlign w:val="top"/>
          </w:tcPr>
          <w:p>
            <w:pPr>
              <w:pStyle w:val="TableText"/>
              <w:ind w:left="270"/>
              <w:spacing w:before="122" w:line="178" w:lineRule="auto"/>
              <w:rPr/>
            </w:pPr>
            <w:r>
              <w:rPr>
                <w:spacing w:val="3"/>
              </w:rPr>
              <w:t>688033</w:t>
            </w:r>
          </w:p>
        </w:tc>
        <w:tc>
          <w:tcPr>
            <w:tcW w:w="1215" w:type="dxa"/>
            <w:vAlign w:val="top"/>
          </w:tcPr>
          <w:p>
            <w:pPr>
              <w:pStyle w:val="TableText"/>
              <w:ind w:left="178"/>
              <w:spacing w:before="107" w:line="189" w:lineRule="auto"/>
              <w:rPr/>
            </w:pPr>
            <w:r>
              <w:rPr>
                <w:spacing w:val="8"/>
              </w:rPr>
              <w:t>天宜上佳</w:t>
            </w:r>
          </w:p>
        </w:tc>
        <w:tc>
          <w:tcPr>
            <w:tcW w:w="1324" w:type="dxa"/>
            <w:vAlign w:val="top"/>
          </w:tcPr>
          <w:p>
            <w:pPr>
              <w:pStyle w:val="TableText"/>
              <w:ind w:left="236"/>
              <w:spacing w:before="107" w:line="189" w:lineRule="auto"/>
              <w:rPr/>
            </w:pPr>
            <w:r>
              <w:rPr>
                <w:spacing w:val="8"/>
              </w:rPr>
              <w:t>监管警示</w:t>
            </w:r>
          </w:p>
        </w:tc>
        <w:tc>
          <w:tcPr>
            <w:tcW w:w="5004" w:type="dxa"/>
            <w:vAlign w:val="top"/>
          </w:tcPr>
          <w:p>
            <w:pPr>
              <w:pStyle w:val="TableText"/>
              <w:ind w:left="2"/>
              <w:spacing w:before="107" w:line="189" w:lineRule="auto"/>
              <w:rPr/>
            </w:pPr>
            <w:r>
              <w:rPr>
                <w:spacing w:val="9"/>
              </w:rPr>
              <w:t>公司未及时披露公司实际控制人、董事长</w:t>
            </w:r>
            <w:r>
              <w:rPr>
                <w:b/>
                <w:bCs/>
                <w:spacing w:val="9"/>
              </w:rPr>
              <w:t>被有权机关</w:t>
            </w:r>
          </w:p>
        </w:tc>
      </w:tr>
    </w:tbl>
    <w:p>
      <w:pPr>
        <w:pStyle w:val="BodyText"/>
        <w:spacing w:line="14" w:lineRule="auto"/>
        <w:rPr>
          <w:sz w:val="2"/>
        </w:rPr>
      </w:pPr>
      <w:r/>
    </w:p>
    <w:p>
      <w:pPr>
        <w:spacing w:line="14" w:lineRule="auto"/>
        <w:sectPr>
          <w:pgSz w:w="11910" w:h="16840"/>
          <w:pgMar w:top="374" w:right="575" w:bottom="231" w:left="463" w:header="0" w:footer="0" w:gutter="0"/>
        </w:sectPr>
        <w:rPr>
          <w:sz w:val="2"/>
          <w:szCs w:val="2"/>
        </w:rPr>
      </w:pPr>
    </w:p>
    <w:tbl>
      <w:tblPr>
        <w:tblStyle w:val="TableNormal"/>
        <w:tblW w:w="8819" w:type="dxa"/>
        <w:tblInd w:w="781"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1324"/>
        <w:gridCol w:w="5004"/>
      </w:tblGrid>
      <w:tr>
        <w:trPr>
          <w:trHeight w:val="379" w:hRule="atLeast"/>
        </w:trPr>
        <w:tc>
          <w:tcPr>
            <w:tcW w:w="1276" w:type="dxa"/>
            <w:vAlign w:val="top"/>
            <w:tcBorders>
              <w:top w:val="single" w:color="C0504D" w:sz="2" w:space="0"/>
            </w:tcBorders>
          </w:tcPr>
          <w:p>
            <w:pPr>
              <w:rPr>
                <w:rFonts w:ascii="Arial"/>
                <w:sz w:val="21"/>
              </w:rPr>
            </w:pPr>
            <w:r/>
          </w:p>
        </w:tc>
        <w:tc>
          <w:tcPr>
            <w:tcW w:w="1215" w:type="dxa"/>
            <w:vAlign w:val="top"/>
            <w:tcBorders>
              <w:top w:val="single" w:color="C0504D" w:sz="2" w:space="0"/>
            </w:tcBorders>
          </w:tcPr>
          <w:p>
            <w:pPr>
              <w:rPr>
                <w:rFonts w:ascii="Arial"/>
                <w:sz w:val="21"/>
              </w:rPr>
            </w:pPr>
            <w:r/>
          </w:p>
        </w:tc>
        <w:tc>
          <w:tcPr>
            <w:tcW w:w="1324" w:type="dxa"/>
            <w:vAlign w:val="top"/>
            <w:tcBorders>
              <w:top w:val="single" w:color="C0504D" w:sz="2" w:space="0"/>
            </w:tcBorders>
          </w:tcPr>
          <w:p>
            <w:pPr>
              <w:rPr>
                <w:rFonts w:ascii="Arial"/>
                <w:sz w:val="21"/>
              </w:rPr>
            </w:pPr>
            <w:r/>
          </w:p>
        </w:tc>
        <w:tc>
          <w:tcPr>
            <w:tcW w:w="5004" w:type="dxa"/>
            <w:vAlign w:val="top"/>
            <w:tcBorders>
              <w:top w:val="single" w:color="C0504D" w:sz="2" w:space="0"/>
            </w:tcBorders>
          </w:tcPr>
          <w:p>
            <w:pPr>
              <w:pStyle w:val="TableText"/>
              <w:ind w:left="5"/>
              <w:spacing w:before="101" w:line="187" w:lineRule="auto"/>
              <w:rPr/>
            </w:pPr>
            <w:r>
              <w:rPr>
                <w:b/>
                <w:bCs/>
                <w:spacing w:val="8"/>
              </w:rPr>
              <w:t>实施留置</w:t>
            </w:r>
            <w:r>
              <w:rPr>
                <w:spacing w:val="8"/>
              </w:rPr>
              <w:t>的重大事项。</w:t>
            </w:r>
          </w:p>
        </w:tc>
      </w:tr>
    </w:tbl>
    <w:p>
      <w:pPr>
        <w:pStyle w:val="BodyText"/>
        <w:spacing w:line="299" w:lineRule="auto"/>
        <w:rPr/>
      </w:pPr>
      <w:r/>
    </w:p>
    <w:p>
      <w:pPr>
        <w:ind w:left="9"/>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0"/>
        </w:rPr>
        <w:t>（</w:t>
      </w:r>
      <w:r>
        <w:rPr>
          <w:rFonts w:ascii="Microsoft YaHei" w:hAnsi="Microsoft YaHei" w:eastAsia="Microsoft YaHei" w:cs="Microsoft YaHei"/>
          <w:sz w:val="24"/>
          <w:szCs w:val="24"/>
          <w:b/>
          <w:bCs/>
          <w:color w:val="333333"/>
          <w:spacing w:val="66"/>
          <w:w w:val="101"/>
        </w:rPr>
        <w:t xml:space="preserve"> </w:t>
      </w:r>
      <w:r>
        <w:rPr>
          <w:rFonts w:ascii="Microsoft YaHei" w:hAnsi="Microsoft YaHei" w:eastAsia="Microsoft YaHei" w:cs="Microsoft YaHei"/>
          <w:sz w:val="24"/>
          <w:szCs w:val="24"/>
          <w:b/>
          <w:bCs/>
          <w:color w:val="333333"/>
          <w:spacing w:val="-10"/>
        </w:rPr>
        <w:t>2</w:t>
      </w:r>
      <w:r>
        <w:rPr>
          <w:rFonts w:ascii="Microsoft YaHei" w:hAnsi="Microsoft YaHei" w:eastAsia="Microsoft YaHei" w:cs="Microsoft YaHei"/>
          <w:sz w:val="24"/>
          <w:szCs w:val="24"/>
          <w:b/>
          <w:bCs/>
          <w:color w:val="333333"/>
          <w:spacing w:val="62"/>
          <w:w w:val="101"/>
        </w:rPr>
        <w:t xml:space="preserve"> </w:t>
      </w:r>
      <w:r>
        <w:rPr>
          <w:rFonts w:ascii="Microsoft YaHei" w:hAnsi="Microsoft YaHei" w:eastAsia="Microsoft YaHei" w:cs="Microsoft YaHei"/>
          <w:sz w:val="24"/>
          <w:szCs w:val="24"/>
          <w:b/>
          <w:bCs/>
          <w:color w:val="333333"/>
          <w:spacing w:val="-10"/>
        </w:rPr>
        <w:t>）函件统计</w:t>
      </w:r>
    </w:p>
    <w:p>
      <w:pPr>
        <w:ind w:left="649"/>
        <w:spacing w:before="291"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2024年4月22日-4月28日</w:t>
      </w:r>
      <w:r>
        <w:rPr>
          <w:rFonts w:ascii="Microsoft YaHei" w:hAnsi="Microsoft YaHei" w:eastAsia="Microsoft YaHei" w:cs="Microsoft YaHei"/>
          <w:sz w:val="22"/>
          <w:szCs w:val="22"/>
          <w:spacing w:val="-36"/>
        </w:rPr>
        <w:t xml:space="preserve"> </w:t>
      </w:r>
      <w:r>
        <w:rPr>
          <w:rFonts w:ascii="Microsoft YaHei" w:hAnsi="Microsoft YaHei" w:eastAsia="Microsoft YaHei" w:cs="Microsoft YaHei"/>
          <w:sz w:val="22"/>
          <w:szCs w:val="22"/>
          <w:spacing w:val="-4"/>
        </w:rPr>
        <w:t>，上交所</w:t>
      </w:r>
      <w:r>
        <w:rPr>
          <w:rFonts w:ascii="Microsoft YaHei" w:hAnsi="Microsoft YaHei" w:eastAsia="Microsoft YaHei" w:cs="Microsoft YaHei"/>
          <w:sz w:val="22"/>
          <w:szCs w:val="22"/>
          <w:spacing w:val="-5"/>
        </w:rPr>
        <w:t>发出3份监管问询函。</w:t>
      </w:r>
    </w:p>
    <w:p>
      <w:pPr>
        <w:spacing w:before="26"/>
        <w:rPr/>
      </w:pPr>
      <w:r/>
    </w:p>
    <w:p>
      <w:pPr>
        <w:spacing w:before="26"/>
        <w:rPr/>
      </w:pPr>
      <w:r/>
    </w:p>
    <w:tbl>
      <w:tblPr>
        <w:tblStyle w:val="TableNormal"/>
        <w:tblW w:w="8837" w:type="dxa"/>
        <w:tblInd w:w="781"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6346"/>
      </w:tblGrid>
      <w:tr>
        <w:trPr>
          <w:trHeight w:val="376" w:hRule="atLeast"/>
        </w:trPr>
        <w:tc>
          <w:tcPr>
            <w:shd w:val="clear" w:fill="C0504D"/>
            <w:tcW w:w="1276" w:type="dxa"/>
            <w:vAlign w:val="top"/>
            <w:tcBorders>
              <w:bottom w:val="single" w:color="C0504D" w:sz="10" w:space="0"/>
            </w:tcBorders>
          </w:tcPr>
          <w:p>
            <w:pPr>
              <w:pStyle w:val="TableText"/>
              <w:ind w:left="212"/>
              <w:spacing w:before="90" w:line="189" w:lineRule="auto"/>
              <w:rPr/>
            </w:pPr>
            <w:r>
              <w:rPr>
                <w:b/>
                <w:bCs/>
                <w:color w:val="FFFFFF"/>
                <w:spacing w:val="8"/>
              </w:rPr>
              <w:t>公司代码</w:t>
            </w:r>
          </w:p>
        </w:tc>
        <w:tc>
          <w:tcPr>
            <w:shd w:val="clear" w:fill="C0504D"/>
            <w:tcW w:w="1215" w:type="dxa"/>
            <w:vAlign w:val="top"/>
            <w:tcBorders>
              <w:bottom w:val="single" w:color="C0504D" w:sz="10" w:space="0"/>
            </w:tcBorders>
          </w:tcPr>
          <w:p>
            <w:pPr>
              <w:pStyle w:val="TableText"/>
              <w:ind w:left="179"/>
              <w:spacing w:before="90" w:line="189" w:lineRule="auto"/>
              <w:rPr/>
            </w:pPr>
            <w:r>
              <w:rPr>
                <w:b/>
                <w:bCs/>
                <w:color w:val="FFFFFF"/>
                <w:spacing w:val="8"/>
              </w:rPr>
              <w:t>公司简称</w:t>
            </w:r>
          </w:p>
        </w:tc>
        <w:tc>
          <w:tcPr>
            <w:shd w:val="clear" w:fill="C0504D"/>
            <w:tcW w:w="6346" w:type="dxa"/>
            <w:vAlign w:val="top"/>
            <w:tcBorders>
              <w:bottom w:val="single" w:color="C0504D" w:sz="10" w:space="0"/>
            </w:tcBorders>
          </w:tcPr>
          <w:p>
            <w:pPr>
              <w:pStyle w:val="TableText"/>
              <w:ind w:left="2756"/>
              <w:spacing w:before="92" w:line="188" w:lineRule="auto"/>
              <w:rPr/>
            </w:pPr>
            <w:r>
              <w:rPr>
                <w:b/>
                <w:bCs/>
                <w:color w:val="FFFFFF"/>
                <w:spacing w:val="5"/>
              </w:rPr>
              <w:t>函件类别</w:t>
            </w:r>
          </w:p>
        </w:tc>
      </w:tr>
      <w:tr>
        <w:trPr>
          <w:trHeight w:val="356" w:hRule="atLeast"/>
        </w:trPr>
        <w:tc>
          <w:tcPr>
            <w:tcW w:w="1276" w:type="dxa"/>
            <w:vAlign w:val="top"/>
            <w:tcBorders>
              <w:top w:val="single" w:color="C0504D" w:sz="10" w:space="0"/>
            </w:tcBorders>
          </w:tcPr>
          <w:p>
            <w:pPr>
              <w:pStyle w:val="TableText"/>
              <w:ind w:left="270"/>
              <w:spacing w:before="94" w:line="176" w:lineRule="auto"/>
              <w:rPr/>
            </w:pPr>
            <w:r>
              <w:rPr>
                <w:spacing w:val="3"/>
              </w:rPr>
              <w:t>600804</w:t>
            </w:r>
          </w:p>
        </w:tc>
        <w:tc>
          <w:tcPr>
            <w:tcW w:w="1215" w:type="dxa"/>
            <w:vAlign w:val="top"/>
            <w:tcBorders>
              <w:top w:val="single" w:color="C0504D" w:sz="10" w:space="0"/>
            </w:tcBorders>
          </w:tcPr>
          <w:p>
            <w:pPr>
              <w:pStyle w:val="TableText"/>
              <w:ind w:left="171"/>
              <w:spacing w:before="81" w:line="185" w:lineRule="auto"/>
              <w:rPr/>
            </w:pPr>
            <w:r>
              <w:rPr/>
              <w:t>ST</w:t>
            </w:r>
            <w:r>
              <w:rPr>
                <w:spacing w:val="9"/>
              </w:rPr>
              <w:t>鹏博士</w:t>
            </w:r>
          </w:p>
        </w:tc>
        <w:tc>
          <w:tcPr>
            <w:tcW w:w="6346" w:type="dxa"/>
            <w:vAlign w:val="top"/>
            <w:tcBorders>
              <w:top w:val="single" w:color="C0504D" w:sz="10" w:space="0"/>
            </w:tcBorders>
          </w:tcPr>
          <w:p>
            <w:pPr>
              <w:pStyle w:val="TableText"/>
              <w:ind w:left="2862"/>
              <w:spacing w:before="80" w:line="186" w:lineRule="auto"/>
              <w:rPr/>
            </w:pPr>
            <w:r>
              <w:rPr>
                <w:spacing w:val="4"/>
              </w:rPr>
              <w:t>问询函</w:t>
            </w:r>
          </w:p>
        </w:tc>
      </w:tr>
      <w:tr>
        <w:trPr>
          <w:trHeight w:val="362" w:hRule="atLeast"/>
        </w:trPr>
        <w:tc>
          <w:tcPr>
            <w:shd w:val="clear" w:fill="F2DCDC"/>
            <w:tcW w:w="1276" w:type="dxa"/>
            <w:vAlign w:val="top"/>
          </w:tcPr>
          <w:p>
            <w:pPr>
              <w:pStyle w:val="TableText"/>
              <w:ind w:left="270"/>
              <w:spacing w:before="103" w:line="174" w:lineRule="auto"/>
              <w:rPr/>
            </w:pPr>
            <w:r>
              <w:rPr>
                <w:spacing w:val="3"/>
              </w:rPr>
              <w:t>600766</w:t>
            </w:r>
          </w:p>
        </w:tc>
        <w:tc>
          <w:tcPr>
            <w:shd w:val="clear" w:fill="F2DCDC"/>
            <w:tcW w:w="1215" w:type="dxa"/>
            <w:vAlign w:val="top"/>
          </w:tcPr>
          <w:p>
            <w:pPr>
              <w:pStyle w:val="TableText"/>
              <w:ind w:left="226"/>
              <w:spacing w:before="90" w:line="183" w:lineRule="auto"/>
              <w:rPr/>
            </w:pPr>
            <w:r>
              <w:rPr>
                <w:spacing w:val="8"/>
              </w:rPr>
              <w:t>*</w:t>
            </w:r>
            <w:r>
              <w:rPr/>
              <w:t>ST</w:t>
            </w:r>
            <w:r>
              <w:rPr>
                <w:spacing w:val="8"/>
              </w:rPr>
              <w:t>圆城</w:t>
            </w:r>
          </w:p>
        </w:tc>
        <w:tc>
          <w:tcPr>
            <w:shd w:val="clear" w:fill="F2DCDC"/>
            <w:tcW w:w="6346" w:type="dxa"/>
            <w:vAlign w:val="top"/>
          </w:tcPr>
          <w:p>
            <w:pPr>
              <w:pStyle w:val="TableText"/>
              <w:ind w:left="2862"/>
              <w:spacing w:before="88" w:line="184" w:lineRule="auto"/>
              <w:rPr/>
            </w:pPr>
            <w:r>
              <w:rPr>
                <w:spacing w:val="4"/>
              </w:rPr>
              <w:t>问询函</w:t>
            </w:r>
          </w:p>
        </w:tc>
      </w:tr>
      <w:tr>
        <w:trPr>
          <w:trHeight w:val="371" w:hRule="atLeast"/>
        </w:trPr>
        <w:tc>
          <w:tcPr>
            <w:tcW w:w="1276" w:type="dxa"/>
            <w:vAlign w:val="top"/>
          </w:tcPr>
          <w:p>
            <w:pPr>
              <w:pStyle w:val="TableText"/>
              <w:ind w:left="270"/>
              <w:spacing w:before="107" w:line="177" w:lineRule="auto"/>
              <w:rPr/>
            </w:pPr>
            <w:r>
              <w:rPr>
                <w:spacing w:val="3"/>
              </w:rPr>
              <w:t>600277</w:t>
            </w:r>
          </w:p>
        </w:tc>
        <w:tc>
          <w:tcPr>
            <w:tcW w:w="1215" w:type="dxa"/>
            <w:vAlign w:val="top"/>
          </w:tcPr>
          <w:p>
            <w:pPr>
              <w:pStyle w:val="TableText"/>
              <w:ind w:left="178"/>
              <w:spacing w:before="92" w:line="188" w:lineRule="auto"/>
              <w:rPr/>
            </w:pPr>
            <w:r>
              <w:rPr>
                <w:spacing w:val="8"/>
              </w:rPr>
              <w:t>亿利洁能</w:t>
            </w:r>
          </w:p>
        </w:tc>
        <w:tc>
          <w:tcPr>
            <w:tcW w:w="6346" w:type="dxa"/>
            <w:vAlign w:val="top"/>
          </w:tcPr>
          <w:p>
            <w:pPr>
              <w:pStyle w:val="TableText"/>
              <w:ind w:left="2862"/>
              <w:spacing w:before="93" w:line="187" w:lineRule="auto"/>
              <w:rPr/>
            </w:pPr>
            <w:r>
              <w:rPr>
                <w:spacing w:val="4"/>
              </w:rPr>
              <w:t>问询函</w:t>
            </w:r>
          </w:p>
        </w:tc>
      </w:tr>
    </w:tbl>
    <w:p>
      <w:pPr>
        <w:pStyle w:val="BodyText"/>
        <w:spacing w:line="295" w:lineRule="auto"/>
        <w:rPr/>
      </w:pPr>
      <w:r/>
    </w:p>
    <w:p>
      <w:pPr>
        <w:pStyle w:val="BodyText"/>
        <w:spacing w:line="296" w:lineRule="auto"/>
        <w:rPr/>
      </w:pPr>
      <w:r/>
    </w:p>
    <w:p>
      <w:pPr>
        <w:ind w:left="507"/>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2、市场交易监管</w:t>
      </w:r>
    </w:p>
    <w:p>
      <w:pPr>
        <w:ind w:firstLine="485"/>
        <w:spacing w:before="316" w:line="183"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4"/>
        </w:rPr>
        <w:t>2024年4月22日-4月28日</w:t>
      </w:r>
      <w:r>
        <w:rPr>
          <w:rFonts w:ascii="Microsoft YaHei" w:hAnsi="Microsoft YaHei" w:eastAsia="Microsoft YaHei" w:cs="Microsoft YaHei"/>
          <w:sz w:val="24"/>
          <w:szCs w:val="24"/>
          <w:spacing w:val="-40"/>
        </w:rPr>
        <w:t xml:space="preserve"> </w:t>
      </w:r>
      <w:r>
        <w:rPr>
          <w:rFonts w:ascii="Microsoft YaHei" w:hAnsi="Microsoft YaHei" w:eastAsia="Microsoft YaHei" w:cs="Microsoft YaHei"/>
          <w:sz w:val="24"/>
          <w:szCs w:val="24"/>
          <w:spacing w:val="-4"/>
        </w:rPr>
        <w:t>，上交所对44起拉抬打压、虚</w:t>
      </w:r>
      <w:r>
        <w:rPr>
          <w:rFonts w:ascii="Microsoft YaHei" w:hAnsi="Microsoft YaHei" w:eastAsia="Microsoft YaHei" w:cs="Microsoft YaHei"/>
          <w:sz w:val="24"/>
          <w:szCs w:val="24"/>
          <w:spacing w:val="-5"/>
        </w:rPr>
        <w:t>假申报等证券异常交易行为采取了书面警</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示等监管措施，对个别涨跌幅异常的风险警</w:t>
      </w:r>
      <w:r>
        <w:rPr>
          <w:rFonts w:ascii="Microsoft YaHei" w:hAnsi="Microsoft YaHei" w:eastAsia="Microsoft YaHei" w:cs="Microsoft YaHei"/>
          <w:sz w:val="24"/>
          <w:szCs w:val="24"/>
          <w:spacing w:val="-5"/>
        </w:rPr>
        <w:t>示股票进行重点监控</w:t>
      </w:r>
      <w:r>
        <w:rPr>
          <w:rFonts w:ascii="Microsoft YaHei" w:hAnsi="Microsoft YaHei" w:eastAsia="Microsoft YaHei" w:cs="Microsoft YaHei"/>
          <w:sz w:val="24"/>
          <w:szCs w:val="24"/>
          <w:spacing w:val="-39"/>
        </w:rPr>
        <w:t xml:space="preserve"> </w:t>
      </w:r>
      <w:r>
        <w:rPr>
          <w:rFonts w:ascii="Microsoft YaHei" w:hAnsi="Microsoft YaHei" w:eastAsia="Microsoft YaHei" w:cs="Microsoft YaHei"/>
          <w:sz w:val="24"/>
          <w:szCs w:val="24"/>
          <w:spacing w:val="-5"/>
        </w:rPr>
        <w:t>，对18起上市公司重大事项等进行专</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5"/>
        </w:rPr>
        <w:t>项核查</w:t>
      </w:r>
      <w:r>
        <w:rPr>
          <w:rFonts w:ascii="Microsoft YaHei" w:hAnsi="Microsoft YaHei" w:eastAsia="Microsoft YaHei" w:cs="Microsoft YaHei"/>
          <w:sz w:val="24"/>
          <w:szCs w:val="24"/>
          <w:spacing w:val="-39"/>
        </w:rPr>
        <w:t xml:space="preserve"> </w:t>
      </w:r>
      <w:r>
        <w:rPr>
          <w:rFonts w:ascii="Microsoft YaHei" w:hAnsi="Microsoft YaHei" w:eastAsia="Microsoft YaHei" w:cs="Microsoft YaHei"/>
          <w:sz w:val="24"/>
          <w:szCs w:val="24"/>
          <w:spacing w:val="-5"/>
        </w:rPr>
        <w:t>，向证监会上报涉嫌违法违规案件线索</w:t>
      </w:r>
      <w:r>
        <w:rPr>
          <w:rFonts w:ascii="Microsoft YaHei" w:hAnsi="Microsoft YaHei" w:eastAsia="Microsoft YaHei" w:cs="Microsoft YaHei"/>
          <w:sz w:val="24"/>
          <w:szCs w:val="24"/>
          <w:spacing w:val="-6"/>
        </w:rPr>
        <w:t>2起。</w:t>
      </w:r>
    </w:p>
    <w:p>
      <w:pPr>
        <w:spacing w:line="183" w:lineRule="auto"/>
        <w:sectPr>
          <w:pgSz w:w="11910" w:h="16840"/>
          <w:pgMar w:top="400" w:right="524" w:bottom="400" w:left="884" w:header="0" w:footer="0" w:gutter="0"/>
        </w:sectPr>
        <w:rPr>
          <w:rFonts w:ascii="Microsoft YaHei" w:hAnsi="Microsoft YaHei" w:eastAsia="Microsoft YaHei" w:cs="Microsoft YaHei"/>
          <w:sz w:val="24"/>
          <w:szCs w:val="24"/>
        </w:rPr>
      </w:pPr>
    </w:p>
    <w:p>
      <w:pPr>
        <w:spacing w:line="924" w:lineRule="exact"/>
        <w:rPr/>
      </w:pPr>
      <w:r>
        <w:rPr>
          <w:position w:val="-18"/>
        </w:rPr>
        <w:pict>
          <v:group id="_x0000_s36" style="mso-position-vertical-relative:line;mso-position-horizontal-relative:char;width:134.8pt;height:46.25pt;" filled="false" stroked="false" coordsize="2696,925" coordorigin="0,0">
            <v:shape id="_x0000_s38" style="position:absolute;left:0;top:0;width:2696;height:925;" filled="false" stroked="false" type="#_x0000_t75">
              <v:imagedata o:title="" r:id="rId15"/>
            </v:shape>
            <v:shape id="_x0000_s40" style="position:absolute;left:-20;top:-20;width:2736;height:965;" filled="false" stroked="false" type="#_x0000_t202">
              <v:fill on="false"/>
              <v:stroke on="false"/>
              <v:path/>
              <v:imagedata o:title=""/>
              <o:lock v:ext="edit" aspectratio="false"/>
              <v:textbox inset="0mm,0mm,0mm,0mm">
                <w:txbxContent>
                  <w:p>
                    <w:pPr>
                      <w:ind w:left="372"/>
                      <w:spacing w:before="304"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深交所监管动态</w:t>
                    </w:r>
                  </w:p>
                </w:txbxContent>
              </v:textbox>
            </v:shape>
          </v:group>
        </w:pict>
      </w:r>
    </w:p>
    <w:p>
      <w:pPr>
        <w:ind w:left="941"/>
        <w:spacing w:before="147"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1、上市公司监管动态</w:t>
      </w:r>
    </w:p>
    <w:p>
      <w:pPr>
        <w:ind w:left="872" w:firstLine="436"/>
        <w:spacing w:before="325" w:line="185"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202</w:t>
      </w:r>
      <w:r>
        <w:rPr>
          <w:rFonts w:ascii="Microsoft YaHei" w:hAnsi="Microsoft YaHei" w:eastAsia="Microsoft YaHei" w:cs="Microsoft YaHei"/>
          <w:sz w:val="22"/>
          <w:szCs w:val="22"/>
          <w:spacing w:val="-5"/>
        </w:rPr>
        <w:t>4年4月22日-4月28日，深交所发出15份监管函，对3宗行为予以纪</w:t>
      </w:r>
      <w:r>
        <w:rPr>
          <w:rFonts w:ascii="Microsoft YaHei" w:hAnsi="Microsoft YaHei" w:eastAsia="Microsoft YaHei" w:cs="Microsoft YaHei"/>
          <w:sz w:val="22"/>
          <w:szCs w:val="22"/>
          <w:spacing w:val="-6"/>
        </w:rPr>
        <w:t>律处分；共发出关注函8份，</w:t>
      </w:r>
      <w:r>
        <w:rPr>
          <w:rFonts w:ascii="Microsoft YaHei" w:hAnsi="Microsoft YaHei" w:eastAsia="Microsoft YaHei" w:cs="Microsoft YaHei"/>
          <w:sz w:val="22"/>
          <w:szCs w:val="22"/>
          <w:spacing w:val="-3"/>
        </w:rPr>
        <w:t>年</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4"/>
        </w:rPr>
        <w:t>报问询函12份。</w:t>
      </w:r>
    </w:p>
    <w:p>
      <w:pPr>
        <w:pStyle w:val="BodyText"/>
        <w:spacing w:line="241" w:lineRule="auto"/>
        <w:rPr/>
      </w:pPr>
      <w:r/>
    </w:p>
    <w:p>
      <w:pPr>
        <w:ind w:firstLine="1156"/>
        <w:spacing w:line="4331" w:lineRule="exact"/>
        <w:rPr/>
      </w:pPr>
      <w:r>
        <w:rPr>
          <w:position w:val="-86"/>
        </w:rPr>
        <w:drawing>
          <wp:inline distT="0" distB="0" distL="0" distR="0">
            <wp:extent cx="5493384" cy="2750184"/>
            <wp:effectExtent l="0" t="0" r="0" b="0"/>
            <wp:docPr id="24" name="IM 24"/>
            <wp:cNvGraphicFramePr/>
            <a:graphic>
              <a:graphicData uri="http://schemas.openxmlformats.org/drawingml/2006/picture">
                <pic:pic>
                  <pic:nvPicPr>
                    <pic:cNvPr id="24" name="IM 24"/>
                    <pic:cNvPicPr/>
                  </pic:nvPicPr>
                  <pic:blipFill>
                    <a:blip r:embed="rId17"/>
                    <a:stretch>
                      <a:fillRect/>
                    </a:stretch>
                  </pic:blipFill>
                  <pic:spPr>
                    <a:xfrm rot="0">
                      <a:off x="0" y="0"/>
                      <a:ext cx="5493384" cy="2750184"/>
                    </a:xfrm>
                    <a:prstGeom prst="rect">
                      <a:avLst/>
                    </a:prstGeom>
                  </pic:spPr>
                </pic:pic>
              </a:graphicData>
            </a:graphic>
          </wp:inline>
        </w:drawing>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6" w:lineRule="auto"/>
        <w:rPr/>
      </w:pPr>
      <w:r/>
    </w:p>
    <w:p>
      <w:pPr>
        <w:pStyle w:val="BodyText"/>
        <w:spacing w:line="246" w:lineRule="auto"/>
        <w:rPr/>
      </w:pPr>
      <w:r/>
    </w:p>
    <w:p>
      <w:pPr>
        <w:ind w:left="872"/>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6"/>
        </w:rPr>
        <w:t>（  1</w:t>
      </w:r>
      <w:r>
        <w:rPr>
          <w:rFonts w:ascii="Microsoft YaHei" w:hAnsi="Microsoft YaHei" w:eastAsia="Microsoft YaHei" w:cs="Microsoft YaHei"/>
          <w:sz w:val="24"/>
          <w:szCs w:val="24"/>
          <w:b/>
          <w:bCs/>
          <w:spacing w:val="72"/>
        </w:rPr>
        <w:t xml:space="preserve"> </w:t>
      </w:r>
      <w:r>
        <w:rPr>
          <w:rFonts w:ascii="Microsoft YaHei" w:hAnsi="Microsoft YaHei" w:eastAsia="Microsoft YaHei" w:cs="Microsoft YaHei"/>
          <w:sz w:val="24"/>
          <w:szCs w:val="24"/>
          <w:b/>
          <w:bCs/>
          <w:spacing w:val="-6"/>
        </w:rPr>
        <w:t>）纪律处分及监管措施</w:t>
      </w:r>
    </w:p>
    <w:p>
      <w:pPr>
        <w:spacing w:line="192" w:lineRule="exact"/>
        <w:rPr/>
      </w:pPr>
      <w:r/>
    </w:p>
    <w:tbl>
      <w:tblPr>
        <w:tblStyle w:val="TableNormal"/>
        <w:tblW w:w="9016" w:type="dxa"/>
        <w:tblInd w:w="975"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640" w:hRule="atLeast"/>
        </w:trPr>
        <w:tc>
          <w:tcPr>
            <w:shd w:val="clear" w:fill="4BACC6"/>
            <w:tcW w:w="1471" w:type="dxa"/>
            <w:vAlign w:val="top"/>
          </w:tcPr>
          <w:p>
            <w:pPr>
              <w:pStyle w:val="TableText"/>
              <w:ind w:left="298"/>
              <w:spacing w:before="95" w:line="183" w:lineRule="auto"/>
              <w:rPr>
                <w:sz w:val="22"/>
                <w:szCs w:val="22"/>
              </w:rPr>
            </w:pPr>
            <w:r>
              <w:rPr>
                <w:sz w:val="22"/>
                <w:szCs w:val="22"/>
                <w:b/>
                <w:bCs/>
                <w:color w:val="FFFFFF"/>
                <w:spacing w:val="-1"/>
              </w:rPr>
              <w:t>公司代码</w:t>
            </w:r>
          </w:p>
        </w:tc>
        <w:tc>
          <w:tcPr>
            <w:shd w:val="clear" w:fill="4BACC6"/>
            <w:tcW w:w="1484" w:type="dxa"/>
            <w:vAlign w:val="top"/>
            <w:tcBorders>
              <w:top w:val="nil"/>
            </w:tcBorders>
          </w:tcPr>
          <w:p>
            <w:pPr>
              <w:pStyle w:val="TableText"/>
              <w:ind w:left="303"/>
              <w:spacing w:before="95" w:line="183" w:lineRule="auto"/>
              <w:rPr>
                <w:sz w:val="22"/>
                <w:szCs w:val="22"/>
              </w:rPr>
            </w:pPr>
            <w:r>
              <w:rPr>
                <w:sz w:val="22"/>
                <w:szCs w:val="22"/>
                <w:b/>
                <w:bCs/>
                <w:color w:val="FFFFFF"/>
                <w:spacing w:val="-1"/>
              </w:rPr>
              <w:t>公司简称</w:t>
            </w:r>
          </w:p>
        </w:tc>
        <w:tc>
          <w:tcPr>
            <w:shd w:val="clear" w:fill="4BACC6"/>
            <w:tcW w:w="1498" w:type="dxa"/>
            <w:vAlign w:val="top"/>
            <w:tcBorders>
              <w:top w:val="nil"/>
            </w:tcBorders>
          </w:tcPr>
          <w:p>
            <w:pPr>
              <w:pStyle w:val="TableText"/>
              <w:ind w:left="308"/>
              <w:spacing w:before="93" w:line="184" w:lineRule="auto"/>
              <w:rPr>
                <w:sz w:val="22"/>
                <w:szCs w:val="22"/>
              </w:rPr>
            </w:pPr>
            <w:r>
              <w:rPr>
                <w:sz w:val="22"/>
                <w:szCs w:val="22"/>
                <w:b/>
                <w:bCs/>
                <w:color w:val="FFFFFF"/>
                <w:spacing w:val="-1"/>
              </w:rPr>
              <w:t>监管类型</w:t>
            </w:r>
          </w:p>
        </w:tc>
        <w:tc>
          <w:tcPr>
            <w:shd w:val="clear" w:fill="4BACC6"/>
            <w:tcW w:w="4563" w:type="dxa"/>
            <w:vAlign w:val="top"/>
            <w:tcBorders>
              <w:top w:val="nil"/>
            </w:tcBorders>
          </w:tcPr>
          <w:p>
            <w:pPr>
              <w:pStyle w:val="TableText"/>
              <w:ind w:left="1839"/>
              <w:spacing w:before="93" w:line="184" w:lineRule="auto"/>
              <w:rPr>
                <w:sz w:val="22"/>
                <w:szCs w:val="22"/>
              </w:rPr>
            </w:pPr>
            <w:r>
              <w:rPr>
                <w:sz w:val="22"/>
                <w:szCs w:val="22"/>
                <w:b/>
                <w:bCs/>
                <w:color w:val="FFFFFF"/>
                <w:spacing w:val="-1"/>
              </w:rPr>
              <w:t>处理事由</w:t>
            </w:r>
          </w:p>
        </w:tc>
      </w:tr>
      <w:tr>
        <w:trPr>
          <w:trHeight w:val="1802" w:hRule="atLeast"/>
        </w:trPr>
        <w:tc>
          <w:tcPr>
            <w:tcW w:w="1471" w:type="dxa"/>
            <w:vAlign w:val="top"/>
          </w:tcPr>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372"/>
              <w:spacing w:before="86" w:line="179" w:lineRule="auto"/>
              <w:rPr/>
            </w:pPr>
            <w:r>
              <w:rPr>
                <w:spacing w:val="3"/>
              </w:rPr>
              <w:t>001203</w:t>
            </w:r>
          </w:p>
        </w:tc>
        <w:tc>
          <w:tcPr>
            <w:tcW w:w="1484" w:type="dxa"/>
            <w:vAlign w:val="top"/>
          </w:tcPr>
          <w:p>
            <w:pPr>
              <w:spacing w:line="359" w:lineRule="auto"/>
              <w:rPr>
                <w:rFonts w:ascii="Arial"/>
                <w:sz w:val="21"/>
              </w:rPr>
            </w:pPr>
            <w:r/>
          </w:p>
          <w:p>
            <w:pPr>
              <w:spacing w:line="359" w:lineRule="auto"/>
              <w:rPr>
                <w:rFonts w:ascii="Arial"/>
                <w:sz w:val="21"/>
              </w:rPr>
            </w:pPr>
            <w:r/>
          </w:p>
          <w:p>
            <w:pPr>
              <w:pStyle w:val="TableText"/>
              <w:ind w:left="320"/>
              <w:spacing w:before="86" w:line="189" w:lineRule="auto"/>
              <w:rPr/>
            </w:pPr>
            <w:r>
              <w:rPr>
                <w:spacing w:val="8"/>
              </w:rPr>
              <w:t>大中矿业</w:t>
            </w:r>
          </w:p>
        </w:tc>
        <w:tc>
          <w:tcPr>
            <w:tcW w:w="1498" w:type="dxa"/>
            <w:vAlign w:val="top"/>
          </w:tcPr>
          <w:p>
            <w:pPr>
              <w:spacing w:line="359" w:lineRule="auto"/>
              <w:rPr>
                <w:rFonts w:ascii="Arial"/>
                <w:sz w:val="21"/>
              </w:rPr>
            </w:pPr>
            <w:r/>
          </w:p>
          <w:p>
            <w:pPr>
              <w:spacing w:line="359" w:lineRule="auto"/>
              <w:rPr>
                <w:rFonts w:ascii="Arial"/>
                <w:sz w:val="21"/>
              </w:rPr>
            </w:pPr>
            <w:r/>
          </w:p>
          <w:p>
            <w:pPr>
              <w:pStyle w:val="TableText"/>
              <w:ind w:left="434"/>
              <w:spacing w:before="85" w:line="189" w:lineRule="auto"/>
              <w:rPr/>
            </w:pPr>
            <w:r>
              <w:rPr>
                <w:spacing w:val="8"/>
              </w:rPr>
              <w:t>监管函</w:t>
            </w:r>
          </w:p>
        </w:tc>
        <w:tc>
          <w:tcPr>
            <w:tcW w:w="4563" w:type="dxa"/>
            <w:vAlign w:val="top"/>
          </w:tcPr>
          <w:p>
            <w:pPr>
              <w:pStyle w:val="TableText"/>
              <w:ind w:left="107" w:right="132"/>
              <w:spacing w:before="47" w:line="244" w:lineRule="auto"/>
              <w:rPr/>
            </w:pPr>
            <w:r>
              <w:rPr>
                <w:spacing w:val="9"/>
              </w:rPr>
              <w:t>公司披露的《关于2023年年度报告的补充更正</w:t>
            </w:r>
            <w:r>
              <w:rPr/>
              <w:t xml:space="preserve">  </w:t>
            </w:r>
            <w:r>
              <w:rPr>
                <w:spacing w:val="5"/>
              </w:rPr>
              <w:t>公告》显示</w:t>
            </w:r>
            <w:r>
              <w:rPr>
                <w:spacing w:val="-22"/>
              </w:rPr>
              <w:t xml:space="preserve"> </w:t>
            </w:r>
            <w:r>
              <w:rPr>
                <w:spacing w:val="5"/>
              </w:rPr>
              <w:t>，</w:t>
            </w:r>
            <w:r>
              <w:rPr>
                <w:spacing w:val="-34"/>
              </w:rPr>
              <w:t xml:space="preserve"> </w:t>
            </w:r>
            <w:r>
              <w:rPr>
                <w:spacing w:val="5"/>
              </w:rPr>
              <w:t>因工作人员失误</w:t>
            </w:r>
            <w:r>
              <w:rPr>
                <w:spacing w:val="-28"/>
              </w:rPr>
              <w:t xml:space="preserve"> </w:t>
            </w:r>
            <w:r>
              <w:rPr>
                <w:spacing w:val="5"/>
              </w:rPr>
              <w:t>，导致年度报告</w:t>
            </w:r>
            <w:r>
              <w:rPr/>
              <w:t xml:space="preserve">   </w:t>
            </w:r>
            <w:r>
              <w:rPr>
                <w:spacing w:val="9"/>
              </w:rPr>
              <w:t>全文中“公司前5名供应商资料”及“重要在建</w:t>
            </w:r>
            <w:r>
              <w:rPr>
                <w:spacing w:val="10"/>
              </w:rPr>
              <w:t xml:space="preserve"> </w:t>
            </w:r>
            <w:r>
              <w:rPr>
                <w:spacing w:val="8"/>
              </w:rPr>
              <w:t>工程项目本期变动情况”存在</w:t>
            </w:r>
            <w:r>
              <w:rPr>
                <w:b/>
                <w:bCs/>
                <w:spacing w:val="8"/>
              </w:rPr>
              <w:t>错误和遗漏</w:t>
            </w:r>
            <w:r>
              <w:rPr>
                <w:b/>
                <w:bCs/>
                <w:spacing w:val="-26"/>
              </w:rPr>
              <w:t xml:space="preserve"> </w:t>
            </w:r>
            <w:r>
              <w:rPr>
                <w:spacing w:val="8"/>
              </w:rPr>
              <w:t>，公</w:t>
            </w:r>
            <w:r>
              <w:rPr/>
              <w:t xml:space="preserve">   </w:t>
            </w:r>
            <w:r>
              <w:rPr>
                <w:spacing w:val="9"/>
              </w:rPr>
              <w:t>司在公告中补充更正了相关数据。</w:t>
            </w:r>
          </w:p>
        </w:tc>
      </w:tr>
      <w:tr>
        <w:trPr>
          <w:trHeight w:val="1443" w:hRule="atLeast"/>
        </w:trPr>
        <w:tc>
          <w:tcPr>
            <w:shd w:val="clear" w:fill="B8CCE4"/>
            <w:tcW w:w="1471" w:type="dxa"/>
            <w:vAlign w:val="top"/>
          </w:tcPr>
          <w:p>
            <w:pPr>
              <w:spacing w:line="278" w:lineRule="auto"/>
              <w:rPr>
                <w:rFonts w:ascii="Arial"/>
                <w:sz w:val="21"/>
              </w:rPr>
            </w:pPr>
            <w:r/>
          </w:p>
          <w:p>
            <w:pPr>
              <w:spacing w:line="278" w:lineRule="auto"/>
              <w:rPr>
                <w:rFonts w:ascii="Arial"/>
                <w:sz w:val="21"/>
              </w:rPr>
            </w:pPr>
            <w:r/>
          </w:p>
          <w:p>
            <w:pPr>
              <w:pStyle w:val="TableText"/>
              <w:ind w:left="377"/>
              <w:spacing w:before="86" w:line="178" w:lineRule="auto"/>
              <w:rPr/>
            </w:pPr>
            <w:r>
              <w:rPr>
                <w:spacing w:val="3"/>
              </w:rPr>
              <w:t>300575</w:t>
            </w:r>
          </w:p>
        </w:tc>
        <w:tc>
          <w:tcPr>
            <w:shd w:val="clear" w:fill="B8CCE4"/>
            <w:tcW w:w="1484" w:type="dxa"/>
            <w:vAlign w:val="top"/>
          </w:tcPr>
          <w:p>
            <w:pPr>
              <w:spacing w:line="270" w:lineRule="auto"/>
              <w:rPr>
                <w:rFonts w:ascii="Arial"/>
                <w:sz w:val="21"/>
              </w:rPr>
            </w:pPr>
            <w:r/>
          </w:p>
          <w:p>
            <w:pPr>
              <w:spacing w:line="271" w:lineRule="auto"/>
              <w:rPr>
                <w:rFonts w:ascii="Arial"/>
                <w:sz w:val="21"/>
              </w:rPr>
            </w:pPr>
            <w:r/>
          </w:p>
          <w:p>
            <w:pPr>
              <w:pStyle w:val="TableText"/>
              <w:ind w:left="334"/>
              <w:spacing w:before="86" w:line="189" w:lineRule="auto"/>
              <w:rPr/>
            </w:pPr>
            <w:r>
              <w:rPr>
                <w:spacing w:val="5"/>
              </w:rPr>
              <w:t>中旗股份</w:t>
            </w:r>
          </w:p>
        </w:tc>
        <w:tc>
          <w:tcPr>
            <w:shd w:val="clear" w:fill="B8CCE4"/>
            <w:tcW w:w="1498" w:type="dxa"/>
            <w:vAlign w:val="top"/>
          </w:tcPr>
          <w:p>
            <w:pPr>
              <w:spacing w:line="270" w:lineRule="auto"/>
              <w:rPr>
                <w:rFonts w:ascii="Arial"/>
                <w:sz w:val="21"/>
              </w:rPr>
            </w:pPr>
            <w:r/>
          </w:p>
          <w:p>
            <w:pPr>
              <w:spacing w:line="271" w:lineRule="auto"/>
              <w:rPr>
                <w:rFonts w:ascii="Arial"/>
                <w:sz w:val="21"/>
              </w:rPr>
            </w:pPr>
            <w:r/>
          </w:p>
          <w:p>
            <w:pPr>
              <w:pStyle w:val="TableText"/>
              <w:ind w:left="434"/>
              <w:spacing w:before="86" w:line="189" w:lineRule="auto"/>
              <w:rPr/>
            </w:pPr>
            <w:r>
              <w:rPr>
                <w:spacing w:val="8"/>
              </w:rPr>
              <w:t>监管函</w:t>
            </w:r>
          </w:p>
        </w:tc>
        <w:tc>
          <w:tcPr>
            <w:shd w:val="clear" w:fill="B8CCE4"/>
            <w:tcW w:w="4563" w:type="dxa"/>
            <w:vAlign w:val="top"/>
          </w:tcPr>
          <w:p>
            <w:pPr>
              <w:pStyle w:val="TableText"/>
              <w:ind w:left="107" w:right="180" w:firstLine="1"/>
              <w:spacing w:before="54" w:line="241" w:lineRule="auto"/>
              <w:jc w:val="both"/>
              <w:rPr/>
            </w:pPr>
            <w:r>
              <w:rPr>
                <w:spacing w:val="9"/>
              </w:rPr>
              <w:t>江苏中旗科技股份有限公司披露《2023年度股</w:t>
            </w:r>
            <w:r>
              <w:rPr/>
              <w:t xml:space="preserve"> </w:t>
            </w:r>
            <w:r>
              <w:rPr>
                <w:spacing w:val="6"/>
              </w:rPr>
              <w:t>东大会决议公告》</w:t>
            </w:r>
            <w:r>
              <w:rPr>
                <w:spacing w:val="-10"/>
              </w:rPr>
              <w:t xml:space="preserve"> </w:t>
            </w:r>
            <w:r>
              <w:rPr>
                <w:spacing w:val="6"/>
              </w:rPr>
              <w:t>，</w:t>
            </w:r>
            <w:r>
              <w:rPr>
                <w:spacing w:val="-34"/>
              </w:rPr>
              <w:t xml:space="preserve"> </w:t>
            </w:r>
            <w:r>
              <w:rPr>
                <w:spacing w:val="6"/>
              </w:rPr>
              <w:t>出席会议股东人数、代表</w:t>
            </w:r>
            <w:r>
              <w:rPr/>
              <w:t xml:space="preserve">  </w:t>
            </w:r>
            <w:r>
              <w:rPr>
                <w:spacing w:val="9"/>
              </w:rPr>
              <w:t>有效表决权的股份总数和占比等数据</w:t>
            </w:r>
            <w:r>
              <w:rPr>
                <w:b/>
                <w:bCs/>
                <w:spacing w:val="9"/>
              </w:rPr>
              <w:t>以问号代</w:t>
            </w:r>
            <w:r>
              <w:rPr>
                <w:b/>
                <w:bCs/>
                <w:spacing w:val="7"/>
              </w:rPr>
              <w:t xml:space="preserve">  </w:t>
            </w:r>
            <w:r>
              <w:rPr>
                <w:b/>
                <w:bCs/>
                <w:spacing w:val="6"/>
              </w:rPr>
              <w:t>替</w:t>
            </w:r>
            <w:r>
              <w:rPr>
                <w:b/>
                <w:bCs/>
                <w:spacing w:val="-18"/>
              </w:rPr>
              <w:t xml:space="preserve"> </w:t>
            </w:r>
            <w:r>
              <w:rPr>
                <w:spacing w:val="6"/>
              </w:rPr>
              <w:t>，信息披露不准确、不完整。</w:t>
            </w:r>
          </w:p>
        </w:tc>
      </w:tr>
      <w:tr>
        <w:trPr>
          <w:trHeight w:val="364" w:hRule="atLeast"/>
        </w:trPr>
        <w:tc>
          <w:tcPr>
            <w:tcW w:w="1471" w:type="dxa"/>
            <w:vAlign w:val="top"/>
          </w:tcPr>
          <w:p>
            <w:pPr>
              <w:pStyle w:val="TableText"/>
              <w:ind w:left="372"/>
              <w:spacing w:before="109" w:line="171" w:lineRule="auto"/>
              <w:rPr/>
            </w:pPr>
            <w:r>
              <w:rPr>
                <w:spacing w:val="3"/>
              </w:rPr>
              <w:t>002237</w:t>
            </w:r>
          </w:p>
        </w:tc>
        <w:tc>
          <w:tcPr>
            <w:tcW w:w="1484" w:type="dxa"/>
            <w:vAlign w:val="top"/>
          </w:tcPr>
          <w:p>
            <w:pPr>
              <w:pStyle w:val="TableText"/>
              <w:ind w:left="320"/>
              <w:spacing w:before="96" w:line="180" w:lineRule="auto"/>
              <w:rPr/>
            </w:pPr>
            <w:r>
              <w:rPr>
                <w:spacing w:val="8"/>
              </w:rPr>
              <w:t>恒邦股份</w:t>
            </w:r>
          </w:p>
        </w:tc>
        <w:tc>
          <w:tcPr>
            <w:tcW w:w="1498" w:type="dxa"/>
            <w:vAlign w:val="top"/>
          </w:tcPr>
          <w:p>
            <w:pPr>
              <w:pStyle w:val="TableText"/>
              <w:ind w:left="434"/>
              <w:spacing w:before="95" w:line="181" w:lineRule="auto"/>
              <w:rPr/>
            </w:pPr>
            <w:r>
              <w:rPr>
                <w:spacing w:val="8"/>
              </w:rPr>
              <w:t>监管函</w:t>
            </w:r>
          </w:p>
        </w:tc>
        <w:tc>
          <w:tcPr>
            <w:tcW w:w="4563" w:type="dxa"/>
            <w:vAlign w:val="top"/>
          </w:tcPr>
          <w:p>
            <w:pPr>
              <w:pStyle w:val="TableText"/>
              <w:ind w:left="108"/>
              <w:spacing w:before="95" w:line="181" w:lineRule="auto"/>
              <w:rPr/>
            </w:pPr>
            <w:r>
              <w:rPr>
                <w:spacing w:val="9"/>
              </w:rPr>
              <w:t>控股股东未完成</w:t>
            </w:r>
            <w:r>
              <w:rPr>
                <w:b/>
                <w:bCs/>
                <w:spacing w:val="9"/>
              </w:rPr>
              <w:t>同业竞争承诺</w:t>
            </w:r>
            <w:r>
              <w:rPr>
                <w:spacing w:val="9"/>
              </w:rPr>
              <w:t>。</w:t>
            </w:r>
          </w:p>
        </w:tc>
      </w:tr>
      <w:tr>
        <w:trPr>
          <w:trHeight w:val="1083" w:hRule="atLeast"/>
        </w:trPr>
        <w:tc>
          <w:tcPr>
            <w:shd w:val="clear" w:fill="B8CCE4"/>
            <w:tcW w:w="1471" w:type="dxa"/>
            <w:vAlign w:val="top"/>
          </w:tcPr>
          <w:p>
            <w:pPr>
              <w:spacing w:line="382" w:lineRule="auto"/>
              <w:rPr>
                <w:rFonts w:ascii="Arial"/>
                <w:sz w:val="21"/>
              </w:rPr>
            </w:pPr>
            <w:r/>
          </w:p>
          <w:p>
            <w:pPr>
              <w:pStyle w:val="TableText"/>
              <w:ind w:left="377"/>
              <w:spacing w:before="85" w:line="178" w:lineRule="auto"/>
              <w:rPr/>
            </w:pPr>
            <w:r>
              <w:rPr>
                <w:spacing w:val="3"/>
              </w:rPr>
              <w:t>300594</w:t>
            </w:r>
          </w:p>
        </w:tc>
        <w:tc>
          <w:tcPr>
            <w:shd w:val="clear" w:fill="B8CCE4"/>
            <w:tcW w:w="1484" w:type="dxa"/>
            <w:vAlign w:val="top"/>
          </w:tcPr>
          <w:p>
            <w:pPr>
              <w:spacing w:line="367" w:lineRule="auto"/>
              <w:rPr>
                <w:rFonts w:ascii="Arial"/>
                <w:sz w:val="21"/>
              </w:rPr>
            </w:pPr>
            <w:r/>
          </w:p>
          <w:p>
            <w:pPr>
              <w:pStyle w:val="TableText"/>
              <w:ind w:left="329"/>
              <w:spacing w:before="86" w:line="189" w:lineRule="auto"/>
              <w:rPr/>
            </w:pPr>
            <w:r>
              <w:rPr>
                <w:spacing w:val="6"/>
              </w:rPr>
              <w:t>朗进科技</w:t>
            </w:r>
          </w:p>
        </w:tc>
        <w:tc>
          <w:tcPr>
            <w:shd w:val="clear" w:fill="B8CCE4"/>
            <w:tcW w:w="1498" w:type="dxa"/>
            <w:vAlign w:val="top"/>
          </w:tcPr>
          <w:p>
            <w:pPr>
              <w:spacing w:line="367" w:lineRule="auto"/>
              <w:rPr>
                <w:rFonts w:ascii="Arial"/>
                <w:sz w:val="21"/>
              </w:rPr>
            </w:pPr>
            <w:r/>
          </w:p>
          <w:p>
            <w:pPr>
              <w:pStyle w:val="TableText"/>
              <w:ind w:left="434"/>
              <w:spacing w:before="86" w:line="189" w:lineRule="auto"/>
              <w:rPr/>
            </w:pPr>
            <w:r>
              <w:rPr>
                <w:spacing w:val="8"/>
              </w:rPr>
              <w:t>监管函</w:t>
            </w:r>
          </w:p>
        </w:tc>
        <w:tc>
          <w:tcPr>
            <w:shd w:val="clear" w:fill="B8CCE4"/>
            <w:tcW w:w="4563" w:type="dxa"/>
            <w:vAlign w:val="top"/>
          </w:tcPr>
          <w:p>
            <w:pPr>
              <w:pStyle w:val="TableText"/>
              <w:ind w:left="107" w:right="180"/>
              <w:spacing w:before="56" w:line="237" w:lineRule="auto"/>
              <w:jc w:val="both"/>
              <w:rPr/>
            </w:pPr>
            <w:r>
              <w:rPr>
                <w:spacing w:val="9"/>
              </w:rPr>
              <w:t>公司《2023年度业绩预告》披露的预计净利润</w:t>
            </w:r>
            <w:r>
              <w:rPr>
                <w:spacing w:val="1"/>
              </w:rPr>
              <w:t xml:space="preserve"> </w:t>
            </w:r>
            <w:r>
              <w:rPr>
                <w:spacing w:val="9"/>
              </w:rPr>
              <w:t>与2023年经审计的净利润差异较大且盈亏性质</w:t>
            </w:r>
            <w:r>
              <w:rPr>
                <w:spacing w:val="1"/>
              </w:rPr>
              <w:t xml:space="preserve"> </w:t>
            </w:r>
            <w:r>
              <w:rPr>
                <w:spacing w:val="7"/>
              </w:rPr>
              <w:t>发生变化</w:t>
            </w:r>
            <w:r>
              <w:rPr>
                <w:spacing w:val="-24"/>
              </w:rPr>
              <w:t xml:space="preserve"> </w:t>
            </w:r>
            <w:r>
              <w:rPr>
                <w:spacing w:val="7"/>
              </w:rPr>
              <w:t>，但未能</w:t>
            </w:r>
            <w:r>
              <w:rPr>
                <w:b/>
                <w:bCs/>
                <w:spacing w:val="7"/>
              </w:rPr>
              <w:t>及时披露修正公告。</w:t>
            </w:r>
          </w:p>
        </w:tc>
      </w:tr>
      <w:tr>
        <w:trPr>
          <w:trHeight w:val="1084" w:hRule="atLeast"/>
        </w:trPr>
        <w:tc>
          <w:tcPr>
            <w:tcW w:w="1471" w:type="dxa"/>
            <w:vAlign w:val="top"/>
          </w:tcPr>
          <w:p>
            <w:pPr>
              <w:spacing w:line="382" w:lineRule="auto"/>
              <w:rPr>
                <w:rFonts w:ascii="Arial"/>
                <w:sz w:val="21"/>
              </w:rPr>
            </w:pPr>
            <w:r/>
          </w:p>
          <w:p>
            <w:pPr>
              <w:pStyle w:val="TableText"/>
              <w:ind w:left="377"/>
              <w:spacing w:before="86" w:line="179" w:lineRule="auto"/>
              <w:rPr/>
            </w:pPr>
            <w:r>
              <w:rPr>
                <w:spacing w:val="3"/>
              </w:rPr>
              <w:t>300711</w:t>
            </w:r>
          </w:p>
        </w:tc>
        <w:tc>
          <w:tcPr>
            <w:tcW w:w="1484" w:type="dxa"/>
            <w:vAlign w:val="top"/>
          </w:tcPr>
          <w:p>
            <w:pPr>
              <w:spacing w:line="369" w:lineRule="auto"/>
              <w:rPr>
                <w:rFonts w:ascii="Arial"/>
                <w:sz w:val="21"/>
              </w:rPr>
            </w:pPr>
            <w:r/>
          </w:p>
          <w:p>
            <w:pPr>
              <w:pStyle w:val="TableText"/>
              <w:ind w:left="319"/>
              <w:spacing w:before="85" w:line="189" w:lineRule="auto"/>
              <w:rPr/>
            </w:pPr>
            <w:r>
              <w:rPr>
                <w:spacing w:val="8"/>
              </w:rPr>
              <w:t>广哈通信</w:t>
            </w:r>
          </w:p>
        </w:tc>
        <w:tc>
          <w:tcPr>
            <w:tcW w:w="1498" w:type="dxa"/>
            <w:vAlign w:val="top"/>
          </w:tcPr>
          <w:p>
            <w:pPr>
              <w:spacing w:line="369" w:lineRule="auto"/>
              <w:rPr>
                <w:rFonts w:ascii="Arial"/>
                <w:sz w:val="21"/>
              </w:rPr>
            </w:pPr>
            <w:r/>
          </w:p>
          <w:p>
            <w:pPr>
              <w:pStyle w:val="TableText"/>
              <w:ind w:left="434"/>
              <w:spacing w:before="85" w:line="189" w:lineRule="auto"/>
              <w:rPr/>
            </w:pPr>
            <w:r>
              <w:rPr>
                <w:spacing w:val="8"/>
              </w:rPr>
              <w:t>监管函</w:t>
            </w:r>
          </w:p>
        </w:tc>
        <w:tc>
          <w:tcPr>
            <w:tcW w:w="4563" w:type="dxa"/>
            <w:vAlign w:val="top"/>
          </w:tcPr>
          <w:p>
            <w:pPr>
              <w:pStyle w:val="TableText"/>
              <w:ind w:left="107" w:right="252"/>
              <w:spacing w:before="61" w:line="236" w:lineRule="auto"/>
              <w:jc w:val="both"/>
              <w:rPr/>
            </w:pPr>
            <w:r>
              <w:rPr>
                <w:spacing w:val="9"/>
              </w:rPr>
              <w:t>公司在</w:t>
            </w:r>
            <w:r>
              <w:rPr>
                <w:b/>
                <w:bCs/>
                <w:spacing w:val="9"/>
              </w:rPr>
              <w:t>互动易平台的回复</w:t>
            </w:r>
            <w:r>
              <w:rPr>
                <w:spacing w:val="9"/>
              </w:rPr>
              <w:t>以及《股票交易异常</w:t>
            </w:r>
            <w:r>
              <w:rPr>
                <w:spacing w:val="16"/>
                <w:w w:val="101"/>
              </w:rPr>
              <w:t xml:space="preserve"> </w:t>
            </w:r>
            <w:r>
              <w:rPr>
                <w:spacing w:val="8"/>
              </w:rPr>
              <w:t>波动公告》中</w:t>
            </w:r>
            <w:r>
              <w:rPr>
                <w:spacing w:val="-23"/>
              </w:rPr>
              <w:t xml:space="preserve"> </w:t>
            </w:r>
            <w:r>
              <w:rPr>
                <w:spacing w:val="8"/>
              </w:rPr>
              <w:t>，未能完整反映“低空经济“相</w:t>
            </w:r>
            <w:r>
              <w:rPr/>
              <w:t xml:space="preserve"> </w:t>
            </w:r>
            <w:r>
              <w:rPr>
                <w:spacing w:val="8"/>
              </w:rPr>
              <w:t>关业务对公司的具体影响。</w:t>
            </w:r>
          </w:p>
        </w:tc>
      </w:tr>
      <w:tr>
        <w:trPr>
          <w:trHeight w:val="1086" w:hRule="atLeast"/>
        </w:trPr>
        <w:tc>
          <w:tcPr>
            <w:shd w:val="clear" w:fill="B8CCE4"/>
            <w:tcW w:w="1471" w:type="dxa"/>
            <w:vAlign w:val="top"/>
          </w:tcPr>
          <w:p>
            <w:pPr>
              <w:spacing w:line="386" w:lineRule="auto"/>
              <w:rPr>
                <w:rFonts w:ascii="Arial"/>
                <w:sz w:val="21"/>
              </w:rPr>
            </w:pPr>
            <w:r/>
          </w:p>
          <w:p>
            <w:pPr>
              <w:pStyle w:val="TableText"/>
              <w:ind w:left="372"/>
              <w:spacing w:before="86" w:line="178" w:lineRule="auto"/>
              <w:rPr/>
            </w:pPr>
            <w:r>
              <w:rPr>
                <w:spacing w:val="3"/>
              </w:rPr>
              <w:t>000409</w:t>
            </w:r>
          </w:p>
        </w:tc>
        <w:tc>
          <w:tcPr>
            <w:shd w:val="clear" w:fill="B8CCE4"/>
            <w:tcW w:w="1484" w:type="dxa"/>
            <w:vAlign w:val="top"/>
          </w:tcPr>
          <w:p>
            <w:pPr>
              <w:spacing w:line="373" w:lineRule="auto"/>
              <w:rPr>
                <w:rFonts w:ascii="Arial"/>
                <w:sz w:val="21"/>
              </w:rPr>
            </w:pPr>
            <w:r/>
          </w:p>
          <w:p>
            <w:pPr>
              <w:pStyle w:val="TableText"/>
              <w:ind w:left="323"/>
              <w:spacing w:before="86" w:line="188" w:lineRule="auto"/>
              <w:rPr/>
            </w:pPr>
            <w:r>
              <w:rPr>
                <w:spacing w:val="8"/>
              </w:rPr>
              <w:t>云鼎科技</w:t>
            </w:r>
          </w:p>
        </w:tc>
        <w:tc>
          <w:tcPr>
            <w:shd w:val="clear" w:fill="B8CCE4"/>
            <w:tcW w:w="1498" w:type="dxa"/>
            <w:vAlign w:val="top"/>
          </w:tcPr>
          <w:p>
            <w:pPr>
              <w:spacing w:line="372" w:lineRule="auto"/>
              <w:rPr>
                <w:rFonts w:ascii="Arial"/>
                <w:sz w:val="21"/>
              </w:rPr>
            </w:pPr>
            <w:r/>
          </w:p>
          <w:p>
            <w:pPr>
              <w:pStyle w:val="TableText"/>
              <w:ind w:left="434"/>
              <w:spacing w:before="85" w:line="189" w:lineRule="auto"/>
              <w:rPr/>
            </w:pPr>
            <w:r>
              <w:rPr>
                <w:spacing w:val="8"/>
              </w:rPr>
              <w:t>监管函</w:t>
            </w:r>
          </w:p>
        </w:tc>
        <w:tc>
          <w:tcPr>
            <w:shd w:val="clear" w:fill="B8CCE4"/>
            <w:tcW w:w="4563" w:type="dxa"/>
            <w:vAlign w:val="top"/>
          </w:tcPr>
          <w:p>
            <w:pPr>
              <w:pStyle w:val="TableText"/>
              <w:ind w:left="106" w:right="252" w:firstLine="1"/>
              <w:spacing w:before="98" w:line="228" w:lineRule="auto"/>
              <w:jc w:val="both"/>
              <w:rPr/>
            </w:pPr>
            <w:r>
              <w:rPr>
                <w:spacing w:val="9"/>
              </w:rPr>
              <w:t>公司募集资金相关制度中资金使用等方面内容</w:t>
            </w:r>
            <w:r>
              <w:rPr>
                <w:spacing w:val="14"/>
              </w:rPr>
              <w:t xml:space="preserve"> </w:t>
            </w:r>
            <w:r>
              <w:rPr>
                <w:spacing w:val="9"/>
              </w:rPr>
              <w:t>不完善、在</w:t>
            </w:r>
            <w:r>
              <w:rPr>
                <w:b/>
                <w:bCs/>
                <w:spacing w:val="9"/>
              </w:rPr>
              <w:t>募集资金使用</w:t>
            </w:r>
            <w:r>
              <w:rPr>
                <w:spacing w:val="9"/>
              </w:rPr>
              <w:t>监督等方面执行不规</w:t>
            </w:r>
            <w:r>
              <w:rPr>
                <w:spacing w:val="17"/>
                <w:w w:val="101"/>
              </w:rPr>
              <w:t xml:space="preserve"> </w:t>
            </w:r>
            <w:r>
              <w:rPr>
                <w:spacing w:val="8"/>
              </w:rPr>
              <w:t>范</w:t>
            </w:r>
            <w:r>
              <w:rPr>
                <w:spacing w:val="-24"/>
              </w:rPr>
              <w:t xml:space="preserve"> </w:t>
            </w:r>
            <w:r>
              <w:rPr>
                <w:spacing w:val="8"/>
              </w:rPr>
              <w:t>，在将募集资金用于补充流动资金和偿还债</w:t>
            </w:r>
          </w:p>
        </w:tc>
      </w:tr>
    </w:tbl>
    <w:p>
      <w:pPr>
        <w:pStyle w:val="BodyText"/>
        <w:spacing w:line="14" w:lineRule="auto"/>
        <w:rPr>
          <w:sz w:val="2"/>
        </w:rPr>
      </w:pPr>
      <w:r/>
    </w:p>
    <w:p>
      <w:pPr>
        <w:spacing w:line="14" w:lineRule="auto"/>
        <w:sectPr>
          <w:pgSz w:w="11910" w:h="16840"/>
          <w:pgMar w:top="374" w:right="586" w:bottom="128" w:left="460" w:header="0" w:footer="0" w:gutter="0"/>
        </w:sectPr>
        <w:rPr>
          <w:sz w:val="2"/>
          <w:szCs w:val="2"/>
        </w:rPr>
      </w:pPr>
    </w:p>
    <w:tbl>
      <w:tblPr>
        <w:tblStyle w:val="TableNormal"/>
        <w:tblW w:w="9016" w:type="dxa"/>
        <w:tblInd w:w="103"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730" w:hRule="atLeast"/>
        </w:trPr>
        <w:tc>
          <w:tcPr>
            <w:shd w:val="clear" w:fill="B8CCE4"/>
            <w:tcW w:w="1471" w:type="dxa"/>
            <w:vAlign w:val="top"/>
          </w:tcPr>
          <w:p>
            <w:pPr>
              <w:rPr>
                <w:rFonts w:ascii="Arial"/>
                <w:sz w:val="21"/>
              </w:rPr>
            </w:pPr>
            <w:r/>
          </w:p>
        </w:tc>
        <w:tc>
          <w:tcPr>
            <w:shd w:val="clear" w:fill="B8CCE4"/>
            <w:tcW w:w="1484" w:type="dxa"/>
            <w:vAlign w:val="top"/>
          </w:tcPr>
          <w:p>
            <w:pPr>
              <w:rPr>
                <w:rFonts w:ascii="Arial"/>
                <w:sz w:val="21"/>
              </w:rPr>
            </w:pPr>
            <w:r/>
          </w:p>
        </w:tc>
        <w:tc>
          <w:tcPr>
            <w:shd w:val="clear" w:fill="B8CCE4"/>
            <w:tcW w:w="1498" w:type="dxa"/>
            <w:vAlign w:val="top"/>
          </w:tcPr>
          <w:p>
            <w:pPr>
              <w:rPr>
                <w:rFonts w:ascii="Arial"/>
                <w:sz w:val="21"/>
              </w:rPr>
            </w:pPr>
            <w:r/>
          </w:p>
        </w:tc>
        <w:tc>
          <w:tcPr>
            <w:shd w:val="clear" w:fill="B8CCE4"/>
            <w:tcW w:w="4563" w:type="dxa"/>
            <w:vAlign w:val="top"/>
          </w:tcPr>
          <w:p>
            <w:pPr>
              <w:pStyle w:val="TableText"/>
              <w:ind w:left="108" w:right="254" w:hanging="2"/>
              <w:spacing w:before="88" w:line="221" w:lineRule="auto"/>
              <w:rPr/>
            </w:pPr>
            <w:r>
              <w:rPr>
                <w:spacing w:val="8"/>
              </w:rPr>
              <w:t>务后</w:t>
            </w:r>
            <w:r>
              <w:rPr>
                <w:spacing w:val="-24"/>
              </w:rPr>
              <w:t xml:space="preserve"> </w:t>
            </w:r>
            <w:r>
              <w:rPr>
                <w:spacing w:val="8"/>
              </w:rPr>
              <w:t>，公司未采取措施规范募集资金补充流动</w:t>
            </w:r>
            <w:r>
              <w:rPr/>
              <w:t xml:space="preserve"> </w:t>
            </w:r>
            <w:r>
              <w:rPr>
                <w:spacing w:val="8"/>
              </w:rPr>
              <w:t>资金和偿还债务使用过程。</w:t>
            </w:r>
          </w:p>
        </w:tc>
      </w:tr>
      <w:tr>
        <w:trPr>
          <w:trHeight w:val="611" w:hRule="atLeast"/>
        </w:trPr>
        <w:tc>
          <w:tcPr>
            <w:tcW w:w="1471" w:type="dxa"/>
            <w:vAlign w:val="top"/>
          </w:tcPr>
          <w:p>
            <w:pPr>
              <w:pStyle w:val="TableText"/>
              <w:ind w:left="372"/>
              <w:spacing w:before="222" w:line="178" w:lineRule="auto"/>
              <w:rPr/>
            </w:pPr>
            <w:r>
              <w:rPr>
                <w:spacing w:val="3"/>
              </w:rPr>
              <w:t>002857</w:t>
            </w:r>
          </w:p>
        </w:tc>
        <w:tc>
          <w:tcPr>
            <w:tcW w:w="1484" w:type="dxa"/>
            <w:vAlign w:val="top"/>
          </w:tcPr>
          <w:p>
            <w:pPr>
              <w:pStyle w:val="TableText"/>
              <w:ind w:left="323"/>
              <w:spacing w:before="207" w:line="189" w:lineRule="auto"/>
              <w:rPr/>
            </w:pPr>
            <w:r>
              <w:rPr>
                <w:spacing w:val="7"/>
              </w:rPr>
              <w:t>三晖电气</w:t>
            </w:r>
          </w:p>
        </w:tc>
        <w:tc>
          <w:tcPr>
            <w:tcW w:w="1498" w:type="dxa"/>
            <w:vAlign w:val="top"/>
          </w:tcPr>
          <w:p>
            <w:pPr>
              <w:pStyle w:val="TableText"/>
              <w:ind w:left="434"/>
              <w:spacing w:before="207" w:line="189" w:lineRule="auto"/>
              <w:rPr/>
            </w:pPr>
            <w:r>
              <w:rPr>
                <w:spacing w:val="8"/>
              </w:rPr>
              <w:t>监管函</w:t>
            </w:r>
          </w:p>
        </w:tc>
        <w:tc>
          <w:tcPr>
            <w:tcW w:w="4563" w:type="dxa"/>
            <w:vAlign w:val="top"/>
          </w:tcPr>
          <w:p>
            <w:pPr>
              <w:pStyle w:val="TableText"/>
              <w:ind w:left="109"/>
              <w:spacing w:before="207" w:line="189" w:lineRule="auto"/>
              <w:rPr/>
            </w:pPr>
            <w:r>
              <w:rPr>
                <w:spacing w:val="8"/>
              </w:rPr>
              <w:t>监事配偶</w:t>
            </w:r>
            <w:r>
              <w:rPr>
                <w:b/>
                <w:bCs/>
                <w:spacing w:val="8"/>
              </w:rPr>
              <w:t>短线交易</w:t>
            </w:r>
            <w:r>
              <w:rPr>
                <w:spacing w:val="8"/>
              </w:rPr>
              <w:t>三晖电气股票。</w:t>
            </w:r>
          </w:p>
        </w:tc>
      </w:tr>
      <w:tr>
        <w:trPr>
          <w:trHeight w:val="366" w:hRule="atLeast"/>
        </w:trPr>
        <w:tc>
          <w:tcPr>
            <w:shd w:val="clear" w:fill="B8CCE4"/>
            <w:tcW w:w="1471" w:type="dxa"/>
            <w:vAlign w:val="top"/>
          </w:tcPr>
          <w:p>
            <w:pPr>
              <w:pStyle w:val="TableText"/>
              <w:ind w:left="377"/>
              <w:spacing w:before="99" w:line="179" w:lineRule="auto"/>
              <w:rPr/>
            </w:pPr>
            <w:r>
              <w:rPr>
                <w:spacing w:val="3"/>
              </w:rPr>
              <w:t>300701</w:t>
            </w:r>
          </w:p>
        </w:tc>
        <w:tc>
          <w:tcPr>
            <w:shd w:val="clear" w:fill="B8CCE4"/>
            <w:tcW w:w="1484" w:type="dxa"/>
            <w:vAlign w:val="top"/>
          </w:tcPr>
          <w:p>
            <w:pPr>
              <w:pStyle w:val="TableText"/>
              <w:ind w:left="319"/>
              <w:spacing w:before="85" w:line="189" w:lineRule="auto"/>
              <w:rPr/>
            </w:pPr>
            <w:r>
              <w:rPr>
                <w:spacing w:val="9"/>
              </w:rPr>
              <w:t>森霸传感</w:t>
            </w:r>
          </w:p>
        </w:tc>
        <w:tc>
          <w:tcPr>
            <w:shd w:val="clear" w:fill="B8CCE4"/>
            <w:tcW w:w="1498" w:type="dxa"/>
            <w:vAlign w:val="top"/>
          </w:tcPr>
          <w:p>
            <w:pPr>
              <w:pStyle w:val="TableText"/>
              <w:ind w:left="434"/>
              <w:spacing w:before="85" w:line="189" w:lineRule="auto"/>
              <w:rPr/>
            </w:pPr>
            <w:r>
              <w:rPr>
                <w:spacing w:val="8"/>
              </w:rPr>
              <w:t>监管函</w:t>
            </w:r>
          </w:p>
        </w:tc>
        <w:tc>
          <w:tcPr>
            <w:shd w:val="clear" w:fill="B8CCE4"/>
            <w:tcW w:w="4563" w:type="dxa"/>
            <w:vAlign w:val="top"/>
          </w:tcPr>
          <w:p>
            <w:pPr>
              <w:pStyle w:val="TableText"/>
              <w:ind w:left="109"/>
              <w:spacing w:before="84" w:line="190" w:lineRule="auto"/>
              <w:rPr/>
            </w:pPr>
            <w:r>
              <w:rPr>
                <w:spacing w:val="8"/>
              </w:rPr>
              <w:t>高级管理人员配偶</w:t>
            </w:r>
            <w:r>
              <w:rPr>
                <w:b/>
                <w:bCs/>
                <w:spacing w:val="8"/>
              </w:rPr>
              <w:t>短线交易</w:t>
            </w:r>
            <w:r>
              <w:rPr>
                <w:spacing w:val="8"/>
              </w:rPr>
              <w:t>。</w:t>
            </w:r>
          </w:p>
        </w:tc>
      </w:tr>
      <w:tr>
        <w:trPr>
          <w:trHeight w:val="725" w:hRule="atLeast"/>
        </w:trPr>
        <w:tc>
          <w:tcPr>
            <w:tcW w:w="1471" w:type="dxa"/>
            <w:vAlign w:val="top"/>
          </w:tcPr>
          <w:p>
            <w:pPr>
              <w:pStyle w:val="TableText"/>
              <w:ind w:left="377"/>
              <w:spacing w:before="279" w:line="178" w:lineRule="auto"/>
              <w:rPr/>
            </w:pPr>
            <w:r>
              <w:rPr>
                <w:spacing w:val="3"/>
              </w:rPr>
              <w:t>300240</w:t>
            </w:r>
          </w:p>
        </w:tc>
        <w:tc>
          <w:tcPr>
            <w:tcW w:w="1484" w:type="dxa"/>
            <w:vAlign w:val="top"/>
          </w:tcPr>
          <w:p>
            <w:pPr>
              <w:pStyle w:val="TableText"/>
              <w:ind w:left="426"/>
              <w:spacing w:before="265" w:line="188" w:lineRule="auto"/>
              <w:rPr/>
            </w:pPr>
            <w:r>
              <w:rPr>
                <w:spacing w:val="8"/>
              </w:rPr>
              <w:t>飞力达</w:t>
            </w:r>
          </w:p>
        </w:tc>
        <w:tc>
          <w:tcPr>
            <w:tcW w:w="1498" w:type="dxa"/>
            <w:vAlign w:val="top"/>
          </w:tcPr>
          <w:p>
            <w:pPr>
              <w:pStyle w:val="TableText"/>
              <w:ind w:left="434"/>
              <w:spacing w:before="264" w:line="189" w:lineRule="auto"/>
              <w:rPr/>
            </w:pPr>
            <w:r>
              <w:rPr>
                <w:spacing w:val="8"/>
              </w:rPr>
              <w:t>监管函</w:t>
            </w:r>
          </w:p>
        </w:tc>
        <w:tc>
          <w:tcPr>
            <w:tcW w:w="4563" w:type="dxa"/>
            <w:vAlign w:val="top"/>
          </w:tcPr>
          <w:p>
            <w:pPr>
              <w:pStyle w:val="TableText"/>
              <w:ind w:left="107" w:right="180"/>
              <w:spacing w:before="45" w:line="234" w:lineRule="auto"/>
              <w:rPr/>
            </w:pPr>
            <w:r>
              <w:rPr>
                <w:spacing w:val="9"/>
              </w:rPr>
              <w:t>公司《2023年年度报告》中分季度主要财务指</w:t>
            </w:r>
            <w:r>
              <w:rPr>
                <w:spacing w:val="1"/>
              </w:rPr>
              <w:t xml:space="preserve"> </w:t>
            </w:r>
            <w:r>
              <w:rPr>
                <w:spacing w:val="9"/>
              </w:rPr>
              <w:t>标、收入与成本等部分多处</w:t>
            </w:r>
            <w:r>
              <w:rPr>
                <w:b/>
                <w:bCs/>
                <w:spacing w:val="9"/>
              </w:rPr>
              <w:t>信息披露有误</w:t>
            </w:r>
            <w:r>
              <w:rPr>
                <w:spacing w:val="9"/>
              </w:rPr>
              <w:t>。</w:t>
            </w:r>
          </w:p>
        </w:tc>
      </w:tr>
      <w:tr>
        <w:trPr>
          <w:trHeight w:val="365" w:hRule="atLeast"/>
        </w:trPr>
        <w:tc>
          <w:tcPr>
            <w:shd w:val="clear" w:fill="B8CCE4"/>
            <w:tcW w:w="1471" w:type="dxa"/>
            <w:vAlign w:val="top"/>
          </w:tcPr>
          <w:p>
            <w:pPr>
              <w:pStyle w:val="TableText"/>
              <w:ind w:left="377"/>
              <w:spacing w:before="100" w:line="178" w:lineRule="auto"/>
              <w:rPr/>
            </w:pPr>
            <w:r>
              <w:rPr>
                <w:spacing w:val="3"/>
              </w:rPr>
              <w:t>300742</w:t>
            </w:r>
          </w:p>
        </w:tc>
        <w:tc>
          <w:tcPr>
            <w:shd w:val="clear" w:fill="B8CCE4"/>
            <w:tcW w:w="1484" w:type="dxa"/>
            <w:vAlign w:val="top"/>
          </w:tcPr>
          <w:p>
            <w:pPr>
              <w:pStyle w:val="TableText"/>
              <w:ind w:left="366"/>
              <w:spacing w:before="87" w:line="187" w:lineRule="auto"/>
              <w:rPr/>
            </w:pPr>
            <w:r>
              <w:rPr>
                <w:spacing w:val="8"/>
              </w:rPr>
              <w:t>*</w:t>
            </w:r>
            <w:r>
              <w:rPr/>
              <w:t>ST</w:t>
            </w:r>
            <w:r>
              <w:rPr>
                <w:spacing w:val="8"/>
              </w:rPr>
              <w:t>越博</w:t>
            </w:r>
          </w:p>
        </w:tc>
        <w:tc>
          <w:tcPr>
            <w:shd w:val="clear" w:fill="B8CCE4"/>
            <w:tcW w:w="1498" w:type="dxa"/>
            <w:vAlign w:val="top"/>
          </w:tcPr>
          <w:p>
            <w:pPr>
              <w:pStyle w:val="TableText"/>
              <w:ind w:left="434"/>
              <w:spacing w:before="86" w:line="188" w:lineRule="auto"/>
              <w:rPr/>
            </w:pPr>
            <w:r>
              <w:rPr>
                <w:spacing w:val="8"/>
              </w:rPr>
              <w:t>监管函</w:t>
            </w:r>
          </w:p>
        </w:tc>
        <w:tc>
          <w:tcPr>
            <w:shd w:val="clear" w:fill="B8CCE4"/>
            <w:tcW w:w="4563" w:type="dxa"/>
            <w:vAlign w:val="top"/>
          </w:tcPr>
          <w:p>
            <w:pPr>
              <w:pStyle w:val="TableText"/>
              <w:ind w:left="109"/>
              <w:spacing w:before="86" w:line="188" w:lineRule="auto"/>
              <w:rPr/>
            </w:pPr>
            <w:r>
              <w:rPr>
                <w:b/>
                <w:bCs/>
                <w:spacing w:val="8"/>
              </w:rPr>
              <w:t>年审会计师辞任</w:t>
            </w:r>
            <w:r>
              <w:rPr>
                <w:spacing w:val="8"/>
              </w:rPr>
              <w:t>未及时披露。</w:t>
            </w:r>
          </w:p>
        </w:tc>
      </w:tr>
      <w:tr>
        <w:trPr>
          <w:trHeight w:val="1445" w:hRule="atLeast"/>
        </w:trPr>
        <w:tc>
          <w:tcPr>
            <w:tcW w:w="1471" w:type="dxa"/>
            <w:vAlign w:val="top"/>
          </w:tcPr>
          <w:p>
            <w:pPr>
              <w:spacing w:line="275" w:lineRule="auto"/>
              <w:rPr>
                <w:rFonts w:ascii="Arial"/>
                <w:sz w:val="21"/>
              </w:rPr>
            </w:pPr>
            <w:r/>
          </w:p>
          <w:p>
            <w:pPr>
              <w:spacing w:line="275" w:lineRule="auto"/>
              <w:rPr>
                <w:rFonts w:ascii="Arial"/>
                <w:sz w:val="21"/>
              </w:rPr>
            </w:pPr>
            <w:r/>
          </w:p>
          <w:p>
            <w:pPr>
              <w:pStyle w:val="TableText"/>
              <w:ind w:left="372"/>
              <w:spacing w:before="86" w:line="179" w:lineRule="auto"/>
              <w:rPr/>
            </w:pPr>
            <w:r>
              <w:rPr>
                <w:spacing w:val="3"/>
              </w:rPr>
              <w:t>002717</w:t>
            </w:r>
          </w:p>
        </w:tc>
        <w:tc>
          <w:tcPr>
            <w:tcW w:w="1484" w:type="dxa"/>
            <w:vAlign w:val="top"/>
          </w:tcPr>
          <w:p>
            <w:pPr>
              <w:spacing w:line="269" w:lineRule="auto"/>
              <w:rPr>
                <w:rFonts w:ascii="Arial"/>
                <w:sz w:val="21"/>
              </w:rPr>
            </w:pPr>
            <w:r/>
          </w:p>
          <w:p>
            <w:pPr>
              <w:spacing w:line="269" w:lineRule="auto"/>
              <w:rPr>
                <w:rFonts w:ascii="Arial"/>
                <w:sz w:val="21"/>
              </w:rPr>
            </w:pPr>
            <w:r/>
          </w:p>
          <w:p>
            <w:pPr>
              <w:pStyle w:val="TableText"/>
              <w:ind w:left="328"/>
              <w:spacing w:before="86" w:line="188" w:lineRule="auto"/>
              <w:rPr/>
            </w:pPr>
            <w:r>
              <w:rPr>
                <w:spacing w:val="6"/>
              </w:rPr>
              <w:t>岭南股份</w:t>
            </w:r>
          </w:p>
        </w:tc>
        <w:tc>
          <w:tcPr>
            <w:tcW w:w="1498" w:type="dxa"/>
            <w:vAlign w:val="top"/>
          </w:tcPr>
          <w:p>
            <w:pPr>
              <w:spacing w:line="268" w:lineRule="auto"/>
              <w:rPr>
                <w:rFonts w:ascii="Arial"/>
                <w:sz w:val="21"/>
              </w:rPr>
            </w:pPr>
            <w:r/>
          </w:p>
          <w:p>
            <w:pPr>
              <w:spacing w:line="269" w:lineRule="auto"/>
              <w:rPr>
                <w:rFonts w:ascii="Arial"/>
                <w:sz w:val="21"/>
              </w:rPr>
            </w:pPr>
            <w:r/>
          </w:p>
          <w:p>
            <w:pPr>
              <w:pStyle w:val="TableText"/>
              <w:ind w:left="434"/>
              <w:spacing w:before="85" w:line="189" w:lineRule="auto"/>
              <w:rPr/>
            </w:pPr>
            <w:r>
              <w:rPr>
                <w:spacing w:val="8"/>
              </w:rPr>
              <w:t>监管函</w:t>
            </w:r>
          </w:p>
        </w:tc>
        <w:tc>
          <w:tcPr>
            <w:tcW w:w="4563" w:type="dxa"/>
            <w:vAlign w:val="top"/>
          </w:tcPr>
          <w:p>
            <w:pPr>
              <w:pStyle w:val="TableText"/>
              <w:ind w:left="107" w:right="254"/>
              <w:spacing w:before="85" w:line="236" w:lineRule="auto"/>
              <w:jc w:val="both"/>
              <w:rPr/>
            </w:pPr>
            <w:r>
              <w:rPr>
                <w:spacing w:val="9"/>
              </w:rPr>
              <w:t>公司未在</w:t>
            </w:r>
            <w:r>
              <w:rPr>
                <w:b/>
                <w:bCs/>
                <w:spacing w:val="9"/>
              </w:rPr>
              <w:t>触发转股价格向下修正条件</w:t>
            </w:r>
            <w:r>
              <w:rPr>
                <w:spacing w:val="9"/>
              </w:rPr>
              <w:t>当日履行</w:t>
            </w:r>
            <w:r>
              <w:rPr>
                <w:spacing w:val="14"/>
              </w:rPr>
              <w:t xml:space="preserve"> </w:t>
            </w:r>
            <w:r>
              <w:rPr>
                <w:spacing w:val="8"/>
              </w:rPr>
              <w:t>董事会审议程序</w:t>
            </w:r>
            <w:r>
              <w:rPr>
                <w:spacing w:val="-26"/>
              </w:rPr>
              <w:t xml:space="preserve"> </w:t>
            </w:r>
            <w:r>
              <w:rPr>
                <w:spacing w:val="8"/>
              </w:rPr>
              <w:t>，且未在次一交易日开市前披</w:t>
            </w:r>
            <w:r>
              <w:rPr/>
              <w:t xml:space="preserve"> </w:t>
            </w:r>
            <w:r>
              <w:rPr>
                <w:spacing w:val="9"/>
              </w:rPr>
              <w:t>露</w:t>
            </w:r>
            <w:r>
              <w:rPr>
                <w:b/>
                <w:bCs/>
                <w:spacing w:val="9"/>
              </w:rPr>
              <w:t>修正或者不修正</w:t>
            </w:r>
            <w:r>
              <w:rPr>
                <w:spacing w:val="9"/>
              </w:rPr>
              <w:t>可转债转股价格的提示性公</w:t>
            </w:r>
            <w:r>
              <w:rPr>
                <w:spacing w:val="13"/>
              </w:rPr>
              <w:t xml:space="preserve"> </w:t>
            </w:r>
            <w:r>
              <w:rPr>
                <w:spacing w:val="3"/>
              </w:rPr>
              <w:t>告。</w:t>
            </w:r>
          </w:p>
        </w:tc>
      </w:tr>
      <w:tr>
        <w:trPr>
          <w:trHeight w:val="726" w:hRule="atLeast"/>
        </w:trPr>
        <w:tc>
          <w:tcPr>
            <w:shd w:val="clear" w:fill="B8CCE4"/>
            <w:tcW w:w="1471" w:type="dxa"/>
            <w:vAlign w:val="top"/>
          </w:tcPr>
          <w:p>
            <w:pPr>
              <w:pStyle w:val="TableText"/>
              <w:ind w:left="372"/>
              <w:spacing w:before="280" w:line="178" w:lineRule="auto"/>
              <w:rPr/>
            </w:pPr>
            <w:r>
              <w:rPr>
                <w:spacing w:val="3"/>
              </w:rPr>
              <w:t>000980</w:t>
            </w:r>
          </w:p>
        </w:tc>
        <w:tc>
          <w:tcPr>
            <w:shd w:val="clear" w:fill="B8CCE4"/>
            <w:tcW w:w="1484" w:type="dxa"/>
            <w:vAlign w:val="top"/>
          </w:tcPr>
          <w:p>
            <w:pPr>
              <w:pStyle w:val="TableText"/>
              <w:ind w:left="319"/>
              <w:spacing w:before="265" w:line="189" w:lineRule="auto"/>
              <w:rPr/>
            </w:pPr>
            <w:r>
              <w:rPr>
                <w:spacing w:val="9"/>
              </w:rPr>
              <w:t>众泰汽车</w:t>
            </w:r>
          </w:p>
        </w:tc>
        <w:tc>
          <w:tcPr>
            <w:shd w:val="clear" w:fill="B8CCE4"/>
            <w:tcW w:w="1498" w:type="dxa"/>
            <w:vAlign w:val="top"/>
          </w:tcPr>
          <w:p>
            <w:pPr>
              <w:pStyle w:val="TableText"/>
              <w:ind w:left="434"/>
              <w:spacing w:before="265" w:line="189" w:lineRule="auto"/>
              <w:rPr/>
            </w:pPr>
            <w:r>
              <w:rPr>
                <w:spacing w:val="8"/>
              </w:rPr>
              <w:t>监管函</w:t>
            </w:r>
          </w:p>
        </w:tc>
        <w:tc>
          <w:tcPr>
            <w:shd w:val="clear" w:fill="B8CCE4"/>
            <w:tcW w:w="4563" w:type="dxa"/>
            <w:vAlign w:val="top"/>
          </w:tcPr>
          <w:p>
            <w:pPr>
              <w:pStyle w:val="TableText"/>
              <w:ind w:left="107"/>
              <w:spacing w:before="86" w:line="190" w:lineRule="auto"/>
              <w:rPr/>
            </w:pPr>
            <w:r>
              <w:rPr>
                <w:spacing w:val="9"/>
              </w:rPr>
              <w:t>公司未及时披露拍卖资产</w:t>
            </w:r>
            <w:r>
              <w:rPr>
                <w:b/>
                <w:bCs/>
                <w:spacing w:val="9"/>
              </w:rPr>
              <w:t>重大交易的进展</w:t>
            </w:r>
            <w:r>
              <w:rPr>
                <w:spacing w:val="9"/>
              </w:rPr>
              <w:t>公告</w:t>
            </w:r>
          </w:p>
          <w:p>
            <w:pPr>
              <w:pStyle w:val="TableText"/>
              <w:ind w:left="118"/>
              <w:spacing w:before="238" w:line="119" w:lineRule="exact"/>
              <w:rPr/>
            </w:pPr>
            <w:r>
              <w:rPr>
                <w:position w:val="3"/>
              </w:rPr>
              <w:t>。</w:t>
            </w:r>
          </w:p>
        </w:tc>
      </w:tr>
      <w:tr>
        <w:trPr>
          <w:trHeight w:val="2165" w:hRule="atLeast"/>
        </w:trPr>
        <w:tc>
          <w:tcPr>
            <w:tcW w:w="1471" w:type="dxa"/>
            <w:vAlign w:val="top"/>
          </w:tcPr>
          <w:p>
            <w:pPr>
              <w:spacing w:line="303" w:lineRule="auto"/>
              <w:rPr>
                <w:rFonts w:ascii="Arial"/>
                <w:sz w:val="21"/>
              </w:rPr>
            </w:pPr>
            <w:r/>
          </w:p>
          <w:p>
            <w:pPr>
              <w:spacing w:line="303" w:lineRule="auto"/>
              <w:rPr>
                <w:rFonts w:ascii="Arial"/>
                <w:sz w:val="21"/>
              </w:rPr>
            </w:pPr>
            <w:r/>
          </w:p>
          <w:p>
            <w:pPr>
              <w:spacing w:line="304" w:lineRule="auto"/>
              <w:rPr>
                <w:rFonts w:ascii="Arial"/>
                <w:sz w:val="21"/>
              </w:rPr>
            </w:pPr>
            <w:r/>
          </w:p>
          <w:p>
            <w:pPr>
              <w:pStyle w:val="TableText"/>
              <w:ind w:left="372"/>
              <w:spacing w:before="85" w:line="178" w:lineRule="auto"/>
              <w:rPr/>
            </w:pPr>
            <w:r>
              <w:rPr>
                <w:spacing w:val="3"/>
              </w:rPr>
              <w:t>002232</w:t>
            </w:r>
          </w:p>
        </w:tc>
        <w:tc>
          <w:tcPr>
            <w:tcW w:w="1484" w:type="dxa"/>
            <w:vAlign w:val="top"/>
          </w:tcPr>
          <w:p>
            <w:pPr>
              <w:spacing w:line="298" w:lineRule="auto"/>
              <w:rPr>
                <w:rFonts w:ascii="Arial"/>
                <w:sz w:val="21"/>
              </w:rPr>
            </w:pPr>
            <w:r/>
          </w:p>
          <w:p>
            <w:pPr>
              <w:spacing w:line="298" w:lineRule="auto"/>
              <w:rPr>
                <w:rFonts w:ascii="Arial"/>
                <w:sz w:val="21"/>
              </w:rPr>
            </w:pPr>
            <w:r/>
          </w:p>
          <w:p>
            <w:pPr>
              <w:spacing w:line="298" w:lineRule="auto"/>
              <w:rPr>
                <w:rFonts w:ascii="Arial"/>
                <w:sz w:val="21"/>
              </w:rPr>
            </w:pPr>
            <w:r/>
          </w:p>
          <w:p>
            <w:pPr>
              <w:pStyle w:val="TableText"/>
              <w:ind w:left="319"/>
              <w:spacing w:before="85" w:line="190" w:lineRule="auto"/>
              <w:rPr/>
            </w:pPr>
            <w:r>
              <w:rPr>
                <w:spacing w:val="9"/>
              </w:rPr>
              <w:t>启明信息</w:t>
            </w:r>
          </w:p>
        </w:tc>
        <w:tc>
          <w:tcPr>
            <w:tcW w:w="1498" w:type="dxa"/>
            <w:vAlign w:val="top"/>
          </w:tcPr>
          <w:p>
            <w:pPr>
              <w:spacing w:line="298" w:lineRule="auto"/>
              <w:rPr>
                <w:rFonts w:ascii="Arial"/>
                <w:sz w:val="21"/>
              </w:rPr>
            </w:pPr>
            <w:r/>
          </w:p>
          <w:p>
            <w:pPr>
              <w:spacing w:line="298" w:lineRule="auto"/>
              <w:rPr>
                <w:rFonts w:ascii="Arial"/>
                <w:sz w:val="21"/>
              </w:rPr>
            </w:pPr>
            <w:r/>
          </w:p>
          <w:p>
            <w:pPr>
              <w:spacing w:line="299" w:lineRule="auto"/>
              <w:rPr>
                <w:rFonts w:ascii="Arial"/>
                <w:sz w:val="21"/>
              </w:rPr>
            </w:pPr>
            <w:r/>
          </w:p>
          <w:p>
            <w:pPr>
              <w:pStyle w:val="TableText"/>
              <w:ind w:left="434"/>
              <w:spacing w:before="86" w:line="189" w:lineRule="auto"/>
              <w:rPr/>
            </w:pPr>
            <w:r>
              <w:rPr>
                <w:spacing w:val="8"/>
              </w:rPr>
              <w:t>监管函</w:t>
            </w:r>
          </w:p>
        </w:tc>
        <w:tc>
          <w:tcPr>
            <w:tcW w:w="4563" w:type="dxa"/>
            <w:vAlign w:val="top"/>
          </w:tcPr>
          <w:p>
            <w:pPr>
              <w:pStyle w:val="TableText"/>
              <w:ind w:left="108" w:right="181" w:hanging="1"/>
              <w:spacing w:before="47"/>
              <w:jc w:val="both"/>
              <w:rPr/>
            </w:pPr>
            <w:r>
              <w:rPr>
                <w:spacing w:val="9"/>
              </w:rPr>
              <w:t>公司披露《关于2023年年度报告的更正公告》</w:t>
            </w:r>
            <w:r>
              <w:rPr/>
              <w:t xml:space="preserve"> </w:t>
            </w:r>
            <w:r>
              <w:rPr>
                <w:spacing w:val="5"/>
              </w:rPr>
              <w:t>显示</w:t>
            </w:r>
            <w:r>
              <w:rPr>
                <w:spacing w:val="-25"/>
              </w:rPr>
              <w:t xml:space="preserve"> </w:t>
            </w:r>
            <w:r>
              <w:rPr>
                <w:spacing w:val="5"/>
              </w:rPr>
              <w:t>，</w:t>
            </w:r>
            <w:r>
              <w:rPr>
                <w:spacing w:val="-33"/>
              </w:rPr>
              <w:t xml:space="preserve"> </w:t>
            </w:r>
            <w:r>
              <w:rPr>
                <w:spacing w:val="5"/>
              </w:rPr>
              <w:t>由于工作人员疏忽</w:t>
            </w:r>
            <w:r>
              <w:rPr>
                <w:spacing w:val="-28"/>
              </w:rPr>
              <w:t xml:space="preserve"> </w:t>
            </w:r>
            <w:r>
              <w:rPr>
                <w:spacing w:val="5"/>
              </w:rPr>
              <w:t>，公司年度报告中关</w:t>
            </w:r>
            <w:r>
              <w:rPr/>
              <w:t xml:space="preserve">  </w:t>
            </w:r>
            <w:r>
              <w:rPr>
                <w:spacing w:val="9"/>
              </w:rPr>
              <w:t>于公司利润分配及资本公积金转增股本情况中</w:t>
            </w:r>
          </w:p>
          <w:p>
            <w:pPr>
              <w:pStyle w:val="TableText"/>
              <w:ind w:left="108" w:right="254" w:hanging="1"/>
              <w:spacing w:before="44" w:line="241" w:lineRule="auto"/>
              <w:jc w:val="both"/>
              <w:rPr/>
            </w:pPr>
            <w:r>
              <w:rPr>
                <w:b/>
                <w:bCs/>
                <w:spacing w:val="9"/>
              </w:rPr>
              <w:t>现金分红金额以及现金分红总额（含其他方式</w:t>
            </w:r>
            <w:r>
              <w:rPr>
                <w:b/>
                <w:bCs/>
                <w:spacing w:val="14"/>
              </w:rPr>
              <w:t xml:space="preserve"> </w:t>
            </w:r>
            <w:r>
              <w:rPr>
                <w:b/>
                <w:bCs/>
                <w:spacing w:val="7"/>
              </w:rPr>
              <w:t>)  的金额披露有误</w:t>
            </w:r>
            <w:r>
              <w:rPr>
                <w:b/>
                <w:bCs/>
                <w:spacing w:val="-18"/>
              </w:rPr>
              <w:t xml:space="preserve"> </w:t>
            </w:r>
            <w:r>
              <w:rPr>
                <w:spacing w:val="7"/>
              </w:rPr>
              <w:t>，导致对相关内容予以补充</w:t>
            </w:r>
            <w:r>
              <w:rPr/>
              <w:t xml:space="preserve"> </w:t>
            </w:r>
            <w:r>
              <w:rPr>
                <w:spacing w:val="4"/>
              </w:rPr>
              <w:t>更正。</w:t>
            </w:r>
          </w:p>
        </w:tc>
      </w:tr>
      <w:tr>
        <w:trPr>
          <w:trHeight w:val="725" w:hRule="atLeast"/>
        </w:trPr>
        <w:tc>
          <w:tcPr>
            <w:shd w:val="clear" w:fill="B8CCE4"/>
            <w:tcW w:w="1471" w:type="dxa"/>
            <w:vAlign w:val="top"/>
          </w:tcPr>
          <w:p>
            <w:pPr>
              <w:pStyle w:val="TableText"/>
              <w:ind w:left="372"/>
              <w:spacing w:before="281" w:line="178" w:lineRule="auto"/>
              <w:rPr/>
            </w:pPr>
            <w:r>
              <w:rPr>
                <w:spacing w:val="3"/>
              </w:rPr>
              <w:t>002486</w:t>
            </w:r>
          </w:p>
        </w:tc>
        <w:tc>
          <w:tcPr>
            <w:shd w:val="clear" w:fill="B8CCE4"/>
            <w:tcW w:w="1484" w:type="dxa"/>
            <w:vAlign w:val="top"/>
          </w:tcPr>
          <w:p>
            <w:pPr>
              <w:pStyle w:val="TableText"/>
              <w:ind w:left="427"/>
              <w:spacing w:before="267" w:line="188" w:lineRule="auto"/>
              <w:rPr/>
            </w:pPr>
            <w:r>
              <w:rPr>
                <w:spacing w:val="8"/>
              </w:rPr>
              <w:t>嘉麟杰</w:t>
            </w:r>
          </w:p>
        </w:tc>
        <w:tc>
          <w:tcPr>
            <w:shd w:val="clear" w:fill="B8CCE4"/>
            <w:tcW w:w="1498" w:type="dxa"/>
            <w:vAlign w:val="top"/>
          </w:tcPr>
          <w:p>
            <w:pPr>
              <w:pStyle w:val="TableText"/>
              <w:ind w:left="434"/>
              <w:spacing w:before="266" w:line="189" w:lineRule="auto"/>
              <w:rPr/>
            </w:pPr>
            <w:r>
              <w:rPr>
                <w:spacing w:val="8"/>
              </w:rPr>
              <w:t>监管函</w:t>
            </w:r>
          </w:p>
        </w:tc>
        <w:tc>
          <w:tcPr>
            <w:shd w:val="clear" w:fill="B8CCE4"/>
            <w:tcW w:w="4563" w:type="dxa"/>
            <w:vAlign w:val="top"/>
          </w:tcPr>
          <w:p>
            <w:pPr>
              <w:pStyle w:val="TableText"/>
              <w:ind w:left="106" w:right="254" w:firstLine="1"/>
              <w:spacing w:before="85" w:line="220" w:lineRule="auto"/>
              <w:rPr/>
            </w:pPr>
            <w:r>
              <w:rPr>
                <w:spacing w:val="8"/>
              </w:rPr>
              <w:t>违规</w:t>
            </w:r>
            <w:r>
              <w:rPr>
                <w:b/>
                <w:bCs/>
                <w:spacing w:val="8"/>
              </w:rPr>
              <w:t>财务资助</w:t>
            </w:r>
            <w:r>
              <w:rPr>
                <w:spacing w:val="8"/>
              </w:rPr>
              <w:t>；部分</w:t>
            </w:r>
            <w:r>
              <w:rPr>
                <w:b/>
                <w:bCs/>
                <w:spacing w:val="8"/>
              </w:rPr>
              <w:t>董监高薪酬</w:t>
            </w:r>
            <w:r>
              <w:rPr>
                <w:spacing w:val="8"/>
              </w:rPr>
              <w:t>未披露、</w:t>
            </w:r>
            <w:r>
              <w:rPr>
                <w:spacing w:val="-25"/>
              </w:rPr>
              <w:t xml:space="preserve"> </w:t>
            </w:r>
            <w:r>
              <w:rPr>
                <w:spacing w:val="8"/>
              </w:rPr>
              <w:t>审议</w:t>
            </w:r>
            <w:r>
              <w:rPr/>
              <w:t xml:space="preserve"> </w:t>
            </w:r>
            <w:r>
              <w:rPr>
                <w:spacing w:val="9"/>
              </w:rPr>
              <w:t>不规范；长期</w:t>
            </w:r>
            <w:r>
              <w:rPr>
                <w:b/>
                <w:bCs/>
                <w:spacing w:val="9"/>
              </w:rPr>
              <w:t>股权投资核算</w:t>
            </w:r>
            <w:r>
              <w:rPr>
                <w:spacing w:val="9"/>
              </w:rPr>
              <w:t>错报。</w:t>
            </w:r>
          </w:p>
        </w:tc>
      </w:tr>
      <w:tr>
        <w:trPr>
          <w:trHeight w:val="1445" w:hRule="atLeast"/>
        </w:trPr>
        <w:tc>
          <w:tcPr>
            <w:tcW w:w="1471" w:type="dxa"/>
            <w:vAlign w:val="top"/>
          </w:tcPr>
          <w:p>
            <w:pPr>
              <w:spacing w:line="276" w:lineRule="auto"/>
              <w:rPr>
                <w:rFonts w:ascii="Arial"/>
                <w:sz w:val="21"/>
              </w:rPr>
            </w:pPr>
            <w:r/>
          </w:p>
          <w:p>
            <w:pPr>
              <w:spacing w:line="277" w:lineRule="auto"/>
              <w:rPr>
                <w:rFonts w:ascii="Arial"/>
                <w:sz w:val="21"/>
              </w:rPr>
            </w:pPr>
            <w:r/>
          </w:p>
          <w:p>
            <w:pPr>
              <w:pStyle w:val="TableText"/>
              <w:ind w:left="377"/>
              <w:spacing w:before="86" w:line="178" w:lineRule="auto"/>
              <w:rPr/>
            </w:pPr>
            <w:r>
              <w:rPr>
                <w:spacing w:val="3"/>
              </w:rPr>
              <w:t>300036</w:t>
            </w:r>
          </w:p>
        </w:tc>
        <w:tc>
          <w:tcPr>
            <w:tcW w:w="1484" w:type="dxa"/>
            <w:vAlign w:val="top"/>
          </w:tcPr>
          <w:p>
            <w:pPr>
              <w:spacing w:line="269" w:lineRule="auto"/>
              <w:rPr>
                <w:rFonts w:ascii="Arial"/>
                <w:sz w:val="21"/>
              </w:rPr>
            </w:pPr>
            <w:r/>
          </w:p>
          <w:p>
            <w:pPr>
              <w:spacing w:line="270" w:lineRule="auto"/>
              <w:rPr>
                <w:rFonts w:ascii="Arial"/>
                <w:sz w:val="21"/>
              </w:rPr>
            </w:pPr>
            <w:r/>
          </w:p>
          <w:p>
            <w:pPr>
              <w:pStyle w:val="TableText"/>
              <w:ind w:left="321"/>
              <w:spacing w:before="86" w:line="189" w:lineRule="auto"/>
              <w:rPr/>
            </w:pPr>
            <w:r>
              <w:rPr>
                <w:spacing w:val="8"/>
              </w:rPr>
              <w:t>超图软件</w:t>
            </w:r>
          </w:p>
        </w:tc>
        <w:tc>
          <w:tcPr>
            <w:tcW w:w="1498" w:type="dxa"/>
            <w:vAlign w:val="top"/>
          </w:tcPr>
          <w:p>
            <w:pPr>
              <w:spacing w:line="269" w:lineRule="auto"/>
              <w:rPr>
                <w:rFonts w:ascii="Arial"/>
                <w:sz w:val="21"/>
              </w:rPr>
            </w:pPr>
            <w:r/>
          </w:p>
          <w:p>
            <w:pPr>
              <w:spacing w:line="270" w:lineRule="auto"/>
              <w:rPr>
                <w:rFonts w:ascii="Arial"/>
                <w:sz w:val="21"/>
              </w:rPr>
            </w:pPr>
            <w:r/>
          </w:p>
          <w:p>
            <w:pPr>
              <w:pStyle w:val="TableText"/>
              <w:ind w:left="434"/>
              <w:spacing w:before="86" w:line="189" w:lineRule="auto"/>
              <w:rPr/>
            </w:pPr>
            <w:r>
              <w:rPr>
                <w:spacing w:val="8"/>
              </w:rPr>
              <w:t>监管函</w:t>
            </w:r>
          </w:p>
        </w:tc>
        <w:tc>
          <w:tcPr>
            <w:tcW w:w="4563" w:type="dxa"/>
            <w:vAlign w:val="top"/>
          </w:tcPr>
          <w:p>
            <w:pPr>
              <w:pStyle w:val="TableText"/>
              <w:ind w:left="106" w:right="180" w:firstLine="1"/>
              <w:spacing w:before="51" w:line="263" w:lineRule="auto"/>
              <w:jc w:val="both"/>
              <w:rPr/>
            </w:pPr>
            <w:r>
              <w:rPr>
                <w:spacing w:val="6"/>
              </w:rPr>
              <w:t>公司披露《更正公告》显示</w:t>
            </w:r>
            <w:r>
              <w:rPr>
                <w:spacing w:val="-9"/>
              </w:rPr>
              <w:t xml:space="preserve"> </w:t>
            </w:r>
            <w:r>
              <w:rPr>
                <w:spacing w:val="6"/>
              </w:rPr>
              <w:t>，</w:t>
            </w:r>
            <w:r>
              <w:rPr>
                <w:spacing w:val="-36"/>
              </w:rPr>
              <w:t xml:space="preserve"> </w:t>
            </w:r>
            <w:r>
              <w:rPr>
                <w:spacing w:val="6"/>
              </w:rPr>
              <w:t>因工作人员疏忽</w:t>
            </w:r>
            <w:r>
              <w:rPr/>
              <w:t xml:space="preserve">  </w:t>
            </w:r>
            <w:r>
              <w:rPr>
                <w:spacing w:val="9"/>
              </w:rPr>
              <w:t>,  导致《2023年年度报告》中年度</w:t>
            </w:r>
            <w:r>
              <w:rPr>
                <w:b/>
                <w:bCs/>
                <w:spacing w:val="9"/>
              </w:rPr>
              <w:t>利润分配情</w:t>
            </w:r>
            <w:r>
              <w:rPr>
                <w:b/>
                <w:bCs/>
                <w:spacing w:val="18"/>
                <w:w w:val="101"/>
              </w:rPr>
              <w:t xml:space="preserve"> </w:t>
            </w:r>
            <w:r>
              <w:rPr>
                <w:b/>
                <w:bCs/>
                <w:spacing w:val="8"/>
              </w:rPr>
              <w:t>况等部分信息披露有误</w:t>
            </w:r>
            <w:r>
              <w:rPr>
                <w:b/>
                <w:bCs/>
                <w:spacing w:val="-24"/>
              </w:rPr>
              <w:t xml:space="preserve"> </w:t>
            </w:r>
            <w:r>
              <w:rPr>
                <w:spacing w:val="8"/>
              </w:rPr>
              <w:t>，公司对相关内容予以</w:t>
            </w:r>
          </w:p>
          <w:p>
            <w:pPr>
              <w:pStyle w:val="TableText"/>
              <w:ind w:left="108"/>
              <w:spacing w:before="1" w:line="178" w:lineRule="auto"/>
              <w:rPr/>
            </w:pPr>
            <w:r>
              <w:rPr>
                <w:spacing w:val="4"/>
              </w:rPr>
              <w:t>更正。</w:t>
            </w:r>
          </w:p>
        </w:tc>
      </w:tr>
      <w:tr>
        <w:trPr>
          <w:trHeight w:val="1805" w:hRule="atLeast"/>
        </w:trPr>
        <w:tc>
          <w:tcPr>
            <w:shd w:val="clear" w:fill="B8CCE4"/>
            <w:tcW w:w="1471" w:type="dxa"/>
            <w:vAlign w:val="top"/>
          </w:tcPr>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372"/>
              <w:spacing w:before="86" w:line="178" w:lineRule="auto"/>
              <w:rPr/>
            </w:pPr>
            <w:r>
              <w:rPr>
                <w:spacing w:val="3"/>
              </w:rPr>
              <w:t>002564</w:t>
            </w:r>
          </w:p>
        </w:tc>
        <w:tc>
          <w:tcPr>
            <w:shd w:val="clear" w:fill="B8CCE4"/>
            <w:tcW w:w="1484" w:type="dxa"/>
            <w:vAlign w:val="top"/>
          </w:tcPr>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366"/>
              <w:spacing w:before="86" w:line="185" w:lineRule="auto"/>
              <w:rPr/>
            </w:pPr>
            <w:r>
              <w:rPr>
                <w:spacing w:val="8"/>
              </w:rPr>
              <w:t>*</w:t>
            </w:r>
            <w:r>
              <w:rPr/>
              <w:t>ST</w:t>
            </w:r>
            <w:r>
              <w:rPr>
                <w:spacing w:val="8"/>
              </w:rPr>
              <w:t>天沃</w:t>
            </w:r>
          </w:p>
        </w:tc>
        <w:tc>
          <w:tcPr>
            <w:shd w:val="clear" w:fill="B8CCE4"/>
            <w:tcW w:w="1498"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329"/>
              <w:spacing w:before="85" w:line="187" w:lineRule="auto"/>
              <w:rPr/>
            </w:pPr>
            <w:r>
              <w:rPr>
                <w:spacing w:val="8"/>
              </w:rPr>
              <w:t>公开谴责</w:t>
            </w:r>
          </w:p>
        </w:tc>
        <w:tc>
          <w:tcPr>
            <w:shd w:val="clear" w:fill="B8CCE4"/>
            <w:tcW w:w="4563" w:type="dxa"/>
            <w:vAlign w:val="top"/>
          </w:tcPr>
          <w:p>
            <w:pPr>
              <w:pStyle w:val="TableText"/>
              <w:ind w:left="107" w:right="252" w:firstLine="10"/>
              <w:spacing w:before="86" w:line="239" w:lineRule="auto"/>
              <w:jc w:val="both"/>
              <w:rPr/>
            </w:pPr>
            <w:r>
              <w:rPr>
                <w:spacing w:val="8"/>
              </w:rPr>
              <w:t>2017年至2021年披露的定期报告存在</w:t>
            </w:r>
            <w:r>
              <w:rPr>
                <w:b/>
                <w:bCs/>
                <w:spacing w:val="8"/>
              </w:rPr>
              <w:t>虚假记</w:t>
            </w:r>
            <w:r>
              <w:rPr>
                <w:b/>
                <w:bCs/>
              </w:rPr>
              <w:t xml:space="preserve">  </w:t>
            </w:r>
            <w:r>
              <w:rPr>
                <w:b/>
                <w:bCs/>
                <w:spacing w:val="8"/>
              </w:rPr>
              <w:t>载</w:t>
            </w:r>
            <w:r>
              <w:rPr>
                <w:spacing w:val="8"/>
              </w:rPr>
              <w:t>；股东存在代持情况</w:t>
            </w:r>
            <w:r>
              <w:rPr>
                <w:spacing w:val="-23"/>
              </w:rPr>
              <w:t xml:space="preserve"> </w:t>
            </w:r>
            <w:r>
              <w:rPr>
                <w:spacing w:val="8"/>
              </w:rPr>
              <w:t>，未按规定披露</w:t>
            </w:r>
            <w:r>
              <w:rPr>
                <w:b/>
                <w:bCs/>
                <w:spacing w:val="8"/>
              </w:rPr>
              <w:t>股东持</w:t>
            </w:r>
            <w:r>
              <w:rPr>
                <w:b/>
                <w:bCs/>
              </w:rPr>
              <w:t xml:space="preserve"> </w:t>
            </w:r>
            <w:r>
              <w:rPr>
                <w:b/>
                <w:bCs/>
                <w:spacing w:val="9"/>
              </w:rPr>
              <w:t>股变动情况</w:t>
            </w:r>
            <w:r>
              <w:rPr>
                <w:spacing w:val="9"/>
              </w:rPr>
              <w:t>；</w:t>
            </w:r>
            <w:r>
              <w:rPr>
                <w:b/>
                <w:bCs/>
                <w:spacing w:val="9"/>
              </w:rPr>
              <w:t>非经营性资金占用</w:t>
            </w:r>
            <w:r>
              <w:rPr>
                <w:spacing w:val="9"/>
              </w:rPr>
              <w:t>；未按规定披</w:t>
            </w:r>
            <w:r>
              <w:rPr>
                <w:spacing w:val="14"/>
              </w:rPr>
              <w:t xml:space="preserve"> </w:t>
            </w:r>
            <w:r>
              <w:rPr>
                <w:spacing w:val="9"/>
              </w:rPr>
              <w:t>露</w:t>
            </w:r>
            <w:r>
              <w:rPr>
                <w:b/>
                <w:bCs/>
                <w:spacing w:val="9"/>
              </w:rPr>
              <w:t>关联交易</w:t>
            </w:r>
            <w:r>
              <w:rPr>
                <w:spacing w:val="9"/>
              </w:rPr>
              <w:t>；未按规定披露</w:t>
            </w:r>
            <w:r>
              <w:rPr>
                <w:b/>
                <w:bCs/>
                <w:spacing w:val="9"/>
              </w:rPr>
              <w:t>募集资金使用情况</w:t>
            </w:r>
            <w:r>
              <w:rPr>
                <w:b/>
                <w:bCs/>
                <w:spacing w:val="14"/>
              </w:rPr>
              <w:t xml:space="preserve"> </w:t>
            </w:r>
            <w:r>
              <w:rPr>
                <w:spacing w:val="10"/>
              </w:rPr>
              <w:t>;  未按规定披露</w:t>
            </w:r>
            <w:r>
              <w:rPr>
                <w:b/>
                <w:bCs/>
                <w:spacing w:val="10"/>
              </w:rPr>
              <w:t>定增保本保收益协</w:t>
            </w:r>
            <w:r>
              <w:rPr>
                <w:spacing w:val="10"/>
              </w:rPr>
              <w:t>议事项。</w:t>
            </w:r>
          </w:p>
        </w:tc>
      </w:tr>
      <w:tr>
        <w:trPr>
          <w:trHeight w:val="1805" w:hRule="atLeast"/>
        </w:trPr>
        <w:tc>
          <w:tcPr>
            <w:tcW w:w="1471" w:type="dxa"/>
            <w:vAlign w:val="top"/>
          </w:tcPr>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372"/>
              <w:spacing w:before="86" w:line="178" w:lineRule="auto"/>
              <w:rPr/>
            </w:pPr>
            <w:r>
              <w:rPr>
                <w:spacing w:val="3"/>
              </w:rPr>
              <w:t>002699</w:t>
            </w:r>
          </w:p>
        </w:tc>
        <w:tc>
          <w:tcPr>
            <w:tcW w:w="1484" w:type="dxa"/>
            <w:vAlign w:val="top"/>
          </w:tcPr>
          <w:p>
            <w:pPr>
              <w:spacing w:line="359" w:lineRule="auto"/>
              <w:rPr>
                <w:rFonts w:ascii="Arial"/>
                <w:sz w:val="21"/>
              </w:rPr>
            </w:pPr>
            <w:r/>
          </w:p>
          <w:p>
            <w:pPr>
              <w:spacing w:line="359" w:lineRule="auto"/>
              <w:rPr>
                <w:rFonts w:ascii="Arial"/>
                <w:sz w:val="21"/>
              </w:rPr>
            </w:pPr>
            <w:r/>
          </w:p>
          <w:p>
            <w:pPr>
              <w:pStyle w:val="TableText"/>
              <w:ind w:left="366"/>
              <w:spacing w:before="86" w:line="190" w:lineRule="auto"/>
              <w:rPr/>
            </w:pPr>
            <w:r>
              <w:rPr>
                <w:spacing w:val="8"/>
              </w:rPr>
              <w:t>*</w:t>
            </w:r>
            <w:r>
              <w:rPr/>
              <w:t>ST</w:t>
            </w:r>
            <w:r>
              <w:rPr>
                <w:spacing w:val="8"/>
              </w:rPr>
              <w:t>美盛</w:t>
            </w:r>
          </w:p>
        </w:tc>
        <w:tc>
          <w:tcPr>
            <w:tcW w:w="1498" w:type="dxa"/>
            <w:vAlign w:val="top"/>
          </w:tcPr>
          <w:p>
            <w:pPr>
              <w:rPr>
                <w:rFonts w:ascii="Arial"/>
                <w:sz w:val="21"/>
              </w:rPr>
            </w:pPr>
            <w:r/>
          </w:p>
          <w:p>
            <w:pPr>
              <w:rPr>
                <w:rFonts w:ascii="Arial"/>
                <w:sz w:val="21"/>
              </w:rPr>
            </w:pPr>
            <w:r/>
          </w:p>
          <w:p>
            <w:pPr>
              <w:spacing w:line="241" w:lineRule="auto"/>
              <w:rPr>
                <w:rFonts w:ascii="Arial"/>
                <w:sz w:val="21"/>
              </w:rPr>
            </w:pPr>
            <w:r/>
          </w:p>
          <w:p>
            <w:pPr>
              <w:pStyle w:val="TableText"/>
              <w:ind w:left="329"/>
              <w:spacing w:before="86" w:line="188" w:lineRule="auto"/>
              <w:rPr/>
            </w:pPr>
            <w:r>
              <w:rPr>
                <w:spacing w:val="8"/>
              </w:rPr>
              <w:t>通报批评</w:t>
            </w:r>
          </w:p>
        </w:tc>
        <w:tc>
          <w:tcPr>
            <w:tcW w:w="4563" w:type="dxa"/>
            <w:vAlign w:val="top"/>
          </w:tcPr>
          <w:p>
            <w:pPr>
              <w:pStyle w:val="TableText"/>
              <w:ind w:left="107" w:right="233" w:firstLine="5"/>
              <w:spacing w:before="86" w:line="239" w:lineRule="auto"/>
              <w:rPr/>
            </w:pPr>
            <w:r>
              <w:rPr>
                <w:spacing w:val="9"/>
              </w:rPr>
              <w:t>*</w:t>
            </w:r>
            <w:r>
              <w:rPr/>
              <w:t>ST</w:t>
            </w:r>
            <w:r>
              <w:rPr>
                <w:spacing w:val="58"/>
                <w:w w:val="101"/>
              </w:rPr>
              <w:t xml:space="preserve"> </w:t>
            </w:r>
            <w:r>
              <w:rPr>
                <w:spacing w:val="9"/>
              </w:rPr>
              <w:t>美盛通过集中竞价交易方式回购公司股份</w:t>
            </w:r>
            <w:r>
              <w:rPr/>
              <w:t xml:space="preserve"> </w:t>
            </w:r>
            <w:r>
              <w:rPr>
                <w:spacing w:val="7"/>
              </w:rPr>
              <w:t>时</w:t>
            </w:r>
            <w:r>
              <w:rPr>
                <w:spacing w:val="-14"/>
              </w:rPr>
              <w:t xml:space="preserve"> </w:t>
            </w:r>
            <w:r>
              <w:rPr>
                <w:spacing w:val="7"/>
              </w:rPr>
              <w:t>，存在</w:t>
            </w:r>
            <w:r>
              <w:rPr>
                <w:b/>
                <w:bCs/>
                <w:spacing w:val="7"/>
              </w:rPr>
              <w:t>委托价格为公司股票当日涨停价格、</w:t>
            </w:r>
            <w:r>
              <w:rPr>
                <w:b/>
                <w:bCs/>
              </w:rPr>
              <w:t xml:space="preserve"> </w:t>
            </w:r>
            <w:r>
              <w:rPr>
                <w:b/>
                <w:bCs/>
                <w:spacing w:val="9"/>
              </w:rPr>
              <w:t>在开盘集合竞价阶段进行股份回购的委托</w:t>
            </w:r>
            <w:r>
              <w:rPr>
                <w:spacing w:val="9"/>
              </w:rPr>
              <w:t>等情</w:t>
            </w:r>
            <w:r>
              <w:rPr>
                <w:spacing w:val="14"/>
              </w:rPr>
              <w:t xml:space="preserve"> </w:t>
            </w:r>
            <w:r>
              <w:rPr>
                <w:spacing w:val="7"/>
              </w:rPr>
              <w:t>况</w:t>
            </w:r>
            <w:r>
              <w:rPr>
                <w:spacing w:val="-15"/>
              </w:rPr>
              <w:t xml:space="preserve"> </w:t>
            </w:r>
            <w:r>
              <w:rPr>
                <w:spacing w:val="7"/>
              </w:rPr>
              <w:t>，并于1月16日以当日</w:t>
            </w:r>
            <w:r>
              <w:rPr>
                <w:b/>
                <w:bCs/>
                <w:spacing w:val="7"/>
              </w:rPr>
              <w:t>涨停价格</w:t>
            </w:r>
            <w:r>
              <w:rPr>
                <w:spacing w:val="7"/>
              </w:rPr>
              <w:t>回购公司股</w:t>
            </w:r>
            <w:r>
              <w:rPr/>
              <w:t xml:space="preserve">  </w:t>
            </w:r>
            <w:r>
              <w:rPr>
                <w:spacing w:val="5"/>
              </w:rPr>
              <w:t>份1,000,000股。</w:t>
            </w:r>
          </w:p>
        </w:tc>
      </w:tr>
      <w:tr>
        <w:trPr>
          <w:trHeight w:val="730" w:hRule="atLeast"/>
        </w:trPr>
        <w:tc>
          <w:tcPr>
            <w:shd w:val="clear" w:fill="B8CCE4"/>
            <w:tcW w:w="1471" w:type="dxa"/>
            <w:vAlign w:val="top"/>
          </w:tcPr>
          <w:p>
            <w:pPr>
              <w:pStyle w:val="TableText"/>
              <w:ind w:left="372"/>
              <w:spacing w:before="284" w:line="178" w:lineRule="auto"/>
              <w:rPr/>
            </w:pPr>
            <w:r>
              <w:rPr>
                <w:spacing w:val="3"/>
              </w:rPr>
              <w:t>000558</w:t>
            </w:r>
          </w:p>
        </w:tc>
        <w:tc>
          <w:tcPr>
            <w:shd w:val="clear" w:fill="B8CCE4"/>
            <w:tcW w:w="1484" w:type="dxa"/>
            <w:vAlign w:val="top"/>
          </w:tcPr>
          <w:p>
            <w:pPr>
              <w:pStyle w:val="TableText"/>
              <w:ind w:left="320"/>
              <w:spacing w:before="269" w:line="189" w:lineRule="auto"/>
              <w:rPr/>
            </w:pPr>
            <w:r>
              <w:rPr>
                <w:spacing w:val="8"/>
              </w:rPr>
              <w:t>莱茵体育</w:t>
            </w:r>
          </w:p>
        </w:tc>
        <w:tc>
          <w:tcPr>
            <w:shd w:val="clear" w:fill="B8CCE4"/>
            <w:tcW w:w="1498" w:type="dxa"/>
            <w:vAlign w:val="top"/>
          </w:tcPr>
          <w:p>
            <w:pPr>
              <w:pStyle w:val="TableText"/>
              <w:ind w:left="329"/>
              <w:spacing w:before="271" w:line="188" w:lineRule="auto"/>
              <w:rPr/>
            </w:pPr>
            <w:r>
              <w:rPr>
                <w:spacing w:val="8"/>
              </w:rPr>
              <w:t>通报批评</w:t>
            </w:r>
          </w:p>
        </w:tc>
        <w:tc>
          <w:tcPr>
            <w:shd w:val="clear" w:fill="B8CCE4"/>
            <w:tcW w:w="4563" w:type="dxa"/>
            <w:vAlign w:val="top"/>
          </w:tcPr>
          <w:p>
            <w:pPr>
              <w:pStyle w:val="TableText"/>
              <w:ind w:left="107" w:right="252"/>
              <w:spacing w:before="90" w:line="220" w:lineRule="auto"/>
              <w:rPr/>
            </w:pPr>
            <w:r>
              <w:rPr>
                <w:spacing w:val="9"/>
              </w:rPr>
              <w:t>莱茵达控股未按照公开披露的信息及时履行</w:t>
            </w:r>
            <w:r>
              <w:rPr>
                <w:b/>
                <w:bCs/>
                <w:spacing w:val="9"/>
              </w:rPr>
              <w:t>业</w:t>
            </w:r>
            <w:r>
              <w:rPr>
                <w:b/>
                <w:bCs/>
                <w:spacing w:val="16"/>
              </w:rPr>
              <w:t xml:space="preserve"> </w:t>
            </w:r>
            <w:r>
              <w:rPr>
                <w:b/>
                <w:bCs/>
                <w:spacing w:val="7"/>
              </w:rPr>
              <w:t>绩补偿义务。</w:t>
            </w:r>
          </w:p>
        </w:tc>
      </w:tr>
    </w:tbl>
    <w:p>
      <w:pPr>
        <w:pStyle w:val="BodyText"/>
        <w:spacing w:line="424" w:lineRule="auto"/>
        <w:rPr/>
      </w:pPr>
      <w:r/>
    </w:p>
    <w:p>
      <w:pPr>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0"/>
        </w:rPr>
        <w:t>（</w:t>
      </w:r>
      <w:r>
        <w:rPr>
          <w:rFonts w:ascii="Microsoft YaHei" w:hAnsi="Microsoft YaHei" w:eastAsia="Microsoft YaHei" w:cs="Microsoft YaHei"/>
          <w:sz w:val="24"/>
          <w:szCs w:val="24"/>
          <w:b/>
          <w:bCs/>
          <w:spacing w:val="66"/>
          <w:w w:val="101"/>
        </w:rPr>
        <w:t xml:space="preserve"> </w:t>
      </w:r>
      <w:r>
        <w:rPr>
          <w:rFonts w:ascii="Microsoft YaHei" w:hAnsi="Microsoft YaHei" w:eastAsia="Microsoft YaHei" w:cs="Microsoft YaHei"/>
          <w:sz w:val="24"/>
          <w:szCs w:val="24"/>
          <w:b/>
          <w:bCs/>
          <w:spacing w:val="-10"/>
        </w:rPr>
        <w:t>2</w:t>
      </w:r>
      <w:r>
        <w:rPr>
          <w:rFonts w:ascii="Microsoft YaHei" w:hAnsi="Microsoft YaHei" w:eastAsia="Microsoft YaHei" w:cs="Microsoft YaHei"/>
          <w:sz w:val="24"/>
          <w:szCs w:val="24"/>
          <w:b/>
          <w:bCs/>
          <w:spacing w:val="62"/>
          <w:w w:val="101"/>
        </w:rPr>
        <w:t xml:space="preserve"> </w:t>
      </w:r>
      <w:r>
        <w:rPr>
          <w:rFonts w:ascii="Microsoft YaHei" w:hAnsi="Microsoft YaHei" w:eastAsia="Microsoft YaHei" w:cs="Microsoft YaHei"/>
          <w:sz w:val="24"/>
          <w:szCs w:val="24"/>
          <w:b/>
          <w:bCs/>
          <w:spacing w:val="-10"/>
        </w:rPr>
        <w:t>）函件统计</w:t>
      </w:r>
    </w:p>
    <w:p>
      <w:pPr>
        <w:spacing w:line="192" w:lineRule="exact"/>
        <w:rPr/>
      </w:pPr>
      <w:r/>
    </w:p>
    <w:tbl>
      <w:tblPr>
        <w:tblStyle w:val="TableNormal"/>
        <w:tblW w:w="9003" w:type="dxa"/>
        <w:tblInd w:w="110"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5"/>
        <w:gridCol w:w="1274"/>
        <w:gridCol w:w="6624"/>
      </w:tblGrid>
      <w:tr>
        <w:trPr>
          <w:trHeight w:val="603" w:hRule="atLeast"/>
        </w:trPr>
        <w:tc>
          <w:tcPr>
            <w:shd w:val="clear" w:fill="4BACC6"/>
            <w:tcW w:w="1105" w:type="dxa"/>
            <w:vAlign w:val="top"/>
            <w:tcBorders>
              <w:left w:val="nil"/>
              <w:top w:val="nil"/>
              <w:right w:val="single" w:color="92CDDC" w:sz="2" w:space="0"/>
            </w:tcBorders>
          </w:tcPr>
          <w:p>
            <w:pPr>
              <w:pStyle w:val="TableText"/>
              <w:ind w:left="115"/>
              <w:spacing w:before="88" w:line="183" w:lineRule="auto"/>
              <w:rPr>
                <w:sz w:val="22"/>
                <w:szCs w:val="22"/>
              </w:rPr>
            </w:pPr>
            <w:r>
              <w:rPr>
                <w:sz w:val="22"/>
                <w:szCs w:val="22"/>
                <w:b/>
                <w:bCs/>
                <w:color w:val="FFFFFF"/>
                <w:spacing w:val="-1"/>
              </w:rPr>
              <w:t>公司代码</w:t>
            </w:r>
          </w:p>
        </w:tc>
        <w:tc>
          <w:tcPr>
            <w:shd w:val="clear" w:fill="4BACC6"/>
            <w:tcW w:w="1274" w:type="dxa"/>
            <w:vAlign w:val="top"/>
            <w:tcBorders>
              <w:top w:val="nil"/>
              <w:left w:val="single" w:color="92CDDC" w:sz="2" w:space="0"/>
              <w:bottom w:val="single" w:color="92CDDC" w:sz="2" w:space="0"/>
              <w:right w:val="single" w:color="92CDDC" w:sz="2" w:space="0"/>
            </w:tcBorders>
          </w:tcPr>
          <w:p>
            <w:pPr>
              <w:pStyle w:val="TableText"/>
              <w:ind w:left="196"/>
              <w:spacing w:before="88" w:line="183" w:lineRule="auto"/>
              <w:rPr>
                <w:sz w:val="22"/>
                <w:szCs w:val="22"/>
              </w:rPr>
            </w:pPr>
            <w:r>
              <w:rPr>
                <w:sz w:val="22"/>
                <w:szCs w:val="22"/>
                <w:b/>
                <w:bCs/>
                <w:color w:val="FFFFFF"/>
                <w:spacing w:val="-1"/>
              </w:rPr>
              <w:t>公司简称</w:t>
            </w:r>
          </w:p>
        </w:tc>
        <w:tc>
          <w:tcPr>
            <w:shd w:val="clear" w:fill="4BACC6"/>
            <w:tcW w:w="6624" w:type="dxa"/>
            <w:vAlign w:val="top"/>
            <w:tcBorders>
              <w:right w:val="nil"/>
              <w:top w:val="nil"/>
              <w:left w:val="single" w:color="92CDDC" w:sz="2" w:space="0"/>
            </w:tcBorders>
          </w:tcPr>
          <w:p>
            <w:pPr>
              <w:pStyle w:val="TableText"/>
              <w:ind w:left="2881"/>
              <w:spacing w:before="87" w:line="184" w:lineRule="auto"/>
              <w:rPr>
                <w:sz w:val="22"/>
                <w:szCs w:val="22"/>
              </w:rPr>
            </w:pPr>
            <w:r>
              <w:rPr>
                <w:sz w:val="22"/>
                <w:szCs w:val="22"/>
                <w:b/>
                <w:bCs/>
                <w:color w:val="FFFFFF"/>
                <w:spacing w:val="-3"/>
              </w:rPr>
              <w:t>问询类型</w:t>
            </w:r>
          </w:p>
        </w:tc>
      </w:tr>
      <w:tr>
        <w:trPr>
          <w:trHeight w:val="459" w:hRule="atLeast"/>
        </w:trPr>
        <w:tc>
          <w:tcPr>
            <w:tcW w:w="1105" w:type="dxa"/>
            <w:vAlign w:val="top"/>
          </w:tcPr>
          <w:p>
            <w:pPr>
              <w:pStyle w:val="TableText"/>
              <w:ind w:left="190"/>
              <w:spacing w:before="155" w:line="178" w:lineRule="auto"/>
              <w:rPr/>
            </w:pPr>
            <w:r>
              <w:rPr>
                <w:spacing w:val="3"/>
              </w:rPr>
              <w:t>002336</w:t>
            </w:r>
          </w:p>
        </w:tc>
        <w:tc>
          <w:tcPr>
            <w:tcW w:w="1274" w:type="dxa"/>
            <w:vAlign w:val="top"/>
          </w:tcPr>
          <w:p>
            <w:pPr>
              <w:pStyle w:val="TableText"/>
              <w:ind w:left="262"/>
              <w:spacing w:before="145" w:line="186" w:lineRule="auto"/>
              <w:rPr/>
            </w:pPr>
            <w:r>
              <w:rPr>
                <w:spacing w:val="8"/>
              </w:rPr>
              <w:t>*</w:t>
            </w:r>
            <w:r>
              <w:rPr/>
              <w:t>ST</w:t>
            </w:r>
            <w:r>
              <w:rPr>
                <w:spacing w:val="8"/>
              </w:rPr>
              <w:t>人乐</w:t>
            </w:r>
          </w:p>
        </w:tc>
        <w:tc>
          <w:tcPr>
            <w:tcW w:w="6624" w:type="dxa"/>
            <w:vAlign w:val="top"/>
          </w:tcPr>
          <w:p>
            <w:pPr>
              <w:pStyle w:val="TableText"/>
              <w:ind w:left="2785"/>
              <w:spacing w:before="140" w:line="189" w:lineRule="auto"/>
              <w:rPr/>
            </w:pPr>
            <w:r>
              <w:rPr>
                <w:spacing w:val="8"/>
              </w:rPr>
              <w:t>年报问询函</w:t>
            </w:r>
          </w:p>
        </w:tc>
      </w:tr>
      <w:tr>
        <w:trPr>
          <w:trHeight w:val="462" w:hRule="atLeast"/>
        </w:trPr>
        <w:tc>
          <w:tcPr>
            <w:shd w:val="clear" w:fill="C7DAF1"/>
            <w:tcW w:w="1105" w:type="dxa"/>
            <w:vAlign w:val="top"/>
          </w:tcPr>
          <w:p>
            <w:pPr>
              <w:pStyle w:val="TableText"/>
              <w:ind w:left="190"/>
              <w:spacing w:before="162" w:line="178" w:lineRule="auto"/>
              <w:rPr/>
            </w:pPr>
            <w:r>
              <w:rPr>
                <w:spacing w:val="3"/>
              </w:rPr>
              <w:t>000008</w:t>
            </w:r>
          </w:p>
        </w:tc>
        <w:tc>
          <w:tcPr>
            <w:shd w:val="clear" w:fill="C7DAF1"/>
            <w:tcW w:w="1274" w:type="dxa"/>
            <w:vAlign w:val="top"/>
          </w:tcPr>
          <w:p>
            <w:pPr>
              <w:pStyle w:val="TableText"/>
              <w:ind w:left="216"/>
              <w:spacing w:before="145" w:line="190" w:lineRule="auto"/>
              <w:rPr/>
            </w:pPr>
            <w:r>
              <w:rPr>
                <w:spacing w:val="8"/>
              </w:rPr>
              <w:t>神州高铁</w:t>
            </w:r>
          </w:p>
        </w:tc>
        <w:tc>
          <w:tcPr>
            <w:shd w:val="clear" w:fill="C7DAF1"/>
            <w:tcW w:w="6624" w:type="dxa"/>
            <w:vAlign w:val="top"/>
          </w:tcPr>
          <w:p>
            <w:pPr>
              <w:pStyle w:val="TableText"/>
              <w:ind w:left="2785"/>
              <w:spacing w:before="147" w:line="189" w:lineRule="auto"/>
              <w:rPr/>
            </w:pPr>
            <w:r>
              <w:rPr>
                <w:spacing w:val="8"/>
              </w:rPr>
              <w:t>年报问询函</w:t>
            </w:r>
          </w:p>
        </w:tc>
      </w:tr>
    </w:tbl>
    <w:p>
      <w:pPr>
        <w:pStyle w:val="BodyText"/>
        <w:spacing w:line="14" w:lineRule="auto"/>
        <w:rPr>
          <w:sz w:val="2"/>
        </w:rPr>
      </w:pPr>
      <w:r/>
    </w:p>
    <w:p>
      <w:pPr>
        <w:spacing w:line="14" w:lineRule="auto"/>
        <w:sectPr>
          <w:pgSz w:w="11910" w:h="16840"/>
          <w:pgMar w:top="400" w:right="1454" w:bottom="67" w:left="1333" w:header="0" w:footer="0" w:gutter="0"/>
        </w:sectPr>
        <w:rPr>
          <w:sz w:val="2"/>
          <w:szCs w:val="2"/>
        </w:rPr>
      </w:pPr>
    </w:p>
    <w:tbl>
      <w:tblPr>
        <w:tblStyle w:val="TableNormal"/>
        <w:tblW w:w="9003" w:type="dxa"/>
        <w:tblInd w:w="180"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5"/>
        <w:gridCol w:w="1274"/>
        <w:gridCol w:w="6624"/>
      </w:tblGrid>
      <w:tr>
        <w:trPr>
          <w:trHeight w:val="468" w:hRule="atLeast"/>
        </w:trPr>
        <w:tc>
          <w:tcPr>
            <w:tcW w:w="1105" w:type="dxa"/>
            <w:vAlign w:val="top"/>
          </w:tcPr>
          <w:p>
            <w:pPr>
              <w:pStyle w:val="TableText"/>
              <w:ind w:left="190"/>
              <w:spacing w:before="154" w:line="179" w:lineRule="auto"/>
              <w:rPr/>
            </w:pPr>
            <w:r>
              <w:rPr>
                <w:spacing w:val="3"/>
              </w:rPr>
              <w:t>001332</w:t>
            </w:r>
          </w:p>
        </w:tc>
        <w:tc>
          <w:tcPr>
            <w:tcW w:w="1274" w:type="dxa"/>
            <w:vAlign w:val="top"/>
          </w:tcPr>
          <w:p>
            <w:pPr>
              <w:pStyle w:val="TableText"/>
              <w:ind w:left="216"/>
              <w:spacing w:before="141" w:line="189" w:lineRule="auto"/>
              <w:rPr/>
            </w:pPr>
            <w:r>
              <w:rPr>
                <w:spacing w:val="8"/>
              </w:rPr>
              <w:t>锡装股份</w:t>
            </w:r>
          </w:p>
        </w:tc>
        <w:tc>
          <w:tcPr>
            <w:tcW w:w="6624" w:type="dxa"/>
            <w:vAlign w:val="top"/>
          </w:tcPr>
          <w:p>
            <w:pPr>
              <w:pStyle w:val="TableText"/>
              <w:ind w:left="2785"/>
              <w:spacing w:before="141" w:line="189" w:lineRule="auto"/>
              <w:rPr/>
            </w:pPr>
            <w:r>
              <w:rPr>
                <w:spacing w:val="8"/>
              </w:rPr>
              <w:t>年报问询函</w:t>
            </w:r>
          </w:p>
        </w:tc>
      </w:tr>
      <w:tr>
        <w:trPr>
          <w:trHeight w:val="464" w:hRule="atLeast"/>
        </w:trPr>
        <w:tc>
          <w:tcPr>
            <w:shd w:val="clear" w:fill="C7DAF1"/>
            <w:tcW w:w="1105" w:type="dxa"/>
            <w:vAlign w:val="top"/>
          </w:tcPr>
          <w:p>
            <w:pPr>
              <w:pStyle w:val="TableText"/>
              <w:ind w:left="190"/>
              <w:spacing w:before="149" w:line="179" w:lineRule="auto"/>
              <w:rPr/>
            </w:pPr>
            <w:r>
              <w:rPr>
                <w:spacing w:val="3"/>
              </w:rPr>
              <w:t>000911</w:t>
            </w:r>
          </w:p>
        </w:tc>
        <w:tc>
          <w:tcPr>
            <w:shd w:val="clear" w:fill="C7DAF1"/>
            <w:tcW w:w="1274" w:type="dxa"/>
            <w:vAlign w:val="top"/>
          </w:tcPr>
          <w:p>
            <w:pPr>
              <w:pStyle w:val="TableText"/>
              <w:ind w:left="215"/>
              <w:spacing w:before="136" w:line="189" w:lineRule="auto"/>
              <w:rPr/>
            </w:pPr>
            <w:r>
              <w:rPr>
                <w:spacing w:val="8"/>
              </w:rPr>
              <w:t>广农糖业</w:t>
            </w:r>
          </w:p>
        </w:tc>
        <w:tc>
          <w:tcPr>
            <w:shd w:val="clear" w:fill="C7DAF1"/>
            <w:tcW w:w="6624" w:type="dxa"/>
            <w:vAlign w:val="top"/>
          </w:tcPr>
          <w:p>
            <w:pPr>
              <w:pStyle w:val="TableText"/>
              <w:ind w:left="2785"/>
              <w:spacing w:before="136" w:line="189" w:lineRule="auto"/>
              <w:rPr/>
            </w:pPr>
            <w:r>
              <w:rPr>
                <w:spacing w:val="8"/>
              </w:rPr>
              <w:t>年报问询函</w:t>
            </w:r>
          </w:p>
        </w:tc>
      </w:tr>
      <w:tr>
        <w:trPr>
          <w:trHeight w:val="463" w:hRule="atLeast"/>
        </w:trPr>
        <w:tc>
          <w:tcPr>
            <w:tcW w:w="1105" w:type="dxa"/>
            <w:vAlign w:val="top"/>
          </w:tcPr>
          <w:p>
            <w:pPr>
              <w:pStyle w:val="TableText"/>
              <w:ind w:left="190"/>
              <w:spacing w:before="150" w:line="179" w:lineRule="auto"/>
              <w:rPr/>
            </w:pPr>
            <w:r>
              <w:rPr>
                <w:spacing w:val="3"/>
              </w:rPr>
              <w:t>002581</w:t>
            </w:r>
          </w:p>
        </w:tc>
        <w:tc>
          <w:tcPr>
            <w:tcW w:w="1274" w:type="dxa"/>
            <w:vAlign w:val="top"/>
          </w:tcPr>
          <w:p>
            <w:pPr>
              <w:pStyle w:val="TableText"/>
              <w:ind w:left="216"/>
              <w:spacing w:before="137" w:line="189" w:lineRule="auto"/>
              <w:rPr/>
            </w:pPr>
            <w:r>
              <w:rPr>
                <w:spacing w:val="8"/>
              </w:rPr>
              <w:t>未名医药</w:t>
            </w:r>
          </w:p>
        </w:tc>
        <w:tc>
          <w:tcPr>
            <w:tcW w:w="6624" w:type="dxa"/>
            <w:vAlign w:val="top"/>
          </w:tcPr>
          <w:p>
            <w:pPr>
              <w:pStyle w:val="TableText"/>
              <w:ind w:left="2997"/>
              <w:spacing w:before="137" w:line="189" w:lineRule="auto"/>
              <w:rPr/>
            </w:pPr>
            <w:r>
              <w:rPr>
                <w:spacing w:val="8"/>
              </w:rPr>
              <w:t>关注函</w:t>
            </w:r>
          </w:p>
        </w:tc>
      </w:tr>
      <w:tr>
        <w:trPr>
          <w:trHeight w:val="464" w:hRule="atLeast"/>
        </w:trPr>
        <w:tc>
          <w:tcPr>
            <w:shd w:val="clear" w:fill="C7DAF1"/>
            <w:tcW w:w="1105" w:type="dxa"/>
            <w:vAlign w:val="top"/>
          </w:tcPr>
          <w:p>
            <w:pPr>
              <w:pStyle w:val="TableText"/>
              <w:ind w:left="190"/>
              <w:spacing w:before="152" w:line="178" w:lineRule="auto"/>
              <w:rPr/>
            </w:pPr>
            <w:r>
              <w:rPr>
                <w:spacing w:val="3"/>
              </w:rPr>
              <w:t>002534</w:t>
            </w:r>
          </w:p>
        </w:tc>
        <w:tc>
          <w:tcPr>
            <w:shd w:val="clear" w:fill="C7DAF1"/>
            <w:tcW w:w="1274" w:type="dxa"/>
            <w:vAlign w:val="top"/>
          </w:tcPr>
          <w:p>
            <w:pPr>
              <w:pStyle w:val="TableText"/>
              <w:ind w:left="219"/>
              <w:spacing w:before="135" w:line="190" w:lineRule="auto"/>
              <w:rPr/>
            </w:pPr>
            <w:r>
              <w:rPr>
                <w:spacing w:val="8"/>
              </w:rPr>
              <w:t>西子洁能</w:t>
            </w:r>
          </w:p>
        </w:tc>
        <w:tc>
          <w:tcPr>
            <w:shd w:val="clear" w:fill="C7DAF1"/>
            <w:tcW w:w="6624" w:type="dxa"/>
            <w:vAlign w:val="top"/>
          </w:tcPr>
          <w:p>
            <w:pPr>
              <w:pStyle w:val="TableText"/>
              <w:ind w:left="2785"/>
              <w:spacing w:before="137" w:line="189" w:lineRule="auto"/>
              <w:rPr/>
            </w:pPr>
            <w:r>
              <w:rPr>
                <w:spacing w:val="8"/>
              </w:rPr>
              <w:t>年报问询函</w:t>
            </w:r>
          </w:p>
        </w:tc>
      </w:tr>
      <w:tr>
        <w:trPr>
          <w:trHeight w:val="463" w:hRule="atLeast"/>
        </w:trPr>
        <w:tc>
          <w:tcPr>
            <w:tcW w:w="1105" w:type="dxa"/>
            <w:vAlign w:val="top"/>
          </w:tcPr>
          <w:p>
            <w:pPr>
              <w:pStyle w:val="TableText"/>
              <w:ind w:left="190"/>
              <w:spacing w:before="149" w:line="179" w:lineRule="auto"/>
              <w:rPr/>
            </w:pPr>
            <w:r>
              <w:rPr>
                <w:spacing w:val="3"/>
              </w:rPr>
              <w:t>002712</w:t>
            </w:r>
          </w:p>
        </w:tc>
        <w:tc>
          <w:tcPr>
            <w:tcW w:w="1274" w:type="dxa"/>
            <w:vAlign w:val="top"/>
          </w:tcPr>
          <w:p>
            <w:pPr>
              <w:pStyle w:val="TableText"/>
              <w:ind w:left="216"/>
              <w:spacing w:before="135" w:line="190" w:lineRule="auto"/>
              <w:rPr/>
            </w:pPr>
            <w:r>
              <w:rPr>
                <w:spacing w:val="8"/>
              </w:rPr>
              <w:t>思美传媒</w:t>
            </w:r>
          </w:p>
        </w:tc>
        <w:tc>
          <w:tcPr>
            <w:tcW w:w="6624" w:type="dxa"/>
            <w:vAlign w:val="top"/>
          </w:tcPr>
          <w:p>
            <w:pPr>
              <w:pStyle w:val="TableText"/>
              <w:ind w:left="2785"/>
              <w:spacing w:before="136"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53" w:line="178" w:lineRule="auto"/>
              <w:rPr/>
            </w:pPr>
            <w:r>
              <w:rPr>
                <w:spacing w:val="3"/>
              </w:rPr>
              <w:t>002466</w:t>
            </w:r>
          </w:p>
        </w:tc>
        <w:tc>
          <w:tcPr>
            <w:shd w:val="clear" w:fill="C7DAF1"/>
            <w:tcW w:w="1274" w:type="dxa"/>
            <w:vAlign w:val="top"/>
          </w:tcPr>
          <w:p>
            <w:pPr>
              <w:pStyle w:val="TableText"/>
              <w:ind w:left="216"/>
              <w:spacing w:before="138" w:line="189" w:lineRule="auto"/>
              <w:rPr/>
            </w:pPr>
            <w:r>
              <w:rPr>
                <w:spacing w:val="8"/>
              </w:rPr>
              <w:t>天齐锂业</w:t>
            </w:r>
          </w:p>
        </w:tc>
        <w:tc>
          <w:tcPr>
            <w:shd w:val="clear" w:fill="C7DAF1"/>
            <w:tcW w:w="6624" w:type="dxa"/>
            <w:vAlign w:val="top"/>
          </w:tcPr>
          <w:p>
            <w:pPr>
              <w:pStyle w:val="TableText"/>
              <w:ind w:left="2997"/>
              <w:spacing w:before="138" w:line="189" w:lineRule="auto"/>
              <w:rPr/>
            </w:pPr>
            <w:r>
              <w:rPr>
                <w:spacing w:val="8"/>
              </w:rPr>
              <w:t>关注函</w:t>
            </w:r>
          </w:p>
        </w:tc>
      </w:tr>
      <w:tr>
        <w:trPr>
          <w:trHeight w:val="464" w:hRule="atLeast"/>
        </w:trPr>
        <w:tc>
          <w:tcPr>
            <w:tcW w:w="1105" w:type="dxa"/>
            <w:vAlign w:val="top"/>
          </w:tcPr>
          <w:p>
            <w:pPr>
              <w:pStyle w:val="TableText"/>
              <w:ind w:left="190"/>
              <w:spacing w:before="153" w:line="178" w:lineRule="auto"/>
              <w:rPr/>
            </w:pPr>
            <w:r>
              <w:rPr>
                <w:spacing w:val="3"/>
              </w:rPr>
              <w:t>002689</w:t>
            </w:r>
          </w:p>
        </w:tc>
        <w:tc>
          <w:tcPr>
            <w:tcW w:w="1274" w:type="dxa"/>
            <w:vAlign w:val="top"/>
          </w:tcPr>
          <w:p>
            <w:pPr>
              <w:pStyle w:val="TableText"/>
              <w:ind w:left="216"/>
              <w:spacing w:before="137" w:line="190" w:lineRule="auto"/>
              <w:rPr/>
            </w:pPr>
            <w:r>
              <w:rPr>
                <w:spacing w:val="8"/>
              </w:rPr>
              <w:t>远大智能</w:t>
            </w:r>
          </w:p>
        </w:tc>
        <w:tc>
          <w:tcPr>
            <w:tcW w:w="6624" w:type="dxa"/>
            <w:vAlign w:val="top"/>
          </w:tcPr>
          <w:p>
            <w:pPr>
              <w:pStyle w:val="TableText"/>
              <w:ind w:left="2997"/>
              <w:spacing w:before="138" w:line="189" w:lineRule="auto"/>
              <w:rPr/>
            </w:pPr>
            <w:r>
              <w:rPr>
                <w:spacing w:val="8"/>
              </w:rPr>
              <w:t>关注函</w:t>
            </w:r>
          </w:p>
        </w:tc>
      </w:tr>
      <w:tr>
        <w:trPr>
          <w:trHeight w:val="463" w:hRule="atLeast"/>
        </w:trPr>
        <w:tc>
          <w:tcPr>
            <w:shd w:val="clear" w:fill="C7DAF1"/>
            <w:tcW w:w="1105" w:type="dxa"/>
            <w:vAlign w:val="top"/>
          </w:tcPr>
          <w:p>
            <w:pPr>
              <w:pStyle w:val="TableText"/>
              <w:ind w:left="190"/>
              <w:spacing w:before="154" w:line="178" w:lineRule="auto"/>
              <w:rPr/>
            </w:pPr>
            <w:r>
              <w:rPr>
                <w:spacing w:val="3"/>
              </w:rPr>
              <w:t>000697</w:t>
            </w:r>
          </w:p>
        </w:tc>
        <w:tc>
          <w:tcPr>
            <w:shd w:val="clear" w:fill="C7DAF1"/>
            <w:tcW w:w="1274" w:type="dxa"/>
            <w:vAlign w:val="top"/>
          </w:tcPr>
          <w:p>
            <w:pPr>
              <w:pStyle w:val="TableText"/>
              <w:ind w:left="262"/>
              <w:spacing w:before="140" w:line="189" w:lineRule="auto"/>
              <w:rPr/>
            </w:pPr>
            <w:r>
              <w:rPr>
                <w:spacing w:val="8"/>
              </w:rPr>
              <w:t>*</w:t>
            </w:r>
            <w:r>
              <w:rPr/>
              <w:t>ST</w:t>
            </w:r>
            <w:r>
              <w:rPr>
                <w:spacing w:val="8"/>
              </w:rPr>
              <w:t>炼石</w:t>
            </w:r>
          </w:p>
        </w:tc>
        <w:tc>
          <w:tcPr>
            <w:shd w:val="clear" w:fill="C7DAF1"/>
            <w:tcW w:w="6624" w:type="dxa"/>
            <w:vAlign w:val="top"/>
          </w:tcPr>
          <w:p>
            <w:pPr>
              <w:pStyle w:val="TableText"/>
              <w:ind w:left="2785"/>
              <w:spacing w:before="140" w:line="189" w:lineRule="auto"/>
              <w:rPr/>
            </w:pPr>
            <w:r>
              <w:rPr>
                <w:spacing w:val="8"/>
              </w:rPr>
              <w:t>年报问询函</w:t>
            </w:r>
          </w:p>
        </w:tc>
      </w:tr>
      <w:tr>
        <w:trPr>
          <w:trHeight w:val="464" w:hRule="atLeast"/>
        </w:trPr>
        <w:tc>
          <w:tcPr>
            <w:tcW w:w="1105" w:type="dxa"/>
            <w:vAlign w:val="top"/>
          </w:tcPr>
          <w:p>
            <w:pPr>
              <w:pStyle w:val="TableText"/>
              <w:ind w:left="190"/>
              <w:spacing w:before="153" w:line="179" w:lineRule="auto"/>
              <w:rPr/>
            </w:pPr>
            <w:r>
              <w:rPr>
                <w:spacing w:val="3"/>
              </w:rPr>
              <w:t>000016</w:t>
            </w:r>
          </w:p>
        </w:tc>
        <w:tc>
          <w:tcPr>
            <w:tcW w:w="1274" w:type="dxa"/>
            <w:vAlign w:val="top"/>
          </w:tcPr>
          <w:p>
            <w:pPr>
              <w:pStyle w:val="TableText"/>
              <w:ind w:left="216"/>
              <w:spacing w:before="140" w:line="189" w:lineRule="auto"/>
              <w:rPr/>
            </w:pPr>
            <w:r>
              <w:rPr>
                <w:spacing w:val="15"/>
              </w:rPr>
              <w:t>深康佳A</w:t>
            </w:r>
          </w:p>
        </w:tc>
        <w:tc>
          <w:tcPr>
            <w:tcW w:w="6624" w:type="dxa"/>
            <w:vAlign w:val="top"/>
          </w:tcPr>
          <w:p>
            <w:pPr>
              <w:pStyle w:val="TableText"/>
              <w:ind w:left="2785"/>
              <w:spacing w:before="140" w:line="189" w:lineRule="auto"/>
              <w:rPr/>
            </w:pPr>
            <w:r>
              <w:rPr>
                <w:spacing w:val="8"/>
              </w:rPr>
              <w:t>年报问询函</w:t>
            </w:r>
          </w:p>
        </w:tc>
      </w:tr>
      <w:tr>
        <w:trPr>
          <w:trHeight w:val="464" w:hRule="atLeast"/>
        </w:trPr>
        <w:tc>
          <w:tcPr>
            <w:shd w:val="clear" w:fill="C7DAF1"/>
            <w:tcW w:w="1105" w:type="dxa"/>
            <w:vAlign w:val="top"/>
          </w:tcPr>
          <w:p>
            <w:pPr>
              <w:pStyle w:val="TableText"/>
              <w:ind w:left="190"/>
              <w:spacing w:before="154" w:line="179" w:lineRule="auto"/>
              <w:rPr/>
            </w:pPr>
            <w:r>
              <w:rPr>
                <w:spacing w:val="3"/>
              </w:rPr>
              <w:t>000961</w:t>
            </w:r>
          </w:p>
        </w:tc>
        <w:tc>
          <w:tcPr>
            <w:shd w:val="clear" w:fill="C7DAF1"/>
            <w:tcW w:w="1274" w:type="dxa"/>
            <w:vAlign w:val="top"/>
          </w:tcPr>
          <w:p>
            <w:pPr>
              <w:pStyle w:val="TableText"/>
              <w:ind w:left="230"/>
              <w:spacing w:before="141" w:line="189" w:lineRule="auto"/>
              <w:rPr/>
            </w:pPr>
            <w:r>
              <w:rPr>
                <w:spacing w:val="5"/>
              </w:rPr>
              <w:t>中南建设</w:t>
            </w:r>
          </w:p>
        </w:tc>
        <w:tc>
          <w:tcPr>
            <w:shd w:val="clear" w:fill="C7DAF1"/>
            <w:tcW w:w="6624" w:type="dxa"/>
            <w:vAlign w:val="top"/>
          </w:tcPr>
          <w:p>
            <w:pPr>
              <w:pStyle w:val="TableText"/>
              <w:ind w:left="2997"/>
              <w:spacing w:before="141" w:line="189" w:lineRule="auto"/>
              <w:rPr/>
            </w:pPr>
            <w:r>
              <w:rPr>
                <w:spacing w:val="8"/>
              </w:rPr>
              <w:t>关注函</w:t>
            </w:r>
          </w:p>
        </w:tc>
      </w:tr>
      <w:tr>
        <w:trPr>
          <w:trHeight w:val="464" w:hRule="atLeast"/>
        </w:trPr>
        <w:tc>
          <w:tcPr>
            <w:tcW w:w="1105" w:type="dxa"/>
            <w:vAlign w:val="top"/>
          </w:tcPr>
          <w:p>
            <w:pPr>
              <w:pStyle w:val="TableText"/>
              <w:ind w:left="195"/>
              <w:spacing w:before="153" w:line="179" w:lineRule="auto"/>
              <w:rPr/>
            </w:pPr>
            <w:r>
              <w:rPr>
                <w:spacing w:val="3"/>
              </w:rPr>
              <w:t>300010</w:t>
            </w:r>
          </w:p>
        </w:tc>
        <w:tc>
          <w:tcPr>
            <w:tcW w:w="1274" w:type="dxa"/>
            <w:vAlign w:val="top"/>
          </w:tcPr>
          <w:p>
            <w:pPr>
              <w:pStyle w:val="TableText"/>
              <w:ind w:left="262"/>
              <w:spacing w:before="140" w:line="189" w:lineRule="auto"/>
              <w:rPr/>
            </w:pPr>
            <w:r>
              <w:rPr>
                <w:spacing w:val="8"/>
              </w:rPr>
              <w:t>*</w:t>
            </w:r>
            <w:r>
              <w:rPr/>
              <w:t>ST</w:t>
            </w:r>
            <w:r>
              <w:rPr>
                <w:spacing w:val="8"/>
              </w:rPr>
              <w:t>豆神</w:t>
            </w:r>
          </w:p>
        </w:tc>
        <w:tc>
          <w:tcPr>
            <w:tcW w:w="6624" w:type="dxa"/>
            <w:vAlign w:val="top"/>
          </w:tcPr>
          <w:p>
            <w:pPr>
              <w:pStyle w:val="TableText"/>
              <w:ind w:left="2785"/>
              <w:spacing w:before="140" w:line="189" w:lineRule="auto"/>
              <w:rPr/>
            </w:pPr>
            <w:r>
              <w:rPr>
                <w:spacing w:val="8"/>
              </w:rPr>
              <w:t>年报问询函</w:t>
            </w:r>
          </w:p>
        </w:tc>
      </w:tr>
      <w:tr>
        <w:trPr>
          <w:trHeight w:val="464" w:hRule="atLeast"/>
        </w:trPr>
        <w:tc>
          <w:tcPr>
            <w:shd w:val="clear" w:fill="C7DAF1"/>
            <w:tcW w:w="1105" w:type="dxa"/>
            <w:vAlign w:val="top"/>
          </w:tcPr>
          <w:p>
            <w:pPr>
              <w:pStyle w:val="TableText"/>
              <w:ind w:left="195"/>
              <w:spacing w:before="154" w:line="178" w:lineRule="auto"/>
              <w:rPr/>
            </w:pPr>
            <w:r>
              <w:rPr>
                <w:spacing w:val="3"/>
              </w:rPr>
              <w:t>300300</w:t>
            </w:r>
          </w:p>
        </w:tc>
        <w:tc>
          <w:tcPr>
            <w:shd w:val="clear" w:fill="C7DAF1"/>
            <w:tcW w:w="1274" w:type="dxa"/>
            <w:vAlign w:val="top"/>
          </w:tcPr>
          <w:p>
            <w:pPr>
              <w:pStyle w:val="TableText"/>
              <w:ind w:left="216"/>
              <w:spacing w:before="139" w:line="189" w:lineRule="auto"/>
              <w:rPr/>
            </w:pPr>
            <w:r>
              <w:rPr>
                <w:spacing w:val="8"/>
              </w:rPr>
              <w:t>海峡创新</w:t>
            </w:r>
          </w:p>
        </w:tc>
        <w:tc>
          <w:tcPr>
            <w:shd w:val="clear" w:fill="C7DAF1"/>
            <w:tcW w:w="6624" w:type="dxa"/>
            <w:vAlign w:val="top"/>
          </w:tcPr>
          <w:p>
            <w:pPr>
              <w:pStyle w:val="TableText"/>
              <w:ind w:left="2785"/>
              <w:spacing w:before="139" w:line="189" w:lineRule="auto"/>
              <w:rPr/>
            </w:pPr>
            <w:r>
              <w:rPr>
                <w:spacing w:val="8"/>
              </w:rPr>
              <w:t>年报问询函</w:t>
            </w:r>
          </w:p>
        </w:tc>
      </w:tr>
      <w:tr>
        <w:trPr>
          <w:trHeight w:val="464" w:hRule="atLeast"/>
        </w:trPr>
        <w:tc>
          <w:tcPr>
            <w:tcW w:w="1105" w:type="dxa"/>
            <w:vAlign w:val="top"/>
          </w:tcPr>
          <w:p>
            <w:pPr>
              <w:pStyle w:val="TableText"/>
              <w:ind w:left="195"/>
              <w:spacing w:before="154" w:line="179" w:lineRule="auto"/>
              <w:rPr/>
            </w:pPr>
            <w:r>
              <w:rPr>
                <w:spacing w:val="3"/>
              </w:rPr>
              <w:t>300551</w:t>
            </w:r>
          </w:p>
        </w:tc>
        <w:tc>
          <w:tcPr>
            <w:tcW w:w="1274" w:type="dxa"/>
            <w:vAlign w:val="top"/>
          </w:tcPr>
          <w:p>
            <w:pPr>
              <w:pStyle w:val="TableText"/>
              <w:ind w:left="216"/>
              <w:spacing w:before="141" w:line="189" w:lineRule="auto"/>
              <w:rPr/>
            </w:pPr>
            <w:r>
              <w:rPr>
                <w:spacing w:val="8"/>
              </w:rPr>
              <w:t>古鳌科技</w:t>
            </w:r>
          </w:p>
        </w:tc>
        <w:tc>
          <w:tcPr>
            <w:tcW w:w="6624" w:type="dxa"/>
            <w:vAlign w:val="top"/>
          </w:tcPr>
          <w:p>
            <w:pPr>
              <w:pStyle w:val="TableText"/>
              <w:ind w:left="2997"/>
              <w:spacing w:before="140" w:line="189" w:lineRule="auto"/>
              <w:rPr/>
            </w:pPr>
            <w:r>
              <w:rPr>
                <w:spacing w:val="8"/>
              </w:rPr>
              <w:t>关注函</w:t>
            </w:r>
          </w:p>
        </w:tc>
      </w:tr>
      <w:tr>
        <w:trPr>
          <w:trHeight w:val="464" w:hRule="atLeast"/>
        </w:trPr>
        <w:tc>
          <w:tcPr>
            <w:shd w:val="clear" w:fill="C7DAF1"/>
            <w:tcW w:w="1105" w:type="dxa"/>
            <w:vAlign w:val="top"/>
          </w:tcPr>
          <w:p>
            <w:pPr>
              <w:pStyle w:val="TableText"/>
              <w:ind w:left="195"/>
              <w:spacing w:before="154" w:line="178" w:lineRule="auto"/>
              <w:rPr/>
            </w:pPr>
            <w:r>
              <w:rPr>
                <w:spacing w:val="3"/>
              </w:rPr>
              <w:t>300282</w:t>
            </w:r>
          </w:p>
        </w:tc>
        <w:tc>
          <w:tcPr>
            <w:shd w:val="clear" w:fill="C7DAF1"/>
            <w:tcW w:w="1274" w:type="dxa"/>
            <w:vAlign w:val="top"/>
          </w:tcPr>
          <w:p>
            <w:pPr>
              <w:pStyle w:val="TableText"/>
              <w:ind w:left="262"/>
              <w:spacing w:before="139" w:line="189" w:lineRule="auto"/>
              <w:rPr/>
            </w:pPr>
            <w:r>
              <w:rPr>
                <w:spacing w:val="8"/>
              </w:rPr>
              <w:t>*</w:t>
            </w:r>
            <w:r>
              <w:rPr/>
              <w:t>ST</w:t>
            </w:r>
            <w:r>
              <w:rPr>
                <w:spacing w:val="8"/>
              </w:rPr>
              <w:t>三盛</w:t>
            </w:r>
          </w:p>
        </w:tc>
        <w:tc>
          <w:tcPr>
            <w:shd w:val="clear" w:fill="C7DAF1"/>
            <w:tcW w:w="6624" w:type="dxa"/>
            <w:vAlign w:val="top"/>
          </w:tcPr>
          <w:p>
            <w:pPr>
              <w:pStyle w:val="TableText"/>
              <w:ind w:left="2997"/>
              <w:spacing w:before="140" w:line="189" w:lineRule="auto"/>
              <w:rPr/>
            </w:pPr>
            <w:r>
              <w:rPr>
                <w:spacing w:val="8"/>
              </w:rPr>
              <w:t>关注函</w:t>
            </w:r>
          </w:p>
        </w:tc>
      </w:tr>
      <w:tr>
        <w:trPr>
          <w:trHeight w:val="464" w:hRule="atLeast"/>
        </w:trPr>
        <w:tc>
          <w:tcPr>
            <w:tcW w:w="1105" w:type="dxa"/>
            <w:vAlign w:val="top"/>
          </w:tcPr>
          <w:p>
            <w:pPr>
              <w:pStyle w:val="TableText"/>
              <w:ind w:left="195"/>
              <w:spacing w:before="154" w:line="179" w:lineRule="auto"/>
              <w:rPr/>
            </w:pPr>
            <w:r>
              <w:rPr>
                <w:spacing w:val="3"/>
              </w:rPr>
              <w:t>301358</w:t>
            </w:r>
          </w:p>
        </w:tc>
        <w:tc>
          <w:tcPr>
            <w:tcW w:w="1274" w:type="dxa"/>
            <w:vAlign w:val="top"/>
          </w:tcPr>
          <w:p>
            <w:pPr>
              <w:pStyle w:val="TableText"/>
              <w:ind w:left="216"/>
              <w:spacing w:before="139" w:line="190" w:lineRule="auto"/>
              <w:rPr/>
            </w:pPr>
            <w:r>
              <w:rPr>
                <w:spacing w:val="8"/>
              </w:rPr>
              <w:t>湖南裕能</w:t>
            </w:r>
          </w:p>
        </w:tc>
        <w:tc>
          <w:tcPr>
            <w:tcW w:w="6624" w:type="dxa"/>
            <w:vAlign w:val="top"/>
          </w:tcPr>
          <w:p>
            <w:pPr>
              <w:pStyle w:val="TableText"/>
              <w:ind w:left="2997"/>
              <w:spacing w:before="141" w:line="189" w:lineRule="auto"/>
              <w:rPr/>
            </w:pPr>
            <w:r>
              <w:rPr>
                <w:spacing w:val="8"/>
              </w:rPr>
              <w:t>关注函</w:t>
            </w:r>
          </w:p>
        </w:tc>
      </w:tr>
      <w:tr>
        <w:trPr>
          <w:trHeight w:val="464" w:hRule="atLeast"/>
        </w:trPr>
        <w:tc>
          <w:tcPr>
            <w:shd w:val="clear" w:fill="C7DAF1"/>
            <w:tcW w:w="1105" w:type="dxa"/>
            <w:vAlign w:val="top"/>
          </w:tcPr>
          <w:p>
            <w:pPr>
              <w:pStyle w:val="TableText"/>
              <w:ind w:left="195"/>
              <w:spacing w:before="155" w:line="178" w:lineRule="auto"/>
              <w:rPr/>
            </w:pPr>
            <w:r>
              <w:rPr>
                <w:spacing w:val="3"/>
              </w:rPr>
              <w:t>300076</w:t>
            </w:r>
          </w:p>
        </w:tc>
        <w:tc>
          <w:tcPr>
            <w:shd w:val="clear" w:fill="C7DAF1"/>
            <w:tcW w:w="1274" w:type="dxa"/>
            <w:vAlign w:val="top"/>
          </w:tcPr>
          <w:p>
            <w:pPr>
              <w:pStyle w:val="TableText"/>
              <w:ind w:left="207"/>
              <w:spacing w:before="141" w:line="188" w:lineRule="auto"/>
              <w:rPr/>
            </w:pPr>
            <w:r>
              <w:rPr/>
              <w:t>GQY</w:t>
            </w:r>
            <w:r>
              <w:rPr>
                <w:spacing w:val="14"/>
              </w:rPr>
              <w:t>视讯</w:t>
            </w:r>
          </w:p>
        </w:tc>
        <w:tc>
          <w:tcPr>
            <w:shd w:val="clear" w:fill="C7DAF1"/>
            <w:tcW w:w="6624" w:type="dxa"/>
            <w:vAlign w:val="top"/>
          </w:tcPr>
          <w:p>
            <w:pPr>
              <w:pStyle w:val="TableText"/>
              <w:ind w:left="2997"/>
              <w:spacing w:before="140" w:line="189" w:lineRule="auto"/>
              <w:rPr/>
            </w:pPr>
            <w:r>
              <w:rPr>
                <w:spacing w:val="8"/>
              </w:rPr>
              <w:t>关注函</w:t>
            </w:r>
          </w:p>
        </w:tc>
      </w:tr>
      <w:tr>
        <w:trPr>
          <w:trHeight w:val="464" w:hRule="atLeast"/>
        </w:trPr>
        <w:tc>
          <w:tcPr>
            <w:tcW w:w="1105" w:type="dxa"/>
            <w:vAlign w:val="top"/>
          </w:tcPr>
          <w:p>
            <w:pPr>
              <w:pStyle w:val="TableText"/>
              <w:ind w:left="195"/>
              <w:spacing w:before="152" w:line="179" w:lineRule="auto"/>
              <w:rPr/>
            </w:pPr>
            <w:r>
              <w:rPr>
                <w:spacing w:val="3"/>
              </w:rPr>
              <w:t>300091</w:t>
            </w:r>
          </w:p>
        </w:tc>
        <w:tc>
          <w:tcPr>
            <w:tcW w:w="1274" w:type="dxa"/>
            <w:vAlign w:val="top"/>
          </w:tcPr>
          <w:p>
            <w:pPr>
              <w:pStyle w:val="TableText"/>
              <w:ind w:left="318"/>
              <w:spacing w:before="140" w:line="188" w:lineRule="auto"/>
              <w:rPr/>
            </w:pPr>
            <w:r>
              <w:rPr>
                <w:spacing w:val="9"/>
              </w:rPr>
              <w:t>金通灵</w:t>
            </w:r>
          </w:p>
        </w:tc>
        <w:tc>
          <w:tcPr>
            <w:tcW w:w="6624" w:type="dxa"/>
            <w:vAlign w:val="top"/>
          </w:tcPr>
          <w:p>
            <w:pPr>
              <w:pStyle w:val="TableText"/>
              <w:ind w:left="2785"/>
              <w:spacing w:before="139" w:line="189" w:lineRule="auto"/>
              <w:rPr/>
            </w:pPr>
            <w:r>
              <w:rPr>
                <w:spacing w:val="8"/>
              </w:rPr>
              <w:t>年报问询函</w:t>
            </w:r>
          </w:p>
        </w:tc>
      </w:tr>
      <w:tr>
        <w:trPr>
          <w:trHeight w:val="468" w:hRule="atLeast"/>
        </w:trPr>
        <w:tc>
          <w:tcPr>
            <w:shd w:val="clear" w:fill="C7DAF1"/>
            <w:tcW w:w="1105" w:type="dxa"/>
            <w:vAlign w:val="top"/>
          </w:tcPr>
          <w:p>
            <w:pPr>
              <w:pStyle w:val="TableText"/>
              <w:ind w:left="195"/>
              <w:spacing w:before="154" w:line="179" w:lineRule="auto"/>
              <w:rPr/>
            </w:pPr>
            <w:r>
              <w:rPr>
                <w:spacing w:val="3"/>
              </w:rPr>
              <w:t>300821</w:t>
            </w:r>
          </w:p>
        </w:tc>
        <w:tc>
          <w:tcPr>
            <w:shd w:val="clear" w:fill="C7DAF1"/>
            <w:tcW w:w="1274" w:type="dxa"/>
            <w:vAlign w:val="top"/>
          </w:tcPr>
          <w:p>
            <w:pPr>
              <w:pStyle w:val="TableText"/>
              <w:ind w:left="215"/>
              <w:spacing w:before="140" w:line="189" w:lineRule="auto"/>
              <w:rPr/>
            </w:pPr>
            <w:r>
              <w:rPr>
                <w:spacing w:val="8"/>
              </w:rPr>
              <w:t>东岳硅材</w:t>
            </w:r>
          </w:p>
        </w:tc>
        <w:tc>
          <w:tcPr>
            <w:shd w:val="clear" w:fill="C7DAF1"/>
            <w:tcW w:w="6624" w:type="dxa"/>
            <w:vAlign w:val="top"/>
          </w:tcPr>
          <w:p>
            <w:pPr>
              <w:pStyle w:val="TableText"/>
              <w:ind w:left="2785"/>
              <w:spacing w:before="140" w:line="189" w:lineRule="auto"/>
              <w:rPr/>
            </w:pPr>
            <w:r>
              <w:rPr>
                <w:spacing w:val="8"/>
              </w:rPr>
              <w:t>年报问询函</w:t>
            </w:r>
          </w:p>
        </w:tc>
      </w:tr>
    </w:tbl>
    <w:p>
      <w:pPr>
        <w:pStyle w:val="BodyText"/>
        <w:spacing w:line="268" w:lineRule="auto"/>
        <w:rPr/>
      </w:pPr>
      <w:r/>
    </w:p>
    <w:p>
      <w:pPr>
        <w:pStyle w:val="BodyText"/>
        <w:spacing w:line="269" w:lineRule="auto"/>
        <w:rPr/>
      </w:pPr>
      <w:r/>
    </w:p>
    <w:p>
      <w:pPr>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2、市场交易监管动态</w:t>
      </w:r>
    </w:p>
    <w:p>
      <w:pPr>
        <w:pStyle w:val="BodyText"/>
        <w:spacing w:line="252" w:lineRule="auto"/>
        <w:rPr/>
      </w:pPr>
      <w:r/>
    </w:p>
    <w:p>
      <w:pPr>
        <w:ind w:left="70" w:firstLine="436"/>
        <w:spacing w:before="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20</w:t>
      </w:r>
      <w:r>
        <w:rPr>
          <w:rFonts w:ascii="Microsoft YaHei" w:hAnsi="Microsoft YaHei" w:eastAsia="Microsoft YaHei" w:cs="Microsoft YaHei"/>
          <w:sz w:val="22"/>
          <w:szCs w:val="22"/>
          <w:spacing w:val="-5"/>
        </w:rPr>
        <w:t>24年4月22日-4月28日，深交所共对107起证券异常交易行为采</w:t>
      </w:r>
      <w:r>
        <w:rPr>
          <w:rFonts w:ascii="Microsoft YaHei" w:hAnsi="Microsoft YaHei" w:eastAsia="Microsoft YaHei" w:cs="Microsoft YaHei"/>
          <w:sz w:val="22"/>
          <w:szCs w:val="22"/>
          <w:spacing w:val="-6"/>
        </w:rPr>
        <w:t>取了自律监管措施，涉及盘中拉抬</w:t>
      </w:r>
      <w:r>
        <w:rPr>
          <w:rFonts w:ascii="Microsoft YaHei" w:hAnsi="Microsoft YaHei" w:eastAsia="Microsoft YaHei" w:cs="Microsoft YaHei"/>
          <w:sz w:val="22"/>
          <w:szCs w:val="22"/>
          <w:spacing w:val="-4"/>
        </w:rPr>
        <w:t>打</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压、虚假申报等异常交易情形；共对3起上市公司重大事项进行核查。</w:t>
      </w:r>
    </w:p>
    <w:p>
      <w:pPr>
        <w:spacing w:line="184" w:lineRule="auto"/>
        <w:sectPr>
          <w:pgSz w:w="11910" w:h="16840"/>
          <w:pgMar w:top="400" w:right="497" w:bottom="400" w:left="1262" w:header="0" w:footer="0" w:gutter="0"/>
        </w:sectPr>
        <w:rPr>
          <w:rFonts w:ascii="Microsoft YaHei" w:hAnsi="Microsoft YaHei" w:eastAsia="Microsoft YaHei" w:cs="Microsoft YaHei"/>
          <w:sz w:val="22"/>
          <w:szCs w:val="22"/>
        </w:rPr>
      </w:pPr>
    </w:p>
    <w:p>
      <w:pPr>
        <w:spacing w:line="924" w:lineRule="exact"/>
        <w:rPr/>
      </w:pPr>
      <w:r>
        <w:rPr>
          <w:position w:val="-18"/>
        </w:rPr>
        <w:pict>
          <v:group id="_x0000_s42" style="mso-position-vertical-relative:line;mso-position-horizontal-relative:char;width:134.8pt;height:46.25pt;" filled="false" stroked="false" coordsize="2696,925" coordorigin="0,0">
            <v:shape id="_x0000_s44" style="position:absolute;left:0;top:0;width:2696;height:925;" filled="false" stroked="false" type="#_x0000_t75">
              <v:imagedata o:title="" r:id="rId15"/>
            </v:shape>
            <v:shape id="_x0000_s46" style="position:absolute;left:-20;top:-20;width:2736;height:965;" filled="false" stroked="false" type="#_x0000_t202">
              <v:fill on="false"/>
              <v:stroke on="false"/>
              <v:path/>
              <v:imagedata o:title=""/>
              <o:lock v:ext="edit" aspectratio="false"/>
              <v:textbox inset="0mm,0mm,0mm,0mm">
                <w:txbxContent>
                  <w:p>
                    <w:pPr>
                      <w:ind w:left="371"/>
                      <w:spacing w:before="304"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股权激励监管动态</w:t>
                    </w:r>
                  </w:p>
                </w:txbxContent>
              </v:textbox>
            </v:shape>
          </v:group>
        </w:pict>
      </w:r>
    </w:p>
    <w:p>
      <w:pPr>
        <w:pStyle w:val="BodyText"/>
        <w:spacing w:line="278" w:lineRule="auto"/>
        <w:rPr/>
      </w:pPr>
      <w:r/>
    </w:p>
    <w:p>
      <w:pPr>
        <w:ind w:left="1308"/>
        <w:spacing w:before="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2024年4月22日-4月28日，深交所就上市公司股权激励事项共发出</w:t>
      </w:r>
      <w:r>
        <w:rPr>
          <w:rFonts w:ascii="Microsoft YaHei" w:hAnsi="Microsoft YaHei" w:eastAsia="Microsoft YaHei" w:cs="Microsoft YaHei"/>
          <w:sz w:val="22"/>
          <w:szCs w:val="22"/>
          <w:spacing w:val="-6"/>
        </w:rPr>
        <w:t>1份关注函。</w:t>
      </w:r>
    </w:p>
    <w:p>
      <w:pPr>
        <w:spacing w:before="60"/>
        <w:rPr/>
      </w:pPr>
      <w:r/>
    </w:p>
    <w:p>
      <w:pPr>
        <w:spacing w:before="60"/>
        <w:rPr/>
      </w:pPr>
      <w:r/>
    </w:p>
    <w:tbl>
      <w:tblPr>
        <w:tblStyle w:val="TableNormal"/>
        <w:tblW w:w="9016" w:type="dxa"/>
        <w:tblInd w:w="975"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640" w:hRule="atLeast"/>
        </w:trPr>
        <w:tc>
          <w:tcPr>
            <w:shd w:val="clear" w:fill="4BACC6"/>
            <w:tcW w:w="1471" w:type="dxa"/>
            <w:vAlign w:val="top"/>
          </w:tcPr>
          <w:p>
            <w:pPr>
              <w:pStyle w:val="TableText"/>
              <w:ind w:left="298"/>
              <w:spacing w:before="95" w:line="183" w:lineRule="auto"/>
              <w:rPr>
                <w:sz w:val="22"/>
                <w:szCs w:val="22"/>
              </w:rPr>
            </w:pPr>
            <w:r>
              <w:rPr>
                <w:sz w:val="22"/>
                <w:szCs w:val="22"/>
                <w:b/>
                <w:bCs/>
                <w:color w:val="FFFFFF"/>
                <w:spacing w:val="-1"/>
              </w:rPr>
              <w:t>公司代码</w:t>
            </w:r>
          </w:p>
        </w:tc>
        <w:tc>
          <w:tcPr>
            <w:shd w:val="clear" w:fill="4BACC6"/>
            <w:tcW w:w="1484" w:type="dxa"/>
            <w:vAlign w:val="top"/>
            <w:tcBorders>
              <w:top w:val="nil"/>
            </w:tcBorders>
          </w:tcPr>
          <w:p>
            <w:pPr>
              <w:pStyle w:val="TableText"/>
              <w:ind w:left="303"/>
              <w:spacing w:before="95" w:line="183" w:lineRule="auto"/>
              <w:rPr>
                <w:sz w:val="22"/>
                <w:szCs w:val="22"/>
              </w:rPr>
            </w:pPr>
            <w:r>
              <w:rPr>
                <w:sz w:val="22"/>
                <w:szCs w:val="22"/>
                <w:b/>
                <w:bCs/>
                <w:color w:val="FFFFFF"/>
                <w:spacing w:val="-1"/>
              </w:rPr>
              <w:t>公司简称</w:t>
            </w:r>
          </w:p>
        </w:tc>
        <w:tc>
          <w:tcPr>
            <w:shd w:val="clear" w:fill="4BACC6"/>
            <w:tcW w:w="1498" w:type="dxa"/>
            <w:vAlign w:val="top"/>
            <w:tcBorders>
              <w:top w:val="nil"/>
            </w:tcBorders>
          </w:tcPr>
          <w:p>
            <w:pPr>
              <w:pStyle w:val="TableText"/>
              <w:ind w:left="320"/>
              <w:spacing w:before="95" w:line="183" w:lineRule="auto"/>
              <w:rPr>
                <w:sz w:val="22"/>
                <w:szCs w:val="22"/>
              </w:rPr>
            </w:pPr>
            <w:r>
              <w:rPr>
                <w:sz w:val="22"/>
                <w:szCs w:val="22"/>
                <w:b/>
                <w:bCs/>
                <w:color w:val="FFFFFF"/>
                <w:spacing w:val="-4"/>
              </w:rPr>
              <w:t>函件类别</w:t>
            </w:r>
          </w:p>
        </w:tc>
        <w:tc>
          <w:tcPr>
            <w:shd w:val="clear" w:fill="4BACC6"/>
            <w:tcW w:w="4563" w:type="dxa"/>
            <w:vAlign w:val="top"/>
            <w:tcBorders>
              <w:top w:val="nil"/>
            </w:tcBorders>
          </w:tcPr>
          <w:p>
            <w:pPr>
              <w:pStyle w:val="TableText"/>
              <w:ind w:left="1841"/>
              <w:spacing w:before="93" w:line="184" w:lineRule="auto"/>
              <w:rPr>
                <w:sz w:val="22"/>
                <w:szCs w:val="22"/>
              </w:rPr>
            </w:pPr>
            <w:r>
              <w:rPr>
                <w:sz w:val="22"/>
                <w:szCs w:val="22"/>
                <w:b/>
                <w:bCs/>
                <w:color w:val="FFFFFF"/>
                <w:spacing w:val="-1"/>
              </w:rPr>
              <w:t>关注事项</w:t>
            </w:r>
          </w:p>
        </w:tc>
      </w:tr>
      <w:tr>
        <w:trPr>
          <w:trHeight w:val="5769" w:hRule="atLeast"/>
        </w:trPr>
        <w:tc>
          <w:tcPr>
            <w:tcW w:w="1471"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377"/>
              <w:spacing w:before="86" w:line="179" w:lineRule="auto"/>
              <w:rPr/>
            </w:pPr>
            <w:r>
              <w:rPr>
                <w:spacing w:val="3"/>
              </w:rPr>
              <w:t>301358</w:t>
            </w:r>
          </w:p>
        </w:tc>
        <w:tc>
          <w:tcPr>
            <w:tcW w:w="1484"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320"/>
              <w:spacing w:before="86" w:line="190" w:lineRule="auto"/>
              <w:rPr/>
            </w:pPr>
            <w:r>
              <w:rPr>
                <w:spacing w:val="8"/>
              </w:rPr>
              <w:t>湖南裕能</w:t>
            </w:r>
          </w:p>
        </w:tc>
        <w:tc>
          <w:tcPr>
            <w:tcW w:w="1498"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434"/>
              <w:spacing w:before="85" w:line="189" w:lineRule="auto"/>
              <w:rPr/>
            </w:pPr>
            <w:r>
              <w:rPr>
                <w:spacing w:val="8"/>
              </w:rPr>
              <w:t>关注函</w:t>
            </w:r>
          </w:p>
        </w:tc>
        <w:tc>
          <w:tcPr>
            <w:tcW w:w="4563" w:type="dxa"/>
            <w:vAlign w:val="top"/>
          </w:tcPr>
          <w:p>
            <w:pPr>
              <w:pStyle w:val="TableText"/>
              <w:ind w:left="107" w:right="176" w:firstLine="19"/>
              <w:spacing w:before="86" w:line="243" w:lineRule="auto"/>
              <w:jc w:val="both"/>
              <w:rPr/>
            </w:pPr>
            <w:r>
              <w:rPr>
                <w:spacing w:val="6"/>
              </w:rPr>
              <w:t>1、结合公司对所处行业发展趋势、市场环境、</w:t>
            </w:r>
            <w:r>
              <w:rPr>
                <w:spacing w:val="10"/>
              </w:rPr>
              <w:t xml:space="preserve"> </w:t>
            </w:r>
            <w:r>
              <w:rPr>
                <w:spacing w:val="8"/>
              </w:rPr>
              <w:t>自身经营战略等具体背景的考量因素</w:t>
            </w:r>
            <w:r>
              <w:rPr>
                <w:spacing w:val="-26"/>
              </w:rPr>
              <w:t xml:space="preserve"> </w:t>
            </w:r>
            <w:r>
              <w:rPr>
                <w:spacing w:val="8"/>
              </w:rPr>
              <w:t>，说明公</w:t>
            </w:r>
            <w:r>
              <w:rPr/>
              <w:t xml:space="preserve">  </w:t>
            </w:r>
            <w:r>
              <w:rPr>
                <w:spacing w:val="8"/>
              </w:rPr>
              <w:t>司设置不同维度考核指标的依据及合理性</w:t>
            </w:r>
            <w:r>
              <w:rPr>
                <w:spacing w:val="-26"/>
              </w:rPr>
              <w:t xml:space="preserve"> </w:t>
            </w:r>
            <w:r>
              <w:rPr>
                <w:spacing w:val="8"/>
              </w:rPr>
              <w:t>，各</w:t>
            </w:r>
            <w:r>
              <w:rPr/>
              <w:t xml:space="preserve">  </w:t>
            </w:r>
            <w:r>
              <w:rPr>
                <w:spacing w:val="6"/>
              </w:rPr>
              <w:t>期业绩考核指标是否保持可比性</w:t>
            </w:r>
            <w:r>
              <w:rPr>
                <w:spacing w:val="-17"/>
              </w:rPr>
              <w:t xml:space="preserve"> </w:t>
            </w:r>
            <w:r>
              <w:rPr>
                <w:spacing w:val="6"/>
              </w:rPr>
              <w:t>，是否符合《  </w:t>
            </w:r>
            <w:r>
              <w:rPr>
                <w:spacing w:val="9"/>
              </w:rPr>
              <w:t>上市公司股权激励管理办法》的相关规定。</w:t>
            </w:r>
          </w:p>
          <w:p>
            <w:pPr>
              <w:pStyle w:val="TableText"/>
              <w:ind w:left="108" w:right="130" w:firstLine="8"/>
              <w:spacing w:before="63" w:line="221" w:lineRule="auto"/>
              <w:rPr/>
            </w:pPr>
            <w:r>
              <w:rPr>
                <w:spacing w:val="7"/>
              </w:rPr>
              <w:t>2、说明考核指标确定的具体过程</w:t>
            </w:r>
            <w:r>
              <w:rPr>
                <w:spacing w:val="-15"/>
              </w:rPr>
              <w:t xml:space="preserve"> </w:t>
            </w:r>
            <w:r>
              <w:rPr>
                <w:spacing w:val="7"/>
              </w:rPr>
              <w:t>，相关指标是</w:t>
            </w:r>
            <w:r>
              <w:rPr/>
              <w:t xml:space="preserve"> </w:t>
            </w:r>
            <w:r>
              <w:rPr>
                <w:spacing w:val="7"/>
              </w:rPr>
              <w:t>否具备合理性。</w:t>
            </w:r>
          </w:p>
          <w:p>
            <w:pPr>
              <w:pStyle w:val="TableText"/>
              <w:ind w:left="108" w:right="130" w:firstLine="11"/>
              <w:spacing w:before="87" w:line="243" w:lineRule="auto"/>
              <w:rPr/>
            </w:pPr>
            <w:r>
              <w:rPr>
                <w:spacing w:val="7"/>
              </w:rPr>
              <w:t>3、说明2025年至2026年“行业产能过剩将基</w:t>
            </w:r>
            <w:r>
              <w:rPr>
                <w:spacing w:val="8"/>
              </w:rPr>
              <w:t xml:space="preserve">  </w:t>
            </w:r>
            <w:r>
              <w:rPr>
                <w:spacing w:val="8"/>
              </w:rPr>
              <w:t>本出清”的具体判断依据</w:t>
            </w:r>
            <w:r>
              <w:rPr>
                <w:spacing w:val="-26"/>
              </w:rPr>
              <w:t xml:space="preserve"> </w:t>
            </w:r>
            <w:r>
              <w:rPr>
                <w:spacing w:val="8"/>
              </w:rPr>
              <w:t>，并结合你公司过去</w:t>
            </w:r>
            <w:r>
              <w:rPr/>
              <w:t xml:space="preserve">   </w:t>
            </w:r>
            <w:r>
              <w:rPr>
                <w:spacing w:val="8"/>
              </w:rPr>
              <w:t>三年业绩变动主要影响因素等</w:t>
            </w:r>
            <w:r>
              <w:rPr>
                <w:spacing w:val="-26"/>
              </w:rPr>
              <w:t xml:space="preserve"> </w:t>
            </w:r>
            <w:r>
              <w:rPr>
                <w:spacing w:val="8"/>
              </w:rPr>
              <w:t>，详细说明你公</w:t>
            </w:r>
            <w:r>
              <w:rPr/>
              <w:t xml:space="preserve">   </w:t>
            </w:r>
            <w:r>
              <w:rPr>
                <w:spacing w:val="9"/>
              </w:rPr>
              <w:t>司形成“盈利能力将会提升”的具体判断依据</w:t>
            </w:r>
            <w:r>
              <w:rPr>
                <w:spacing w:val="5"/>
              </w:rPr>
              <w:t xml:space="preserve">   </w:t>
            </w:r>
            <w:r>
              <w:rPr>
                <w:spacing w:val="7"/>
              </w:rPr>
              <w:t>,  并结合你公司过去3年净利润变动情况</w:t>
            </w:r>
            <w:r>
              <w:rPr>
                <w:spacing w:val="-9"/>
              </w:rPr>
              <w:t xml:space="preserve"> </w:t>
            </w:r>
            <w:r>
              <w:rPr>
                <w:spacing w:val="7"/>
              </w:rPr>
              <w:t>，</w:t>
            </w:r>
            <w:r>
              <w:rPr>
                <w:spacing w:val="-36"/>
              </w:rPr>
              <w:t xml:space="preserve"> </w:t>
            </w:r>
            <w:r>
              <w:rPr>
                <w:spacing w:val="7"/>
              </w:rPr>
              <w:t>同行</w:t>
            </w:r>
            <w:r>
              <w:rPr/>
              <w:t xml:space="preserve"> </w:t>
            </w:r>
            <w:r>
              <w:rPr>
                <w:spacing w:val="8"/>
              </w:rPr>
              <w:t>业可比公司业绩变动趋势等</w:t>
            </w:r>
            <w:r>
              <w:rPr>
                <w:spacing w:val="-26"/>
              </w:rPr>
              <w:t xml:space="preserve"> </w:t>
            </w:r>
            <w:r>
              <w:rPr>
                <w:spacing w:val="8"/>
              </w:rPr>
              <w:t>，说明净利润考核</w:t>
            </w:r>
            <w:r>
              <w:rPr/>
              <w:t xml:space="preserve">   </w:t>
            </w:r>
            <w:r>
              <w:rPr>
                <w:spacing w:val="7"/>
              </w:rPr>
              <w:t>指标的合理性。</w:t>
            </w:r>
          </w:p>
          <w:p>
            <w:pPr>
              <w:pStyle w:val="TableText"/>
              <w:ind w:left="108" w:right="130" w:hanging="1"/>
              <w:spacing w:before="91" w:line="220" w:lineRule="auto"/>
              <w:rPr/>
            </w:pPr>
            <w:r>
              <w:rPr>
                <w:spacing w:val="8"/>
              </w:rPr>
              <w:t>4、说明激励计划是否具有充分的激励效果</w:t>
            </w:r>
            <w:r>
              <w:rPr>
                <w:spacing w:val="-25"/>
              </w:rPr>
              <w:t xml:space="preserve"> </w:t>
            </w:r>
            <w:r>
              <w:rPr>
                <w:spacing w:val="8"/>
              </w:rPr>
              <w:t>，是</w:t>
            </w:r>
            <w:r>
              <w:rPr/>
              <w:t xml:space="preserve"> </w:t>
            </w:r>
            <w:r>
              <w:rPr>
                <w:spacing w:val="8"/>
              </w:rPr>
              <w:t>否有利于上市公司的持续发展。</w:t>
            </w:r>
          </w:p>
        </w:tc>
      </w:tr>
    </w:tbl>
    <w:p>
      <w:pPr>
        <w:pStyle w:val="BodyText"/>
        <w:rPr/>
      </w:pPr>
      <w:r/>
    </w:p>
    <w:sectPr>
      <w:pgSz w:w="11910" w:h="16840"/>
      <w:pgMar w:top="355" w:right="1454" w:bottom="400" w:left="460"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drawing>
        <wp:anchor distT="0" distB="0" distL="0" distR="0" simplePos="0" relativeHeight="251658240" behindDoc="1" locked="0" layoutInCell="0" allowOverlap="1">
          <wp:simplePos x="0" y="0"/>
          <wp:positionH relativeFrom="page">
            <wp:posOffset>19811</wp:posOffset>
          </wp:positionH>
          <wp:positionV relativeFrom="page">
            <wp:posOffset>0</wp:posOffset>
          </wp:positionV>
          <wp:extent cx="7543038" cy="7498080"/>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7543038" cy="7498080"/>
                  </a:xfrm>
                  <a:prstGeom prst="rect">
                    <a:avLst/>
                  </a:prstGeom>
                </pic:spPr>
              </pic:pic>
            </a:graphicData>
          </a:graphic>
        </wp:anchor>
      </w:drawing>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Microsoft YaHei" w:hAnsi="Microsoft YaHei" w:eastAsia="Microsoft YaHei" w:cs="Microsoft YaHe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8.png"/><Relationship Id="rId8" Type="http://schemas.openxmlformats.org/officeDocument/2006/relationships/image" Target="media/image7.png"/><Relationship Id="rId7" Type="http://schemas.openxmlformats.org/officeDocument/2006/relationships/image" Target="media/image6.png"/><Relationship Id="rId6" Type="http://schemas.openxmlformats.org/officeDocument/2006/relationships/image" Target="media/image5.png"/><Relationship Id="rId5" Type="http://schemas.openxmlformats.org/officeDocument/2006/relationships/image" Target="media/image4.png"/><Relationship Id="rId4" Type="http://schemas.openxmlformats.org/officeDocument/2006/relationships/image" Target="media/image3.png"/><Relationship Id="rId3" Type="http://schemas.openxmlformats.org/officeDocument/2006/relationships/image" Target="media/image2.jpeg"/><Relationship Id="rId20" Type="http://schemas.openxmlformats.org/officeDocument/2006/relationships/fontTable" Target="fontTable.xml"/><Relationship Id="rId2" Type="http://schemas.openxmlformats.org/officeDocument/2006/relationships/header" Target="header2.xml"/><Relationship Id="rId19" Type="http://schemas.openxmlformats.org/officeDocument/2006/relationships/styles" Target="styles.xml"/><Relationship Id="rId18" Type="http://schemas.openxmlformats.org/officeDocument/2006/relationships/settings" Target="settings.xml"/><Relationship Id="rId17" Type="http://schemas.openxmlformats.org/officeDocument/2006/relationships/image" Target="media/image15.jpeg"/><Relationship Id="rId16" Type="http://schemas.openxmlformats.org/officeDocument/2006/relationships/image" Target="media/image14.jpeg"/><Relationship Id="rId15" Type="http://schemas.openxmlformats.org/officeDocument/2006/relationships/image" Target="media/image13.jpeg"/><Relationship Id="rId14" Type="http://schemas.openxmlformats.org/officeDocument/2006/relationships/image" Target="media/image12.jpeg"/><Relationship Id="rId13" Type="http://schemas.openxmlformats.org/officeDocument/2006/relationships/image" Target="media/image11.png"/><Relationship Id="rId12" Type="http://schemas.openxmlformats.org/officeDocument/2006/relationships/image" Target="media/image10.jpeg"/><Relationship Id="rId11" Type="http://schemas.openxmlformats.org/officeDocument/2006/relationships/footer" Target="footer1.xml"/><Relationship Id="rId10" Type="http://schemas.openxmlformats.org/officeDocument/2006/relationships/image" Target="media/image9.png"/><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白尚武</dc:creator>
  <dcterms:created xsi:type="dcterms:W3CDTF">2024-04-29T11:02:07Z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2024-05-06T15:10:30</vt:filetime>
  </property>
</Properties>
</file>