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2024年4月15日-2024年4月21日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2024年4月22日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75" w:lineRule="auto"/>
        <w:rPr/>
      </w:pPr>
      <w:r/>
    </w:p>
    <w:p>
      <w:pPr>
        <w:ind w:left="953"/>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1、关于做好科创板上市公司2024年第一季度报告披露工作的重要提醒</w:t>
      </w:r>
    </w:p>
    <w:p>
      <w:pPr>
        <w:pStyle w:val="BodyText"/>
        <w:spacing w:line="267" w:lineRule="auto"/>
        <w:rPr/>
      </w:pPr>
      <w:r/>
    </w:p>
    <w:p>
      <w:pPr>
        <w:ind w:left="1369"/>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各科创板上市公司：</w:t>
      </w:r>
    </w:p>
    <w:p>
      <w:pPr>
        <w:ind w:left="934" w:right="528" w:firstLine="441"/>
        <w:spacing w:before="17" w:line="22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为协助科创板上市公司（以下简称科创公司）做好2024年第一季度报告（以下简称本次季报）披露工作，</w:t>
      </w:r>
      <w:r>
        <w:rPr>
          <w:rFonts w:ascii="Microsoft YaHei" w:hAnsi="Microsoft YaHei" w:eastAsia="Microsoft YaHei" w:cs="Microsoft YaHei"/>
          <w:sz w:val="22"/>
          <w:szCs w:val="22"/>
          <w:spacing w:val="11"/>
        </w:rPr>
        <w:t xml:space="preserve"> </w:t>
      </w:r>
      <w:r>
        <w:rPr>
          <w:rFonts w:ascii="Microsoft YaHei" w:hAnsi="Microsoft YaHei" w:eastAsia="Microsoft YaHei" w:cs="Microsoft YaHei"/>
          <w:sz w:val="22"/>
          <w:szCs w:val="22"/>
          <w:spacing w:val="-6"/>
        </w:rPr>
        <w:t>上海证券交易所（以下简称本所）现就相关事项通知如下。</w:t>
      </w:r>
    </w:p>
    <w:p>
      <w:pPr>
        <w:pStyle w:val="BodyText"/>
        <w:spacing w:line="327" w:lineRule="auto"/>
        <w:rPr/>
      </w:pPr>
      <w:r/>
    </w:p>
    <w:p>
      <w:pPr>
        <w:pStyle w:val="BodyText"/>
        <w:spacing w:line="327" w:lineRule="auto"/>
        <w:rPr/>
      </w:pPr>
      <w:r/>
    </w:p>
    <w:p>
      <w:pPr>
        <w:ind w:left="9710"/>
        <w:spacing w:before="95" w:line="587"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28"/>
        </w:rPr>
        <w:t>科创板公司管理部</w:t>
      </w:r>
    </w:p>
    <w:p>
      <w:pPr>
        <w:ind w:left="9785"/>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2024年04月15日</w:t>
      </w:r>
    </w:p>
    <w:p>
      <w:pPr>
        <w:pStyle w:val="BodyText"/>
        <w:spacing w:line="316" w:lineRule="auto"/>
        <w:rPr/>
      </w:pPr>
      <w:r/>
    </w:p>
    <w:p>
      <w:pPr>
        <w:pStyle w:val="BodyText"/>
        <w:spacing w:line="317" w:lineRule="auto"/>
        <w:rPr/>
      </w:pPr>
      <w:r/>
    </w:p>
    <w:p>
      <w:pPr>
        <w:ind w:firstLine="4812"/>
        <w:spacing w:line="2700" w:lineRule="exact"/>
        <w:rPr/>
      </w:pPr>
      <w:r>
        <w:rPr>
          <w:position w:val="-54"/>
        </w:rPr>
        <w:drawing>
          <wp:inline distT="0" distB="0" distL="0" distR="0">
            <wp:extent cx="1714500" cy="1714500"/>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4500" cy="1714500"/>
                    </a:xfrm>
                    <a:prstGeom prst="rect">
                      <a:avLst/>
                    </a:prstGeom>
                  </pic:spPr>
                </pic:pic>
              </a:graphicData>
            </a:graphic>
          </wp:inline>
        </w:drawing>
      </w:r>
    </w:p>
    <w:p>
      <w:pPr>
        <w:pStyle w:val="BodyText"/>
        <w:spacing w:line="297" w:lineRule="auto"/>
        <w:rPr/>
      </w:pPr>
      <w:r/>
    </w:p>
    <w:p>
      <w:pPr>
        <w:ind w:left="265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关于做好科创板上市公司2024年第一季度报告披露</w:t>
      </w:r>
      <w:r>
        <w:rPr>
          <w:rFonts w:ascii="Microsoft YaHei" w:hAnsi="Microsoft YaHei" w:eastAsia="Microsoft YaHei" w:cs="Microsoft YaHei"/>
          <w:sz w:val="24"/>
          <w:szCs w:val="24"/>
          <w:b/>
          <w:bCs/>
          <w:color w:val="333333"/>
          <w:spacing w:val="-1"/>
        </w:rPr>
        <w:t>工作的重要提醒</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spacing w:before="67" w:line="228" w:lineRule="auto"/>
        <w:outlineLvl w:val="0"/>
        <w:jc w:val="right"/>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2、2024年4月19日证监会要闻——证监会发布《资本市场服务</w:t>
      </w:r>
      <w:r>
        <w:rPr>
          <w:rFonts w:ascii="Microsoft YaHei" w:hAnsi="Microsoft YaHei" w:eastAsia="Microsoft YaHei" w:cs="Microsoft YaHei"/>
          <w:sz w:val="24"/>
          <w:szCs w:val="24"/>
          <w:b/>
          <w:bCs/>
          <w:color w:val="333333"/>
          <w:spacing w:val="-1"/>
        </w:rPr>
        <w:t>科技企业高水平发展的十六项措施》</w:t>
      </w:r>
    </w:p>
    <w:p>
      <w:pPr>
        <w:pStyle w:val="BodyText"/>
        <w:spacing w:line="242" w:lineRule="auto"/>
        <w:rPr/>
      </w:pPr>
      <w:r/>
    </w:p>
    <w:p>
      <w:pPr>
        <w:ind w:right="80" w:firstLine="438"/>
        <w:spacing w:before="94" w:line="216"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近年来，证监会在实施注册制改革过程中坚守初心使命，以支持科技发展为导向带动关键制度创新，支持科</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技创新的监管体系、市场生态逐步形成。为贯彻落实《国务院关于加强监管防范风险推动资本市场高质量发展的</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6"/>
        </w:rPr>
        <w:t>若干意见》，更好服务科技创新，促进新质生产力发展，证监会制定了《资本市场服务科技企业高水平发展的十</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6"/>
        </w:rPr>
        <w:t>六项措施》，从上市融资、并购重组、债券发行、私募投资等全方位提出支持性举措，主要内容包括：</w:t>
      </w:r>
    </w:p>
    <w:p>
      <w:pPr>
        <w:pStyle w:val="BodyText"/>
        <w:spacing w:line="270" w:lineRule="auto"/>
        <w:rPr/>
      </w:pPr>
      <w:r/>
    </w:p>
    <w:p>
      <w:pPr>
        <w:pStyle w:val="BodyText"/>
        <w:spacing w:line="270" w:lineRule="auto"/>
        <w:rPr/>
      </w:pPr>
      <w:r/>
    </w:p>
    <w:p>
      <w:pPr>
        <w:pStyle w:val="BodyText"/>
        <w:spacing w:line="270" w:lineRule="auto"/>
        <w:rPr/>
      </w:pPr>
      <w:r/>
    </w:p>
    <w:p>
      <w:pPr>
        <w:pStyle w:val="BodyText"/>
        <w:spacing w:line="270" w:lineRule="auto"/>
        <w:rPr/>
      </w:pPr>
      <w:r/>
    </w:p>
    <w:p>
      <w:pPr>
        <w:ind w:right="57"/>
        <w:spacing w:before="94" w:line="641"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33"/>
        </w:rPr>
        <w:t>中国证券监督管理委员会</w:t>
      </w:r>
    </w:p>
    <w:p>
      <w:pPr>
        <w:ind w:left="8868"/>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2024年04月19日</w:t>
      </w:r>
    </w:p>
    <w:p>
      <w:pPr>
        <w:pStyle w:val="BodyText"/>
        <w:spacing w:line="262" w:lineRule="auto"/>
        <w:rPr/>
      </w:pPr>
      <w:r/>
    </w:p>
    <w:p>
      <w:pPr>
        <w:pStyle w:val="BodyText"/>
        <w:spacing w:line="263" w:lineRule="auto"/>
        <w:rPr/>
      </w:pPr>
      <w:r/>
    </w:p>
    <w:p>
      <w:pPr>
        <w:ind w:firstLine="3902"/>
        <w:spacing w:line="2691" w:lineRule="exact"/>
        <w:rPr/>
      </w:pPr>
      <w:r>
        <w:rPr>
          <w:position w:val="-53"/>
        </w:rPr>
        <w:drawing>
          <wp:inline distT="0" distB="0" distL="0" distR="0">
            <wp:extent cx="1714499" cy="1708785"/>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4499" cy="1708785"/>
                    </a:xfrm>
                    <a:prstGeom prst="rect">
                      <a:avLst/>
                    </a:prstGeom>
                  </pic:spPr>
                </pic:pic>
              </a:graphicData>
            </a:graphic>
          </wp:inline>
        </w:drawing>
      </w:r>
    </w:p>
    <w:p>
      <w:pPr>
        <w:ind w:left="1902"/>
        <w:spacing w:before="309" w:line="22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证监会发布《资本市场服务科技企业高水平发展的</w:t>
      </w:r>
      <w:r>
        <w:rPr>
          <w:rFonts w:ascii="Microsoft YaHei" w:hAnsi="Microsoft YaHei" w:eastAsia="Microsoft YaHei" w:cs="Microsoft YaHei"/>
          <w:sz w:val="24"/>
          <w:szCs w:val="24"/>
          <w:b/>
          <w:bCs/>
          <w:color w:val="333333"/>
          <w:spacing w:val="-1"/>
        </w:rPr>
        <w:t>十六项措施》</w:t>
      </w:r>
    </w:p>
    <w:p>
      <w:pPr>
        <w:spacing w:line="228" w:lineRule="auto"/>
        <w:sectPr>
          <w:pgSz w:w="11910" w:h="16840"/>
          <w:pgMar w:top="400" w:right="398" w:bottom="0" w:left="931" w:header="0" w:footer="0" w:gutter="0"/>
        </w:sectPr>
        <w:rPr>
          <w:rFonts w:ascii="Microsoft YaHei" w:hAnsi="Microsoft YaHei" w:eastAsia="Microsoft YaHei" w:cs="Microsoft YaHei"/>
          <w:sz w:val="24"/>
          <w:szCs w:val="24"/>
        </w:rPr>
      </w:pPr>
    </w:p>
    <w:p>
      <w:pPr>
        <w:ind w:left="4" w:right="182" w:firstLine="14"/>
        <w:spacing w:before="66" w:line="206"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3、2024年4月19日证监会要闻——证监会制定发</w:t>
      </w:r>
      <w:r>
        <w:rPr>
          <w:rFonts w:ascii="Microsoft YaHei" w:hAnsi="Microsoft YaHei" w:eastAsia="Microsoft YaHei" w:cs="Microsoft YaHei"/>
          <w:sz w:val="24"/>
          <w:szCs w:val="24"/>
          <w:b/>
          <w:bCs/>
          <w:color w:val="333333"/>
          <w:spacing w:val="-1"/>
        </w:rPr>
        <w:t>布《公开募集证券投资基金证券交易费用管理规</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rPr>
        <w:t>定》</w:t>
      </w:r>
    </w:p>
    <w:p>
      <w:pPr>
        <w:ind w:right="98" w:firstLine="442"/>
        <w:spacing w:before="297" w:line="22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为深入贯彻落实《国务院关于加强监管防范风险推动资本市场高质量发展的若干意见》（新“国</w:t>
      </w:r>
      <w:r>
        <w:rPr>
          <w:rFonts w:ascii="Microsoft YaHei" w:hAnsi="Microsoft YaHei" w:eastAsia="Microsoft YaHei" w:cs="Microsoft YaHei"/>
          <w:sz w:val="22"/>
          <w:szCs w:val="22"/>
          <w:spacing w:val="-7"/>
        </w:rPr>
        <w:t>九条”）,  </w:t>
      </w:r>
      <w:r>
        <w:rPr>
          <w:rFonts w:ascii="Microsoft YaHei" w:hAnsi="Microsoft YaHei" w:eastAsia="Microsoft YaHei" w:cs="Microsoft YaHei"/>
          <w:sz w:val="22"/>
          <w:szCs w:val="22"/>
          <w:spacing w:val="-6"/>
        </w:rPr>
        <w:t>进一步加强公开募集证券投资基金（以下简称基金）证券交易费用管理,规范基金管理人证券交易佣金及分配管  </w:t>
      </w:r>
      <w:r>
        <w:rPr>
          <w:rFonts w:ascii="Microsoft YaHei" w:hAnsi="Microsoft YaHei" w:eastAsia="Microsoft YaHei" w:cs="Microsoft YaHei"/>
          <w:sz w:val="22"/>
          <w:szCs w:val="22"/>
          <w:spacing w:val="-6"/>
        </w:rPr>
        <w:t>理,保护基金份额持有人合法权益,提升证券公司机构投资者服务能力,证监会制定发布《公开募集证券投资基金证</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8"/>
        </w:rPr>
        <w:t>券交易费用管理规定》（以下简称《规定》）</w:t>
      </w:r>
      <w:r>
        <w:rPr>
          <w:rFonts w:ascii="Microsoft YaHei" w:hAnsi="Microsoft YaHei" w:eastAsia="Microsoft YaHei" w:cs="Microsoft YaHei"/>
          <w:sz w:val="22"/>
          <w:szCs w:val="22"/>
          <w:spacing w:val="41"/>
        </w:rPr>
        <w:t xml:space="preserve"> </w:t>
      </w:r>
      <w:r>
        <w:rPr>
          <w:rFonts w:ascii="Microsoft YaHei" w:hAnsi="Microsoft YaHei" w:eastAsia="Microsoft YaHei" w:cs="Microsoft YaHei"/>
          <w:sz w:val="22"/>
          <w:szCs w:val="22"/>
          <w:spacing w:val="-8"/>
        </w:rPr>
        <w:t>,自2024年7月1日起正式实施。</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2" w:lineRule="auto"/>
        <w:rPr/>
      </w:pPr>
      <w:r/>
    </w:p>
    <w:p>
      <w:pPr>
        <w:spacing w:before="95"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2"/>
        </w:rPr>
        <w:t>中</w:t>
      </w:r>
      <w:r>
        <w:rPr>
          <w:rFonts w:ascii="Microsoft YaHei" w:hAnsi="Microsoft YaHei" w:eastAsia="Microsoft YaHei" w:cs="Microsoft YaHei"/>
          <w:sz w:val="22"/>
          <w:szCs w:val="22"/>
          <w:spacing w:val="-4"/>
          <w:position w:val="32"/>
        </w:rPr>
        <w:t>国证券监督管理委员</w:t>
      </w:r>
      <w:r>
        <w:rPr>
          <w:rFonts w:ascii="Microsoft YaHei" w:hAnsi="Microsoft YaHei" w:eastAsia="Microsoft YaHei" w:cs="Microsoft YaHei"/>
          <w:sz w:val="22"/>
          <w:szCs w:val="22"/>
          <w:spacing w:val="-3"/>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2024年04月19日</w:t>
      </w:r>
    </w:p>
    <w:p>
      <w:pPr>
        <w:pStyle w:val="BodyText"/>
        <w:spacing w:line="264" w:lineRule="auto"/>
        <w:rPr/>
      </w:pPr>
      <w:r/>
    </w:p>
    <w:p>
      <w:pPr>
        <w:pStyle w:val="BodyText"/>
        <w:spacing w:line="264" w:lineRule="auto"/>
        <w:rPr/>
      </w:pPr>
      <w:r/>
    </w:p>
    <w:p>
      <w:pPr>
        <w:ind w:firstLine="3903"/>
        <w:spacing w:line="2691" w:lineRule="exact"/>
        <w:rPr/>
      </w:pPr>
      <w:r>
        <w:rPr>
          <w:position w:val="-53"/>
        </w:rPr>
        <w:drawing>
          <wp:inline distT="0" distB="0" distL="0" distR="0">
            <wp:extent cx="1714499" cy="1709165"/>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14499" cy="1709165"/>
                    </a:xfrm>
                    <a:prstGeom prst="rect">
                      <a:avLst/>
                    </a:prstGeom>
                  </pic:spPr>
                </pic:pic>
              </a:graphicData>
            </a:graphic>
          </wp:inline>
        </w:drawing>
      </w:r>
    </w:p>
    <w:p>
      <w:pPr>
        <w:ind w:left="1783"/>
        <w:spacing w:before="308" w:line="22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证监会制定发布《公开募集证券投资基金证券交易费</w:t>
      </w:r>
      <w:r>
        <w:rPr>
          <w:rFonts w:ascii="Microsoft YaHei" w:hAnsi="Microsoft YaHei" w:eastAsia="Microsoft YaHei" w:cs="Microsoft YaHei"/>
          <w:sz w:val="24"/>
          <w:szCs w:val="24"/>
          <w:b/>
          <w:bCs/>
          <w:color w:val="333333"/>
          <w:spacing w:val="-1"/>
        </w:rPr>
        <w:t>用管理规定》</w:t>
      </w:r>
    </w:p>
    <w:p>
      <w:pPr>
        <w:spacing w:line="228" w:lineRule="auto"/>
        <w:sectPr>
          <w:pgSz w:w="11910" w:h="16840"/>
          <w:pgMar w:top="400" w:right="454" w:bottom="0" w:left="930" w:header="0" w:footer="0" w:gutter="0"/>
        </w:sectPr>
        <w:rPr>
          <w:rFonts w:ascii="Microsoft YaHei" w:hAnsi="Microsoft YaHei" w:eastAsia="Microsoft YaHei" w:cs="Microsoft YaHei"/>
          <w:sz w:val="24"/>
          <w:szCs w:val="24"/>
        </w:rPr>
      </w:pPr>
    </w:p>
    <w:p>
      <w:pPr>
        <w:ind w:left="2"/>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4、2024年4月19日证监会要闻——中国证监会发布5项资本市场对</w:t>
      </w:r>
      <w:r>
        <w:rPr>
          <w:rFonts w:ascii="Microsoft YaHei" w:hAnsi="Microsoft YaHei" w:eastAsia="Microsoft YaHei" w:cs="Microsoft YaHei"/>
          <w:sz w:val="24"/>
          <w:szCs w:val="24"/>
          <w:b/>
          <w:bCs/>
          <w:color w:val="333333"/>
          <w:spacing w:val="-1"/>
        </w:rPr>
        <w:t>港合作措施</w:t>
      </w:r>
    </w:p>
    <w:p>
      <w:pPr>
        <w:pStyle w:val="BodyText"/>
        <w:spacing w:line="268" w:lineRule="auto"/>
        <w:rPr/>
      </w:pPr>
      <w:r/>
    </w:p>
    <w:p>
      <w:pPr>
        <w:ind w:right="1" w:firstLine="451"/>
        <w:spacing w:before="94" w:line="21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中央政府完全支持香港长期保持独特地位和优势，习近平总书记在不同场合多次</w:t>
      </w:r>
      <w:r>
        <w:rPr>
          <w:rFonts w:ascii="Microsoft YaHei" w:hAnsi="Microsoft YaHei" w:eastAsia="Microsoft YaHei" w:cs="Microsoft YaHei"/>
          <w:sz w:val="22"/>
          <w:szCs w:val="22"/>
          <w:spacing w:val="-7"/>
        </w:rPr>
        <w:t>明确指出要巩固提升香港国</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际金融中心地位。2024年4月12日，国务院发布《关于加强</w:t>
      </w:r>
      <w:r>
        <w:rPr>
          <w:rFonts w:ascii="Microsoft YaHei" w:hAnsi="Microsoft YaHei" w:eastAsia="Microsoft YaHei" w:cs="Microsoft YaHei"/>
          <w:sz w:val="22"/>
          <w:szCs w:val="22"/>
          <w:spacing w:val="-6"/>
        </w:rPr>
        <w:t>监管防范风险推动资本市场高质量发展的若干意见》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（《若干意见》</w:t>
      </w:r>
      <w:r>
        <w:rPr>
          <w:rFonts w:ascii="Microsoft YaHei" w:hAnsi="Microsoft YaHei" w:eastAsia="Microsoft YaHei" w:cs="Microsoft YaHei"/>
          <w:sz w:val="22"/>
          <w:szCs w:val="22"/>
        </w:rPr>
        <w:t>）</w:t>
      </w:r>
      <w:r>
        <w:rPr>
          <w:rFonts w:ascii="Microsoft YaHei" w:hAnsi="Microsoft YaHei" w:eastAsia="Microsoft YaHei" w:cs="Microsoft YaHei"/>
          <w:sz w:val="22"/>
          <w:szCs w:val="22"/>
          <w:spacing w:val="29"/>
        </w:rPr>
        <w:t xml:space="preserve"> </w:t>
      </w:r>
      <w:r>
        <w:rPr>
          <w:rFonts w:ascii="Microsoft YaHei" w:hAnsi="Microsoft YaHei" w:eastAsia="Microsoft YaHei" w:cs="Microsoft YaHei"/>
          <w:sz w:val="22"/>
          <w:szCs w:val="22"/>
        </w:rPr>
        <w:t>，</w:t>
      </w:r>
      <w:r>
        <w:rPr>
          <w:rFonts w:ascii="Microsoft YaHei" w:hAnsi="Microsoft YaHei" w:eastAsia="Microsoft YaHei" w:cs="Microsoft YaHei"/>
          <w:sz w:val="22"/>
          <w:szCs w:val="22"/>
          <w:spacing w:val="-8"/>
        </w:rPr>
        <w:t>《若干意见》作出坚持统筹资本市场高水平制度型开放和安全，拓展</w:t>
      </w:r>
      <w:r>
        <w:rPr>
          <w:rFonts w:ascii="Microsoft YaHei" w:hAnsi="Microsoft YaHei" w:eastAsia="Microsoft YaHei" w:cs="Microsoft YaHei"/>
          <w:sz w:val="22"/>
          <w:szCs w:val="22"/>
          <w:spacing w:val="-9"/>
        </w:rPr>
        <w:t>优化资本市场跨境互联</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互通机制等部署。中国证监会坚决贯彻落实习近平总书记重要指示精神，为配合《若干意见》实施，近期在广泛</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深入调研和听取意见的基础上，将与香港方面深化合作，采取以下5项措施来进一步拓展优化沪深港通机制、助</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力香港巩固提升国际金融中心地位，共同促进两地资本市场协同发展。</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4"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2"/>
        </w:rPr>
        <w:t>中</w:t>
      </w:r>
      <w:r>
        <w:rPr>
          <w:rFonts w:ascii="Microsoft YaHei" w:hAnsi="Microsoft YaHei" w:eastAsia="Microsoft YaHei" w:cs="Microsoft YaHei"/>
          <w:sz w:val="22"/>
          <w:szCs w:val="22"/>
          <w:spacing w:val="-4"/>
          <w:position w:val="32"/>
        </w:rPr>
        <w:t>国证券监督管理委员</w:t>
      </w:r>
      <w:r>
        <w:rPr>
          <w:rFonts w:ascii="Microsoft YaHei" w:hAnsi="Microsoft YaHei" w:eastAsia="Microsoft YaHei" w:cs="Microsoft YaHei"/>
          <w:sz w:val="22"/>
          <w:szCs w:val="22"/>
          <w:spacing w:val="-3"/>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2024年04月19日</w:t>
      </w:r>
    </w:p>
    <w:p>
      <w:pPr>
        <w:pStyle w:val="BodyText"/>
        <w:spacing w:line="242" w:lineRule="auto"/>
        <w:rPr/>
      </w:pPr>
      <w:r/>
    </w:p>
    <w:p>
      <w:pPr>
        <w:ind w:firstLine="3901"/>
        <w:spacing w:line="2689" w:lineRule="exact"/>
        <w:rPr/>
      </w:pPr>
      <w:r>
        <w:rPr>
          <w:position w:val="-53"/>
        </w:rPr>
        <w:drawing>
          <wp:inline distT="0" distB="0" distL="0" distR="0">
            <wp:extent cx="1714499" cy="1707515"/>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14499" cy="1707515"/>
                    </a:xfrm>
                    <a:prstGeom prst="rect">
                      <a:avLst/>
                    </a:prstGeom>
                  </pic:spPr>
                </pic:pic>
              </a:graphicData>
            </a:graphic>
          </wp:inline>
        </w:drawing>
      </w:r>
    </w:p>
    <w:p>
      <w:pPr>
        <w:pStyle w:val="BodyText"/>
        <w:spacing w:line="253" w:lineRule="auto"/>
        <w:rPr/>
      </w:pPr>
      <w:r/>
    </w:p>
    <w:p>
      <w:pPr>
        <w:ind w:left="303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中国证监会发布5项资本市场对港合作措施</w:t>
      </w:r>
    </w:p>
    <w:p>
      <w:pPr>
        <w:spacing w:line="183" w:lineRule="auto"/>
        <w:sectPr>
          <w:pgSz w:w="11910" w:h="16840"/>
          <w:pgMar w:top="400" w:right="454" w:bottom="0" w:left="932" w:header="0" w:footer="0" w:gutter="0"/>
        </w:sectPr>
        <w:rPr>
          <w:rFonts w:ascii="Microsoft YaHei" w:hAnsi="Microsoft YaHei" w:eastAsia="Microsoft YaHei" w:cs="Microsoft YaHei"/>
          <w:sz w:val="24"/>
          <w:szCs w:val="24"/>
        </w:rPr>
      </w:pPr>
    </w:p>
    <w:p>
      <w:pPr>
        <w:ind w:left="12" w:right="182" w:firstLine="7"/>
        <w:spacing w:before="67" w:line="197"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5、关于就修订《深圳证券交易所深港通业务实施办法（</w:t>
      </w:r>
      <w:r>
        <w:rPr>
          <w:rFonts w:ascii="Microsoft YaHei" w:hAnsi="Microsoft YaHei" w:eastAsia="Microsoft YaHei" w:cs="Microsoft YaHei"/>
          <w:sz w:val="24"/>
          <w:szCs w:val="24"/>
          <w:b/>
          <w:bCs/>
          <w:color w:val="333333"/>
          <w:spacing w:val="-1"/>
        </w:rPr>
        <w:t>2024年修订征求意见稿）》公开征求意见</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5"/>
        </w:rPr>
        <w:t>的通知</w:t>
      </w:r>
    </w:p>
    <w:p>
      <w:pPr>
        <w:pStyle w:val="BodyText"/>
        <w:spacing w:line="272" w:lineRule="auto"/>
        <w:rPr/>
      </w:pPr>
      <w:r/>
    </w:p>
    <w:p>
      <w:pPr>
        <w:ind w:left="435"/>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pStyle w:val="BodyText"/>
        <w:spacing w:line="286" w:lineRule="auto"/>
        <w:rPr/>
      </w:pPr>
      <w:r/>
    </w:p>
    <w:p>
      <w:pPr>
        <w:ind w:right="24" w:firstLine="441"/>
        <w:spacing w:before="94" w:line="21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为持续优化内地与香港市场互联互通机制，进一步扩大深港通标的范围，按照中国证监会统一部署，本</w:t>
      </w:r>
      <w:r>
        <w:rPr>
          <w:rFonts w:ascii="Microsoft YaHei" w:hAnsi="Microsoft YaHei" w:eastAsia="Microsoft YaHei" w:cs="Microsoft YaHei"/>
          <w:sz w:val="22"/>
          <w:szCs w:val="22"/>
          <w:spacing w:val="-7"/>
        </w:rPr>
        <w:t>所拟</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对《深圳证券交易所深港通业务实施办法》进行修订，现向社会公开征求意见。</w:t>
      </w:r>
    </w:p>
    <w:p>
      <w:pPr>
        <w:ind w:left="436"/>
        <w:spacing w:before="316" w:line="21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有关意见或建议请以电子邮件形式于2024年5月5日前反馈</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5"/>
        </w:rPr>
        <w:t>，电子邮箱：hyg</w:t>
      </w:r>
      <w:r>
        <w:rPr>
          <w:rFonts w:ascii="Microsoft YaHei" w:hAnsi="Microsoft YaHei" w:eastAsia="Microsoft YaHei" w:cs="Microsoft YaHei"/>
          <w:sz w:val="22"/>
          <w:szCs w:val="22"/>
          <w:spacing w:val="-6"/>
        </w:rPr>
        <w:t>lb@szse.cn。</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4"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2024年04月19日</w:t>
      </w:r>
    </w:p>
    <w:p>
      <w:pPr>
        <w:pStyle w:val="BodyText"/>
        <w:spacing w:line="242" w:lineRule="auto"/>
        <w:rPr/>
      </w:pPr>
      <w:r/>
    </w:p>
    <w:p>
      <w:pPr>
        <w:ind w:firstLine="3901"/>
        <w:spacing w:line="2692" w:lineRule="exact"/>
        <w:rPr/>
      </w:pPr>
      <w:r>
        <w:rPr>
          <w:position w:val="-53"/>
        </w:rPr>
        <w:drawing>
          <wp:inline distT="0" distB="0" distL="0" distR="0">
            <wp:extent cx="1714499" cy="1709165"/>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4499" cy="1709165"/>
                    </a:xfrm>
                    <a:prstGeom prst="rect">
                      <a:avLst/>
                    </a:prstGeom>
                  </pic:spPr>
                </pic:pic>
              </a:graphicData>
            </a:graphic>
          </wp:inline>
        </w:drawing>
      </w:r>
    </w:p>
    <w:p>
      <w:pPr>
        <w:ind w:left="5139" w:right="50" w:hanging="5093"/>
        <w:spacing w:before="304" w:line="19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关于就修订《深圳证券交易所深港通业务实施办法（2024年修订征求意见稿）》公</w:t>
      </w:r>
      <w:r>
        <w:rPr>
          <w:rFonts w:ascii="Microsoft YaHei" w:hAnsi="Microsoft YaHei" w:eastAsia="Microsoft YaHei" w:cs="Microsoft YaHei"/>
          <w:sz w:val="24"/>
          <w:szCs w:val="24"/>
          <w:b/>
          <w:bCs/>
          <w:color w:val="333333"/>
          <w:spacing w:val="-1"/>
        </w:rPr>
        <w:t>开征求意见的通</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rPr>
        <w:t>知</w:t>
      </w:r>
    </w:p>
    <w:p>
      <w:pPr>
        <w:spacing w:line="198" w:lineRule="auto"/>
        <w:sectPr>
          <w:pgSz w:w="11910" w:h="16840"/>
          <w:pgMar w:top="400" w:right="454" w:bottom="0" w:left="931" w:header="0" w:footer="0" w:gutter="0"/>
        </w:sectPr>
        <w:rPr>
          <w:rFonts w:ascii="Microsoft YaHei" w:hAnsi="Microsoft YaHei" w:eastAsia="Microsoft YaHei" w:cs="Microsoft YaHei"/>
          <w:sz w:val="24"/>
          <w:szCs w:val="24"/>
        </w:rPr>
      </w:pPr>
    </w:p>
    <w:p>
      <w:pPr>
        <w:ind w:left="9"/>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6、关于就《上海证券交易所沪港通业务实施办法（征求</w:t>
      </w:r>
      <w:r>
        <w:rPr>
          <w:rFonts w:ascii="Microsoft YaHei" w:hAnsi="Microsoft YaHei" w:eastAsia="Microsoft YaHei" w:cs="Microsoft YaHei"/>
          <w:sz w:val="24"/>
          <w:szCs w:val="24"/>
          <w:b/>
          <w:bCs/>
          <w:color w:val="333333"/>
          <w:spacing w:val="-1"/>
        </w:rPr>
        <w:t>意见稿）》公开征求意见的通知</w:t>
      </w:r>
    </w:p>
    <w:p>
      <w:pPr>
        <w:pStyle w:val="BodyText"/>
        <w:spacing w:line="248" w:lineRule="auto"/>
        <w:rPr/>
      </w:pPr>
      <w:r/>
    </w:p>
    <w:p>
      <w:pPr>
        <w:ind w:right="24" w:firstLine="441"/>
        <w:spacing w:before="94" w:line="21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为了持续优化内地与香港市场互联互通机制，进一步扩大沪港通标的范围，按照中国证监会统一部署，</w:t>
      </w:r>
      <w:r>
        <w:rPr>
          <w:rFonts w:ascii="Microsoft YaHei" w:hAnsi="Microsoft YaHei" w:eastAsia="Microsoft YaHei" w:cs="Microsoft YaHei"/>
          <w:sz w:val="22"/>
          <w:szCs w:val="22"/>
          <w:spacing w:val="-7"/>
        </w:rPr>
        <w:t>上海</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证券交易所（以下简称本所）拟对《上海证券交易所沪港通业务实施办法》相关条款进行修订，形成了《上海证</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券交易所沪港通业务实施办法（征求意见稿）》（详见附件）。现向社会公开征求意见，意见反馈截止时间为    </w:t>
      </w:r>
      <w:r>
        <w:rPr>
          <w:rFonts w:ascii="Microsoft YaHei" w:hAnsi="Microsoft YaHei" w:eastAsia="Microsoft YaHei" w:cs="Microsoft YaHei"/>
          <w:sz w:val="22"/>
          <w:szCs w:val="22"/>
          <w:spacing w:val="-4"/>
        </w:rPr>
        <w:t>2024年5月5日。</w:t>
      </w:r>
    </w:p>
    <w:p>
      <w:pPr>
        <w:pStyle w:val="BodyText"/>
        <w:spacing w:line="245" w:lineRule="auto"/>
        <w:rPr/>
      </w:pPr>
      <w:r/>
    </w:p>
    <w:p>
      <w:pPr>
        <w:ind w:right="24" w:firstLine="435"/>
        <w:spacing w:before="95" w:line="217"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有关意见或建议可通过下列两种方式提出：一是登录本所官方网站（http://www.sse.com.cn</w:t>
      </w:r>
      <w:r>
        <w:rPr>
          <w:rFonts w:ascii="Microsoft YaHei" w:hAnsi="Microsoft YaHei" w:eastAsia="Microsoft YaHei" w:cs="Microsoft YaHei"/>
          <w:sz w:val="22"/>
          <w:szCs w:val="22"/>
          <w:spacing w:val="53"/>
        </w:rPr>
        <w:t xml:space="preserve"> </w:t>
      </w:r>
      <w:r>
        <w:rPr>
          <w:rFonts w:ascii="Microsoft YaHei" w:hAnsi="Microsoft YaHei" w:eastAsia="Microsoft YaHei" w:cs="Microsoft YaHei"/>
          <w:sz w:val="22"/>
          <w:szCs w:val="22"/>
          <w:spacing w:val="-7"/>
        </w:rPr>
        <w:t>），</w:t>
      </w:r>
      <w:r>
        <w:rPr>
          <w:rFonts w:ascii="Microsoft YaHei" w:hAnsi="Microsoft YaHei" w:eastAsia="Microsoft YaHei" w:cs="Microsoft YaHei"/>
          <w:sz w:val="22"/>
          <w:szCs w:val="22"/>
          <w:spacing w:val="-5"/>
        </w:rPr>
        <w:t>进入“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规则”栏目下的“公开征求意见”专栏提出；二是以书面形式反馈至本所，通信地址：上海市浦东新区杨高南路</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5"/>
        </w:rPr>
        <w:t>388号上海证券交易所国际合作部，邮政编码：200127。</w:t>
      </w:r>
    </w:p>
    <w:p>
      <w:pPr>
        <w:pStyle w:val="BodyText"/>
        <w:spacing w:line="287" w:lineRule="auto"/>
        <w:rPr/>
      </w:pPr>
      <w:r/>
    </w:p>
    <w:p>
      <w:pPr>
        <w:ind w:left="434"/>
        <w:spacing w:before="9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pStyle w:val="BodyText"/>
        <w:spacing w:line="280" w:lineRule="auto"/>
        <w:rPr/>
      </w:pPr>
      <w:r/>
    </w:p>
    <w:p>
      <w:pPr>
        <w:pStyle w:val="BodyText"/>
        <w:spacing w:line="280" w:lineRule="auto"/>
        <w:rPr/>
      </w:pPr>
      <w:r/>
    </w:p>
    <w:p>
      <w:pPr>
        <w:pStyle w:val="BodyText"/>
        <w:spacing w:line="280" w:lineRule="auto"/>
        <w:rPr/>
      </w:pPr>
      <w:r/>
    </w:p>
    <w:p>
      <w:pPr>
        <w:spacing w:before="95"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3"/>
        </w:rPr>
        <w:t>上海证券交易所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2024年04月19日</w:t>
      </w:r>
    </w:p>
    <w:p>
      <w:pPr>
        <w:pStyle w:val="BodyText"/>
        <w:spacing w:line="301" w:lineRule="auto"/>
        <w:rPr/>
      </w:pPr>
      <w:r/>
    </w:p>
    <w:p>
      <w:pPr>
        <w:pStyle w:val="BodyText"/>
        <w:spacing w:line="302" w:lineRule="auto"/>
        <w:rPr/>
      </w:pPr>
      <w:r/>
    </w:p>
    <w:p>
      <w:pPr>
        <w:pStyle w:val="BodyText"/>
        <w:spacing w:line="302" w:lineRule="auto"/>
        <w:rPr/>
      </w:pPr>
      <w:r/>
    </w:p>
    <w:p>
      <w:pPr>
        <w:ind w:firstLine="3901"/>
        <w:spacing w:line="2696" w:lineRule="exact"/>
        <w:rPr/>
      </w:pPr>
      <w:r>
        <w:rPr>
          <w:position w:val="-53"/>
        </w:rPr>
        <w:drawing>
          <wp:inline distT="0" distB="0" distL="0" distR="0">
            <wp:extent cx="1714499" cy="1712086"/>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714499" cy="1712086"/>
                    </a:xfrm>
                    <a:prstGeom prst="rect">
                      <a:avLst/>
                    </a:prstGeom>
                  </pic:spPr>
                </pic:pic>
              </a:graphicData>
            </a:graphic>
          </wp:inline>
        </w:drawing>
      </w:r>
    </w:p>
    <w:p>
      <w:pPr>
        <w:ind w:left="821"/>
        <w:spacing w:before="30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关于就《上海证券交易所沪港通业务实施办法（征求意见稿）》公开征求</w:t>
      </w:r>
      <w:r>
        <w:rPr>
          <w:rFonts w:ascii="Microsoft YaHei" w:hAnsi="Microsoft YaHei" w:eastAsia="Microsoft YaHei" w:cs="Microsoft YaHei"/>
          <w:sz w:val="24"/>
          <w:szCs w:val="24"/>
          <w:b/>
          <w:bCs/>
          <w:color w:val="333333"/>
          <w:spacing w:val="-1"/>
        </w:rPr>
        <w:t>意见的通知</w:t>
      </w:r>
    </w:p>
    <w:p>
      <w:pPr>
        <w:spacing w:line="225" w:lineRule="auto"/>
        <w:sectPr>
          <w:pgSz w:w="11910" w:h="16840"/>
          <w:pgMar w:top="400" w:right="454" w:bottom="0" w:left="931" w:header="0" w:footer="0" w:gutter="0"/>
        </w:sectPr>
        <w:rPr>
          <w:rFonts w:ascii="Microsoft YaHei" w:hAnsi="Microsoft YaHei" w:eastAsia="Microsoft YaHei" w:cs="Microsoft YaHei"/>
          <w:sz w:val="24"/>
          <w:szCs w:val="24"/>
        </w:rPr>
      </w:pPr>
    </w:p>
    <w:p>
      <w:pPr>
        <w:pStyle w:val="BodyText"/>
        <w:spacing w:line="252" w:lineRule="auto"/>
        <w:rPr/>
      </w:pPr>
      <w:r/>
    </w:p>
    <w:p>
      <w:pPr>
        <w:ind w:left="33" w:right="60" w:hanging="25"/>
        <w:spacing w:before="103" w:line="18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7、中国证券登记结算有限责任公司北京分公司股票向不特定合格投资者</w:t>
      </w:r>
      <w:r>
        <w:rPr>
          <w:rFonts w:ascii="Microsoft YaHei" w:hAnsi="Microsoft YaHei" w:eastAsia="Microsoft YaHei" w:cs="Microsoft YaHei"/>
          <w:sz w:val="24"/>
          <w:szCs w:val="24"/>
          <w:b/>
          <w:bCs/>
          <w:color w:val="333333"/>
          <w:spacing w:val="-1"/>
        </w:rPr>
        <w:t>公开发行登记结算业务指南</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5"/>
        </w:rPr>
        <w:t>（2024年修订）</w:t>
      </w:r>
    </w:p>
    <w:p>
      <w:pPr>
        <w:pStyle w:val="BodyText"/>
        <w:spacing w:line="250" w:lineRule="auto"/>
        <w:rPr/>
      </w:pPr>
      <w:r/>
    </w:p>
    <w:p>
      <w:pPr>
        <w:ind w:left="434"/>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各市场参与主体：</w:t>
      </w:r>
    </w:p>
    <w:p>
      <w:pPr>
        <w:pStyle w:val="BodyText"/>
        <w:spacing w:line="246" w:lineRule="auto"/>
        <w:rPr/>
      </w:pPr>
      <w:r/>
    </w:p>
    <w:p>
      <w:pPr>
        <w:ind w:right="21" w:firstLine="441"/>
        <w:spacing w:before="95" w:line="22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为贯彻落实中国证监会关于高质量建设北京证券交易所（以下简称“北交所</w:t>
      </w:r>
      <w:r>
        <w:rPr>
          <w:rFonts w:ascii="Microsoft YaHei" w:hAnsi="Microsoft YaHei" w:eastAsia="Microsoft YaHei" w:cs="Microsoft YaHei"/>
          <w:sz w:val="22"/>
          <w:szCs w:val="22"/>
          <w:spacing w:val="-7"/>
        </w:rPr>
        <w:t>”</w:t>
      </w:r>
      <w:r>
        <w:rPr>
          <w:rFonts w:ascii="Microsoft YaHei" w:hAnsi="Microsoft YaHei" w:eastAsia="Microsoft YaHei" w:cs="Microsoft YaHei"/>
          <w:sz w:val="22"/>
          <w:szCs w:val="22"/>
          <w:spacing w:val="-48"/>
        </w:rPr>
        <w:t xml:space="preserve"> </w:t>
      </w:r>
      <w:r>
        <w:rPr>
          <w:rFonts w:ascii="Microsoft YaHei" w:hAnsi="Microsoft YaHei" w:eastAsia="Microsoft YaHei" w:cs="Microsoft YaHei"/>
          <w:sz w:val="22"/>
          <w:szCs w:val="22"/>
          <w:spacing w:val="-7"/>
        </w:rPr>
        <w:t>）的工作部署，做好北交所启</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用独立代码号段所涉登记结算业务安排，本公司对《中国证券登记结算有限责任公司北京分公司股票向不特定合</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格投资者公开发行登记结算业务指南》《中国证券登记结算有限责任公司北京分公司北京证券交易所股票登记结</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算业务指南》进行了修订。本次修订主要内容如下。</w:t>
      </w:r>
    </w:p>
    <w:p>
      <w:pPr>
        <w:pStyle w:val="BodyText"/>
        <w:spacing w:line="261" w:lineRule="auto"/>
        <w:rPr/>
      </w:pPr>
      <w:r/>
    </w:p>
    <w:p>
      <w:pPr>
        <w:spacing w:before="94" w:line="672"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position w:val="35"/>
        </w:rPr>
        <w:t>中国结算北京分公司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306" w:lineRule="auto"/>
        <w:rPr/>
      </w:pPr>
      <w:r/>
    </w:p>
    <w:p>
      <w:pPr>
        <w:pStyle w:val="BodyText"/>
        <w:spacing w:line="306" w:lineRule="auto"/>
        <w:rPr/>
      </w:pPr>
      <w:r/>
    </w:p>
    <w:p>
      <w:pPr>
        <w:pStyle w:val="BodyText"/>
        <w:spacing w:line="307" w:lineRule="auto"/>
        <w:rPr/>
      </w:pPr>
      <w:r/>
    </w:p>
    <w:p>
      <w:pPr>
        <w:ind w:firstLine="3901"/>
        <w:spacing w:line="2689" w:lineRule="exact"/>
        <w:rPr/>
      </w:pPr>
      <w:r>
        <w:rPr>
          <w:position w:val="-53"/>
        </w:rPr>
        <w:drawing>
          <wp:inline distT="0" distB="0" distL="0" distR="0">
            <wp:extent cx="1714499" cy="1707515"/>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1714499" cy="1707515"/>
                    </a:xfrm>
                    <a:prstGeom prst="rect">
                      <a:avLst/>
                    </a:prstGeom>
                  </pic:spPr>
                </pic:pic>
              </a:graphicData>
            </a:graphic>
          </wp:inline>
        </w:drawing>
      </w:r>
    </w:p>
    <w:p>
      <w:pPr>
        <w:ind w:left="37"/>
        <w:spacing w:before="310"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中国证券登记结算有限责任公司北京分公司股票向不特定合格投</w:t>
      </w:r>
      <w:r>
        <w:rPr>
          <w:rFonts w:ascii="Microsoft YaHei" w:hAnsi="Microsoft YaHei" w:eastAsia="Microsoft YaHei" w:cs="Microsoft YaHei"/>
          <w:sz w:val="24"/>
          <w:szCs w:val="24"/>
          <w:b/>
          <w:bCs/>
          <w:color w:val="333333"/>
          <w:spacing w:val="-1"/>
        </w:rPr>
        <w:t>资者公开发行登记结算业务指南（2</w:t>
      </w:r>
    </w:p>
    <w:p>
      <w:pPr>
        <w:ind w:left="4566"/>
        <w:spacing w:before="1" w:line="22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024年修订）</w:t>
      </w:r>
    </w:p>
    <w:p>
      <w:pPr>
        <w:spacing w:line="223" w:lineRule="auto"/>
        <w:sectPr>
          <w:pgSz w:w="11910" w:h="16840"/>
          <w:pgMar w:top="400" w:right="452" w:bottom="0" w:left="931" w:header="0" w:footer="0" w:gutter="0"/>
        </w:sectPr>
        <w:rPr>
          <w:rFonts w:ascii="Microsoft YaHei" w:hAnsi="Microsoft YaHei" w:eastAsia="Microsoft YaHei" w:cs="Microsoft YaHei"/>
          <w:sz w:val="24"/>
          <w:szCs w:val="24"/>
        </w:rPr>
      </w:pPr>
    </w:p>
    <w:p>
      <w:pPr>
        <w:ind w:left="1" w:right="187" w:firstLine="5"/>
        <w:spacing w:before="308" w:line="20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8、中国证券登记结算有限责任公司北京分公司北京证券交易所股票登记结算业</w:t>
      </w:r>
      <w:r>
        <w:rPr>
          <w:rFonts w:ascii="Microsoft YaHei" w:hAnsi="Microsoft YaHei" w:eastAsia="Microsoft YaHei" w:cs="Microsoft YaHei"/>
          <w:sz w:val="24"/>
          <w:szCs w:val="24"/>
          <w:b/>
          <w:bCs/>
          <w:color w:val="333333"/>
          <w:spacing w:val="-1"/>
        </w:rPr>
        <w:t>务指南（2024年修</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3"/>
        </w:rPr>
        <w:t>订）</w:t>
      </w:r>
    </w:p>
    <w:p>
      <w:pPr>
        <w:pStyle w:val="BodyText"/>
        <w:spacing w:line="250" w:lineRule="auto"/>
        <w:rPr/>
      </w:pPr>
      <w:r/>
    </w:p>
    <w:p>
      <w:pPr>
        <w:ind w:left="434"/>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各市场参与主体：</w:t>
      </w:r>
    </w:p>
    <w:p>
      <w:pPr>
        <w:pStyle w:val="BodyText"/>
        <w:spacing w:line="246" w:lineRule="auto"/>
        <w:rPr/>
      </w:pPr>
      <w:r/>
    </w:p>
    <w:p>
      <w:pPr>
        <w:ind w:right="21" w:firstLine="441"/>
        <w:spacing w:before="95" w:line="22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为贯彻落实中国证监会关于高质量建设北京证券交易所（以下简称“北交所</w:t>
      </w:r>
      <w:r>
        <w:rPr>
          <w:rFonts w:ascii="Microsoft YaHei" w:hAnsi="Microsoft YaHei" w:eastAsia="Microsoft YaHei" w:cs="Microsoft YaHei"/>
          <w:sz w:val="22"/>
          <w:szCs w:val="22"/>
          <w:spacing w:val="-7"/>
        </w:rPr>
        <w:t>”</w:t>
      </w:r>
      <w:r>
        <w:rPr>
          <w:rFonts w:ascii="Microsoft YaHei" w:hAnsi="Microsoft YaHei" w:eastAsia="Microsoft YaHei" w:cs="Microsoft YaHei"/>
          <w:sz w:val="22"/>
          <w:szCs w:val="22"/>
          <w:spacing w:val="-48"/>
        </w:rPr>
        <w:t xml:space="preserve"> </w:t>
      </w:r>
      <w:r>
        <w:rPr>
          <w:rFonts w:ascii="Microsoft YaHei" w:hAnsi="Microsoft YaHei" w:eastAsia="Microsoft YaHei" w:cs="Microsoft YaHei"/>
          <w:sz w:val="22"/>
          <w:szCs w:val="22"/>
          <w:spacing w:val="-7"/>
        </w:rPr>
        <w:t>）的工作部署，做好北交所启</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用独立代码号段所涉登记结算业务安排，本公司对《中国证券登记结算有限责任公司北京分公司股票向不特定合</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格投资者公开发行登记结算业务指南》《中国证券登记结算有限责任公司北京分公司北京证券交易所股票登记结</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算业务指南》进行了修订。本次修订主要内容如下。</w:t>
      </w:r>
    </w:p>
    <w:p>
      <w:pPr>
        <w:pStyle w:val="BodyText"/>
        <w:spacing w:line="309" w:lineRule="auto"/>
        <w:rPr/>
      </w:pPr>
      <w:r/>
    </w:p>
    <w:p>
      <w:pPr>
        <w:pStyle w:val="BodyText"/>
        <w:spacing w:line="310" w:lineRule="auto"/>
        <w:rPr/>
      </w:pPr>
      <w:r/>
    </w:p>
    <w:p>
      <w:pPr>
        <w:pStyle w:val="BodyText"/>
        <w:spacing w:line="310" w:lineRule="auto"/>
        <w:rPr/>
      </w:pPr>
      <w:r/>
    </w:p>
    <w:p>
      <w:pPr>
        <w:spacing w:before="94" w:line="672"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position w:val="35"/>
        </w:rPr>
        <w:t>中国结算北京分公司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firstLine="4120"/>
        <w:spacing w:line="2700" w:lineRule="exact"/>
        <w:rPr/>
      </w:pPr>
      <w:r>
        <w:rPr>
          <w:position w:val="-54"/>
        </w:rPr>
        <w:drawing>
          <wp:inline distT="0" distB="0" distL="0" distR="0">
            <wp:extent cx="1714500" cy="1714500"/>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714500" cy="1714500"/>
                    </a:xfrm>
                    <a:prstGeom prst="rect">
                      <a:avLst/>
                    </a:prstGeom>
                  </pic:spPr>
                </pic:pic>
              </a:graphicData>
            </a:graphic>
          </wp:inline>
        </w:drawing>
      </w:r>
    </w:p>
    <w:p>
      <w:pPr>
        <w:ind w:left="11"/>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中国证券登记结算有限责任公司北京分公司北京证券交易所股票登记</w:t>
      </w:r>
      <w:r>
        <w:rPr>
          <w:rFonts w:ascii="Microsoft YaHei" w:hAnsi="Microsoft YaHei" w:eastAsia="Microsoft YaHei" w:cs="Microsoft YaHei"/>
          <w:sz w:val="24"/>
          <w:szCs w:val="24"/>
          <w:b/>
          <w:bCs/>
          <w:color w:val="333333"/>
          <w:spacing w:val="-1"/>
        </w:rPr>
        <w:t>结算业务指南（2024年修订）</w:t>
      </w:r>
    </w:p>
    <w:p>
      <w:pPr>
        <w:spacing w:line="225" w:lineRule="auto"/>
        <w:sectPr>
          <w:pgSz w:w="11910" w:h="16840"/>
          <w:pgMar w:top="400" w:right="452" w:bottom="0" w:left="931" w:header="0" w:footer="0" w:gutter="0"/>
        </w:sectPr>
        <w:rPr>
          <w:rFonts w:ascii="Microsoft YaHei" w:hAnsi="Microsoft YaHei" w:eastAsia="Microsoft YaHei" w:cs="Microsoft YaHei"/>
          <w:sz w:val="24"/>
          <w:szCs w:val="24"/>
        </w:rPr>
      </w:pPr>
    </w:p>
    <w:p>
      <w:pPr>
        <w:pStyle w:val="BodyText"/>
        <w:spacing w:line="252" w:lineRule="auto"/>
        <w:rPr/>
      </w:pPr>
      <w:r/>
    </w:p>
    <w:p>
      <w:pPr>
        <w:ind w:left="5"/>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9、北京证券交易所向不特定合格投资者公开发行股票并上市业务办理指南第</w:t>
      </w:r>
      <w:r>
        <w:rPr>
          <w:rFonts w:ascii="Microsoft YaHei" w:hAnsi="Microsoft YaHei" w:eastAsia="Microsoft YaHei" w:cs="Microsoft YaHei"/>
          <w:sz w:val="24"/>
          <w:szCs w:val="24"/>
          <w:b/>
          <w:bCs/>
          <w:color w:val="333333"/>
          <w:spacing w:val="-1"/>
        </w:rPr>
        <w:t>4号——证券代码管理</w:t>
      </w:r>
    </w:p>
    <w:p>
      <w:pPr>
        <w:ind w:right="5" w:firstLine="440"/>
        <w:spacing w:before="327"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为规范北京证券交易所向不特定合格投资者公开发行股票并上市业务证券代码管理，本所制定了《北京</w:t>
      </w:r>
      <w:r>
        <w:rPr>
          <w:rFonts w:ascii="Microsoft YaHei" w:hAnsi="Microsoft YaHei" w:eastAsia="Microsoft YaHei" w:cs="Microsoft YaHei"/>
          <w:sz w:val="22"/>
          <w:szCs w:val="22"/>
          <w:spacing w:val="-7"/>
        </w:rPr>
        <w:t>证券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交易所向不特定合格投资者公开发行股票并上市业务办</w:t>
      </w:r>
      <w:r>
        <w:rPr>
          <w:rFonts w:ascii="Microsoft YaHei" w:hAnsi="Microsoft YaHei" w:eastAsia="Microsoft YaHei" w:cs="Microsoft YaHei"/>
          <w:sz w:val="22"/>
          <w:szCs w:val="22"/>
          <w:spacing w:val="-6"/>
        </w:rPr>
        <w:t>理指南第4号——证券代码管理》。现予以发布，自2024</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年4月22日起施行。</w:t>
      </w:r>
    </w:p>
    <w:p>
      <w:pPr>
        <w:pStyle w:val="BodyText"/>
        <w:spacing w:line="287" w:lineRule="auto"/>
        <w:rPr/>
      </w:pPr>
      <w:r/>
    </w:p>
    <w:p>
      <w:pPr>
        <w:ind w:left="433"/>
        <w:spacing w:before="9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特此公告。</w:t>
      </w:r>
    </w:p>
    <w:p>
      <w:pPr>
        <w:pStyle w:val="BodyText"/>
        <w:spacing w:line="317" w:lineRule="auto"/>
        <w:rPr/>
      </w:pPr>
      <w:r/>
    </w:p>
    <w:p>
      <w:pPr>
        <w:pStyle w:val="BodyText"/>
        <w:spacing w:line="317" w:lineRule="auto"/>
        <w:rPr/>
      </w:pPr>
      <w:r/>
    </w:p>
    <w:p>
      <w:pPr>
        <w:pStyle w:val="BodyText"/>
        <w:spacing w:line="318" w:lineRule="auto"/>
        <w:rPr/>
      </w:pPr>
      <w:r/>
    </w:p>
    <w:p>
      <w:pPr>
        <w:spacing w:before="94" w:line="672"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position w:val="35"/>
        </w:rPr>
        <w:t>北京证</w:t>
      </w:r>
      <w:r>
        <w:rPr>
          <w:rFonts w:ascii="Microsoft YaHei" w:hAnsi="Microsoft YaHei" w:eastAsia="Microsoft YaHei" w:cs="Microsoft YaHei"/>
          <w:sz w:val="22"/>
          <w:szCs w:val="22"/>
          <w:spacing w:val="-6"/>
          <w:position w:val="35"/>
        </w:rPr>
        <w:t>券交易</w:t>
      </w:r>
      <w:r>
        <w:rPr>
          <w:rFonts w:ascii="Microsoft YaHei" w:hAnsi="Microsoft YaHei" w:eastAsia="Microsoft YaHei" w:cs="Microsoft YaHei"/>
          <w:sz w:val="22"/>
          <w:szCs w:val="22"/>
          <w:spacing w:val="-3"/>
          <w:position w:val="35"/>
        </w:rPr>
        <w:t>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296" w:lineRule="auto"/>
        <w:rPr/>
      </w:pPr>
      <w:r/>
    </w:p>
    <w:p>
      <w:pPr>
        <w:ind w:firstLine="4119"/>
        <w:spacing w:before="1" w:line="2700" w:lineRule="exact"/>
        <w:rPr/>
      </w:pPr>
      <w:r>
        <w:rPr>
          <w:position w:val="-54"/>
        </w:rPr>
        <w:drawing>
          <wp:inline distT="0" distB="0" distL="0" distR="0">
            <wp:extent cx="1714500" cy="1714500"/>
            <wp:effectExtent l="0" t="0" r="0" b="0"/>
            <wp:docPr id="20" name="IM 20"/>
            <wp:cNvGraphicFramePr/>
            <a:graphic>
              <a:graphicData uri="http://schemas.openxmlformats.org/drawingml/2006/picture">
                <pic:pic>
                  <pic:nvPicPr>
                    <pic:cNvPr id="20" name="IM 20"/>
                    <pic:cNvPicPr/>
                  </pic:nvPicPr>
                  <pic:blipFill>
                    <a:blip r:embed="rId11"/>
                    <a:stretch>
                      <a:fillRect/>
                    </a:stretch>
                  </pic:blipFill>
                  <pic:spPr>
                    <a:xfrm rot="0">
                      <a:off x="0" y="0"/>
                      <a:ext cx="1714500" cy="1714500"/>
                    </a:xfrm>
                    <a:prstGeom prst="rect">
                      <a:avLst/>
                    </a:prstGeom>
                  </pic:spPr>
                </pic:pic>
              </a:graphicData>
            </a:graphic>
          </wp:inline>
        </w:drawing>
      </w:r>
    </w:p>
    <w:p>
      <w:pPr>
        <w:pStyle w:val="BodyText"/>
        <w:spacing w:line="297" w:lineRule="auto"/>
        <w:rPr/>
      </w:pPr>
      <w:r/>
    </w:p>
    <w:p>
      <w:pPr>
        <w:ind w:right="36"/>
        <w:spacing w:before="103" w:line="183" w:lineRule="auto"/>
        <w:jc w:val="right"/>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北京证券交易所向不特定合格投资者公开发行股票并上市业务办理指南第4号——证券</w:t>
      </w:r>
      <w:r>
        <w:rPr>
          <w:rFonts w:ascii="Microsoft YaHei" w:hAnsi="Microsoft YaHei" w:eastAsia="Microsoft YaHei" w:cs="Microsoft YaHei"/>
          <w:sz w:val="24"/>
          <w:szCs w:val="24"/>
          <w:b/>
          <w:bCs/>
          <w:color w:val="333333"/>
          <w:spacing w:val="-1"/>
        </w:rPr>
        <w:t>代码管理</w:t>
      </w:r>
    </w:p>
    <w:p>
      <w:pPr>
        <w:spacing w:line="183" w:lineRule="auto"/>
        <w:sectPr>
          <w:pgSz w:w="11910" w:h="16840"/>
          <w:pgMar w:top="400" w:right="452" w:bottom="0" w:left="932" w:header="0" w:footer="0" w:gutter="0"/>
        </w:sectPr>
        <w:rPr>
          <w:rFonts w:ascii="Microsoft YaHei" w:hAnsi="Microsoft YaHei" w:eastAsia="Microsoft YaHei" w:cs="Microsoft YaHei"/>
          <w:sz w:val="24"/>
          <w:szCs w:val="24"/>
        </w:rPr>
      </w:pPr>
    </w:p>
    <w:p>
      <w:pPr>
        <w:pStyle w:val="BodyText"/>
        <w:spacing w:line="292" w:lineRule="auto"/>
        <w:rPr/>
      </w:pPr>
      <w:r/>
    </w:p>
    <w:p>
      <w:pPr>
        <w:ind w:left="5" w:right="7" w:firstLine="450"/>
        <w:spacing w:before="103"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10、北京证券交易所向不特定合格投资者公开发</w:t>
      </w:r>
      <w:r>
        <w:rPr>
          <w:rFonts w:ascii="Microsoft YaHei" w:hAnsi="Microsoft YaHei" w:eastAsia="Microsoft YaHei" w:cs="Microsoft YaHei"/>
          <w:sz w:val="24"/>
          <w:szCs w:val="24"/>
          <w:b/>
          <w:bCs/>
          <w:color w:val="333333"/>
          <w:spacing w:val="-1"/>
        </w:rPr>
        <w:t>行股票并上市业务办理指南第2号——发行与上</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1"/>
        </w:rPr>
        <w:t>市（2024年修订）</w:t>
      </w:r>
    </w:p>
    <w:p>
      <w:pPr>
        <w:ind w:right="26" w:firstLine="440"/>
        <w:spacing w:before="316" w:line="22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为配合新代码号段启用，指导发行人、主承销商和保荐机构有序办理股票发行上市业务，本所修订了《</w:t>
      </w:r>
      <w:r>
        <w:rPr>
          <w:rFonts w:ascii="Microsoft YaHei" w:hAnsi="Microsoft YaHei" w:eastAsia="Microsoft YaHei" w:cs="Microsoft YaHei"/>
          <w:sz w:val="22"/>
          <w:szCs w:val="22"/>
          <w:spacing w:val="-7"/>
        </w:rPr>
        <w:t>北京</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证券交易所向不特定合格投资者公开发行股票并上市业务办理指南第2号——发行与上</w:t>
      </w:r>
      <w:r>
        <w:rPr>
          <w:rFonts w:ascii="Microsoft YaHei" w:hAnsi="Microsoft YaHei" w:eastAsia="Microsoft YaHei" w:cs="Microsoft YaHei"/>
          <w:sz w:val="22"/>
          <w:szCs w:val="22"/>
          <w:spacing w:val="-6"/>
        </w:rPr>
        <w:t>市》。现予以发布，自</w:t>
      </w:r>
    </w:p>
    <w:p>
      <w:pPr>
        <w:ind w:left="9"/>
        <w:spacing w:before="3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2024年4月22日起施行。</w:t>
      </w:r>
    </w:p>
    <w:p>
      <w:pPr>
        <w:pStyle w:val="BodyText"/>
        <w:spacing w:line="285" w:lineRule="auto"/>
        <w:rPr/>
      </w:pPr>
      <w:r/>
    </w:p>
    <w:p>
      <w:pPr>
        <w:ind w:left="433"/>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特此公告。</w:t>
      </w:r>
    </w:p>
    <w:p>
      <w:pPr>
        <w:pStyle w:val="BodyText"/>
        <w:spacing w:line="318" w:lineRule="auto"/>
        <w:rPr/>
      </w:pPr>
      <w:r/>
    </w:p>
    <w:p>
      <w:pPr>
        <w:pStyle w:val="BodyText"/>
        <w:spacing w:line="318" w:lineRule="auto"/>
        <w:rPr/>
      </w:pPr>
      <w:r/>
    </w:p>
    <w:p>
      <w:pPr>
        <w:pStyle w:val="BodyText"/>
        <w:spacing w:line="318" w:lineRule="auto"/>
        <w:rPr/>
      </w:pPr>
      <w:r/>
    </w:p>
    <w:p>
      <w:pPr>
        <w:spacing w:before="95" w:line="672"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position w:val="35"/>
        </w:rPr>
        <w:t>北京证</w:t>
      </w:r>
      <w:r>
        <w:rPr>
          <w:rFonts w:ascii="Microsoft YaHei" w:hAnsi="Microsoft YaHei" w:eastAsia="Microsoft YaHei" w:cs="Microsoft YaHei"/>
          <w:sz w:val="22"/>
          <w:szCs w:val="22"/>
          <w:spacing w:val="-6"/>
          <w:position w:val="35"/>
        </w:rPr>
        <w:t>券交易</w:t>
      </w:r>
      <w:r>
        <w:rPr>
          <w:rFonts w:ascii="Microsoft YaHei" w:hAnsi="Microsoft YaHei" w:eastAsia="Microsoft YaHei" w:cs="Microsoft YaHei"/>
          <w:sz w:val="22"/>
          <w:szCs w:val="22"/>
          <w:spacing w:val="-3"/>
          <w:position w:val="35"/>
        </w:rPr>
        <w:t>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296" w:lineRule="auto"/>
        <w:rPr/>
      </w:pPr>
      <w:r/>
    </w:p>
    <w:p>
      <w:pPr>
        <w:ind w:firstLine="4119"/>
        <w:spacing w:before="1" w:line="2700" w:lineRule="exact"/>
        <w:rPr/>
      </w:pPr>
      <w:r>
        <w:rPr>
          <w:position w:val="-54"/>
        </w:rPr>
        <w:drawing>
          <wp:inline distT="0" distB="0" distL="0" distR="0">
            <wp:extent cx="1714500" cy="1714500"/>
            <wp:effectExtent l="0" t="0" r="0" b="0"/>
            <wp:docPr id="22" name="IM 22"/>
            <wp:cNvGraphicFramePr/>
            <a:graphic>
              <a:graphicData uri="http://schemas.openxmlformats.org/drawingml/2006/picture">
                <pic:pic>
                  <pic:nvPicPr>
                    <pic:cNvPr id="22" name="IM 22"/>
                    <pic:cNvPicPr/>
                  </pic:nvPicPr>
                  <pic:blipFill>
                    <a:blip r:embed="rId12"/>
                    <a:stretch>
                      <a:fillRect/>
                    </a:stretch>
                  </pic:blipFill>
                  <pic:spPr>
                    <a:xfrm rot="0">
                      <a:off x="0" y="0"/>
                      <a:ext cx="1714500" cy="1714500"/>
                    </a:xfrm>
                    <a:prstGeom prst="rect">
                      <a:avLst/>
                    </a:prstGeom>
                  </pic:spPr>
                </pic:pic>
              </a:graphicData>
            </a:graphic>
          </wp:inline>
        </w:drawing>
      </w:r>
    </w:p>
    <w:p>
      <w:pPr>
        <w:pStyle w:val="BodyText"/>
        <w:spacing w:line="247" w:lineRule="auto"/>
        <w:rPr/>
      </w:pPr>
      <w:r/>
    </w:p>
    <w:p>
      <w:pPr>
        <w:ind w:left="4493" w:right="49" w:hanging="4028"/>
        <w:spacing w:before="103" w:line="22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北京证券交易所向不特定合格投资者公开发行股票并上市业务办理指南第2号——发行与上市(</w:t>
      </w:r>
      <w:r>
        <w:rPr>
          <w:rFonts w:ascii="Microsoft YaHei" w:hAnsi="Microsoft YaHei" w:eastAsia="Microsoft YaHei" w:cs="Microsoft YaHei"/>
          <w:sz w:val="24"/>
          <w:szCs w:val="24"/>
          <w:b/>
          <w:bCs/>
          <w:color w:val="333333"/>
          <w:spacing w:val="2"/>
        </w:rPr>
        <w:t xml:space="preserve"> </w:t>
      </w:r>
      <w:r>
        <w:rPr>
          <w:rFonts w:ascii="Microsoft YaHei" w:hAnsi="Microsoft YaHei" w:eastAsia="Microsoft YaHei" w:cs="Microsoft YaHei"/>
          <w:sz w:val="24"/>
          <w:szCs w:val="24"/>
          <w:b/>
          <w:bCs/>
          <w:color w:val="333333"/>
          <w:spacing w:val="-2"/>
        </w:rPr>
        <w:t>2024年修订）</w:t>
      </w:r>
    </w:p>
    <w:p>
      <w:pPr>
        <w:spacing w:line="223" w:lineRule="auto"/>
        <w:sectPr>
          <w:pgSz w:w="11910" w:h="16840"/>
          <w:pgMar w:top="400" w:right="452" w:bottom="0" w:left="932" w:header="0" w:footer="0" w:gutter="0"/>
        </w:sectPr>
        <w:rPr>
          <w:rFonts w:ascii="Microsoft YaHei" w:hAnsi="Microsoft YaHei" w:eastAsia="Microsoft YaHei" w:cs="Microsoft YaHei"/>
          <w:sz w:val="24"/>
          <w:szCs w:val="24"/>
        </w:rPr>
      </w:pPr>
    </w:p>
    <w:p>
      <w:pPr>
        <w:pStyle w:val="BodyText"/>
        <w:spacing w:line="289" w:lineRule="auto"/>
        <w:rPr/>
      </w:pPr>
      <w:r/>
    </w:p>
    <w:p>
      <w:pPr>
        <w:ind w:left="14"/>
        <w:spacing w:before="10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11、中国证监会关于资本市场服务科技企业高水平发展的十六项措施</w:t>
      </w:r>
    </w:p>
    <w:p>
      <w:pPr>
        <w:pStyle w:val="BodyText"/>
        <w:spacing w:line="284" w:lineRule="auto"/>
        <w:rPr/>
      </w:pPr>
      <w:r/>
    </w:p>
    <w:p>
      <w:pPr>
        <w:ind w:left="10"/>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中国证监会各派出机构，各交易所，各下属单位，各协会</w:t>
      </w:r>
      <w:r>
        <w:rPr>
          <w:rFonts w:ascii="Microsoft YaHei" w:hAnsi="Microsoft YaHei" w:eastAsia="Microsoft YaHei" w:cs="Microsoft YaHei"/>
          <w:sz w:val="22"/>
          <w:szCs w:val="22"/>
          <w:spacing w:val="-7"/>
        </w:rPr>
        <w:t>，会内各司局：</w:t>
      </w:r>
    </w:p>
    <w:p>
      <w:pPr>
        <w:pStyle w:val="BodyText"/>
        <w:spacing w:line="284" w:lineRule="auto"/>
        <w:rPr/>
      </w:pPr>
      <w:r/>
    </w:p>
    <w:p>
      <w:pPr>
        <w:spacing w:before="95" w:line="185"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为进一步健全资本市场功能，优化资源配置，更大力度支持科技企业高水平发展，中国证监会提出以下措施。</w:t>
      </w:r>
    </w:p>
    <w:p>
      <w:pPr>
        <w:pStyle w:val="BodyText"/>
        <w:spacing w:line="317" w:lineRule="auto"/>
        <w:rPr/>
      </w:pPr>
      <w:r/>
    </w:p>
    <w:p>
      <w:pPr>
        <w:pStyle w:val="BodyText"/>
        <w:spacing w:line="317" w:lineRule="auto"/>
        <w:rPr/>
      </w:pPr>
      <w:r/>
    </w:p>
    <w:p>
      <w:pPr>
        <w:pStyle w:val="BodyText"/>
        <w:spacing w:line="318" w:lineRule="auto"/>
        <w:rPr/>
      </w:pPr>
      <w:r/>
    </w:p>
    <w:p>
      <w:pPr>
        <w:ind w:left="9024"/>
        <w:spacing w:before="94" w:line="672"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position w:val="35"/>
        </w:rPr>
        <w:t>中国证监会</w:t>
      </w:r>
    </w:p>
    <w:p>
      <w:pPr>
        <w:ind w:left="8565"/>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firstLine="3678"/>
        <w:spacing w:before="1" w:line="2700" w:lineRule="exact"/>
        <w:rPr/>
      </w:pPr>
      <w:r>
        <w:rPr>
          <w:position w:val="-54"/>
        </w:rPr>
        <w:drawing>
          <wp:inline distT="0" distB="0" distL="0" distR="0">
            <wp:extent cx="1714500" cy="1714500"/>
            <wp:effectExtent l="0" t="0" r="0" b="0"/>
            <wp:docPr id="24" name="IM 24"/>
            <wp:cNvGraphicFramePr/>
            <a:graphic>
              <a:graphicData uri="http://schemas.openxmlformats.org/drawingml/2006/picture">
                <pic:pic>
                  <pic:nvPicPr>
                    <pic:cNvPr id="24" name="IM 24"/>
                    <pic:cNvPicPr/>
                  </pic:nvPicPr>
                  <pic:blipFill>
                    <a:blip r:embed="rId13"/>
                    <a:stretch>
                      <a:fillRect/>
                    </a:stretch>
                  </pic:blipFill>
                  <pic:spPr>
                    <a:xfrm rot="0">
                      <a:off x="0" y="0"/>
                      <a:ext cx="1714500" cy="1714500"/>
                    </a:xfrm>
                    <a:prstGeom prst="rect">
                      <a:avLst/>
                    </a:prstGeom>
                  </pic:spPr>
                </pic:pic>
              </a:graphicData>
            </a:graphic>
          </wp:inline>
        </w:drawing>
      </w:r>
    </w:p>
    <w:p>
      <w:pPr>
        <w:pStyle w:val="BodyText"/>
        <w:spacing w:line="295" w:lineRule="auto"/>
        <w:rPr/>
      </w:pPr>
      <w:r/>
    </w:p>
    <w:p>
      <w:pPr>
        <w:ind w:left="1689"/>
        <w:spacing w:before="10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中国证监会关于资本市场服务科技企业高水平发展的十六项措施</w:t>
      </w:r>
    </w:p>
    <w:p>
      <w:pPr>
        <w:spacing w:line="184" w:lineRule="auto"/>
        <w:sectPr>
          <w:pgSz w:w="11910" w:h="16840"/>
          <w:pgMar w:top="400" w:right="307" w:bottom="0" w:left="1373" w:header="0" w:footer="0" w:gutter="0"/>
        </w:sectPr>
        <w:rPr>
          <w:rFonts w:ascii="Microsoft YaHei" w:hAnsi="Microsoft YaHei" w:eastAsia="Microsoft YaHei" w:cs="Microsoft YaHei"/>
          <w:sz w:val="24"/>
          <w:szCs w:val="24"/>
        </w:rPr>
      </w:pPr>
    </w:p>
    <w:p>
      <w:pPr>
        <w:pStyle w:val="BodyText"/>
        <w:spacing w:line="290"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12、公开募集证券投资基金证券交易费用管理规定</w:t>
      </w:r>
    </w:p>
    <w:p>
      <w:pPr>
        <w:pStyle w:val="BodyText"/>
        <w:spacing w:line="244" w:lineRule="auto"/>
        <w:rPr/>
      </w:pPr>
      <w:r/>
    </w:p>
    <w:p>
      <w:pPr>
        <w:ind w:left="417"/>
        <w:spacing w:before="94" w:line="22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现公布《公开募集证券投资基金证券交易费用管理规定》</w:t>
      </w:r>
      <w:r>
        <w:rPr>
          <w:rFonts w:ascii="Microsoft YaHei" w:hAnsi="Microsoft YaHei" w:eastAsia="Microsoft YaHei" w:cs="Microsoft YaHei"/>
          <w:sz w:val="22"/>
          <w:szCs w:val="22"/>
          <w:spacing w:val="-39"/>
        </w:rPr>
        <w:t xml:space="preserve"> </w:t>
      </w:r>
      <w:r>
        <w:rPr>
          <w:rFonts w:ascii="Microsoft YaHei" w:hAnsi="Microsoft YaHei" w:eastAsia="Microsoft YaHei" w:cs="Microsoft YaHei"/>
          <w:sz w:val="22"/>
          <w:szCs w:val="22"/>
          <w:spacing w:val="-6"/>
        </w:rPr>
        <w:t>，自2024年7月1日起施行。</w:t>
      </w:r>
    </w:p>
    <w:p>
      <w:pPr>
        <w:pStyle w:val="BodyText"/>
        <w:spacing w:line="261" w:lineRule="auto"/>
        <w:rPr/>
      </w:pPr>
      <w:r/>
    </w:p>
    <w:p>
      <w:pPr>
        <w:spacing w:before="95" w:line="671"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11"/>
          <w:position w:val="35"/>
        </w:rPr>
        <w:t>中国证</w:t>
      </w:r>
      <w:r>
        <w:rPr>
          <w:rFonts w:ascii="Microsoft YaHei" w:hAnsi="Microsoft YaHei" w:eastAsia="Microsoft YaHei" w:cs="Microsoft YaHei"/>
          <w:sz w:val="22"/>
          <w:szCs w:val="22"/>
          <w:spacing w:val="-10"/>
          <w:position w:val="35"/>
        </w:rPr>
        <w:t>监</w:t>
      </w:r>
      <w:r>
        <w:rPr>
          <w:rFonts w:ascii="Microsoft YaHei" w:hAnsi="Microsoft YaHei" w:eastAsia="Microsoft YaHei" w:cs="Microsoft YaHei"/>
          <w:sz w:val="22"/>
          <w:szCs w:val="22"/>
          <w:spacing w:val="-2"/>
          <w:position w:val="35"/>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2024年4月19日</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firstLine="4101"/>
        <w:spacing w:before="1" w:line="2700" w:lineRule="exact"/>
        <w:rPr/>
      </w:pPr>
      <w:r>
        <w:rPr>
          <w:position w:val="-54"/>
        </w:rPr>
        <w:drawing>
          <wp:inline distT="0" distB="0" distL="0" distR="0">
            <wp:extent cx="1714500" cy="1714500"/>
            <wp:effectExtent l="0" t="0" r="0" b="0"/>
            <wp:docPr id="26" name="IM 26"/>
            <wp:cNvGraphicFramePr/>
            <a:graphic>
              <a:graphicData uri="http://schemas.openxmlformats.org/drawingml/2006/picture">
                <pic:pic>
                  <pic:nvPicPr>
                    <pic:cNvPr id="26" name="IM 26"/>
                    <pic:cNvPicPr/>
                  </pic:nvPicPr>
                  <pic:blipFill>
                    <a:blip r:embed="rId14"/>
                    <a:stretch>
                      <a:fillRect/>
                    </a:stretch>
                  </pic:blipFill>
                  <pic:spPr>
                    <a:xfrm rot="0">
                      <a:off x="0" y="0"/>
                      <a:ext cx="1714500" cy="1714500"/>
                    </a:xfrm>
                    <a:prstGeom prst="rect">
                      <a:avLst/>
                    </a:prstGeom>
                  </pic:spPr>
                </pic:pic>
              </a:graphicData>
            </a:graphic>
          </wp:inline>
        </w:drawing>
      </w:r>
    </w:p>
    <w:p>
      <w:pPr>
        <w:pStyle w:val="BodyText"/>
        <w:spacing w:line="294" w:lineRule="auto"/>
        <w:rPr/>
      </w:pPr>
      <w:r/>
    </w:p>
    <w:p>
      <w:pPr>
        <w:ind w:left="306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公开募集证券投资基金证券交易费用管理规定</w:t>
      </w:r>
    </w:p>
    <w:p>
      <w:pPr>
        <w:spacing w:line="183" w:lineRule="auto"/>
        <w:sectPr>
          <w:pgSz w:w="11910" w:h="16840"/>
          <w:pgMar w:top="400" w:right="452" w:bottom="0" w:left="950"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83840;" o:allowincell="f" fillcolor="#A61C20" filled="true" stroked="false"/>
        </w:pict>
      </w:r>
      <w:r>
        <w:pict>
          <v:group id="_x0000_s12" style="position:absolute;margin-left:0pt;margin-top:38.04pt;mso-position-vertical-relative:page;mso-position-horizontal-relative:page;width:67.85pt;height:56.8pt;z-index:251682816;"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16"/>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6" w:right="367" w:firstLine="456"/>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2024年4月15日-4月21日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，证监会作出5份监管文书；</w:t>
      </w:r>
      <w:r>
        <w:rPr>
          <w:rFonts w:ascii="Microsoft YaHei" w:hAnsi="Microsoft YaHei" w:eastAsia="Microsoft YaHei" w:cs="Microsoft YaHei"/>
          <w:sz w:val="22"/>
          <w:szCs w:val="22"/>
          <w:spacing w:val="-3"/>
        </w:rPr>
        <w:t>证监局作出34份监管文书；上交所作出9份监管文书；深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交所作出11份监管文书。</w:t>
      </w:r>
    </w:p>
    <w:p>
      <w:pPr>
        <w:pStyle w:val="BodyText"/>
        <w:spacing w:line="273" w:lineRule="auto"/>
        <w:rPr/>
      </w:pPr>
      <w:r/>
    </w:p>
    <w:p>
      <w:pPr>
        <w:ind w:left="453" w:right="501" w:firstLine="446"/>
        <w:spacing w:before="95" w:line="19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2024年4月15日-4月21日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，证监会作出2份行政处罚决定事先告知书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，对3个对象进行立案调</w:t>
      </w:r>
      <w:r>
        <w:rPr>
          <w:rFonts w:ascii="Microsoft YaHei" w:hAnsi="Microsoft YaHei" w:eastAsia="Microsoft YaHei" w:cs="Microsoft YaHei"/>
          <w:sz w:val="22"/>
          <w:szCs w:val="22"/>
          <w:spacing w:val="-4"/>
        </w:rPr>
        <w:t>查；证监局作出1</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份行政处罚决定书</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4"/>
        </w:rPr>
        <w:t>，33份行政监管措施决定书。</w:t>
      </w:r>
    </w:p>
    <w:p>
      <w:pPr>
        <w:pStyle w:val="BodyText"/>
        <w:spacing w:line="273" w:lineRule="auto"/>
        <w:rPr/>
      </w:pPr>
      <w:r/>
    </w:p>
    <w:p>
      <w:pPr>
        <w:ind w:left="454" w:right="513" w:firstLine="446"/>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2024年4月15日-4月21日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，上交所公司</w:t>
      </w:r>
      <w:r>
        <w:rPr>
          <w:rFonts w:ascii="Microsoft YaHei" w:hAnsi="Microsoft YaHei" w:eastAsia="Microsoft YaHei" w:cs="Microsoft YaHei"/>
          <w:sz w:val="22"/>
          <w:szCs w:val="22"/>
          <w:spacing w:val="-3"/>
        </w:rPr>
        <w:t>监管部门作出6份监管警示函，对3宗行为予以纪律处分。同时，加大</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信息披露和股价异常的联动监管，针对公司披露敏感信息或股价发生明显异常的</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3"/>
        </w:rPr>
        <w:t>，提请启动内幕交易、异常交易核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查5单。</w:t>
      </w:r>
    </w:p>
    <w:p>
      <w:pPr>
        <w:pStyle w:val="BodyText"/>
        <w:spacing w:line="277" w:lineRule="auto"/>
        <w:rPr/>
      </w:pPr>
      <w:r/>
    </w:p>
    <w:p>
      <w:pPr>
        <w:ind w:left="453" w:right="444" w:firstLine="437"/>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2024年4月15日-4月21日，深交所发出8份监管函，对3宗行为予以纪律</w:t>
      </w:r>
      <w:r>
        <w:rPr>
          <w:rFonts w:ascii="Microsoft YaHei" w:hAnsi="Microsoft YaHei" w:eastAsia="Microsoft YaHei" w:cs="Microsoft YaHei"/>
          <w:sz w:val="22"/>
          <w:szCs w:val="22"/>
          <w:spacing w:val="-6"/>
        </w:rPr>
        <w:t>处分；共发出关注函22份，年报问询函9</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份。</w:t>
      </w:r>
    </w:p>
    <w:p>
      <w:pPr>
        <w:ind w:firstLine="1751"/>
        <w:spacing w:before="234" w:line="8958" w:lineRule="exact"/>
        <w:rPr/>
      </w:pPr>
      <w:r>
        <w:rPr>
          <w:position w:val="-179"/>
        </w:rPr>
        <w:drawing>
          <wp:inline distT="0" distB="0" distL="0" distR="0">
            <wp:extent cx="5304790" cy="5688647"/>
            <wp:effectExtent l="0" t="0" r="0" b="0"/>
            <wp:docPr id="28" name="IM 28"/>
            <wp:cNvGraphicFramePr/>
            <a:graphic>
              <a:graphicData uri="http://schemas.openxmlformats.org/drawingml/2006/picture">
                <pic:pic>
                  <pic:nvPicPr>
                    <pic:cNvPr id="28" name="IM 28"/>
                    <pic:cNvPicPr/>
                  </pic:nvPicPr>
                  <pic:blipFill>
                    <a:blip r:embed="rId17"/>
                    <a:stretch>
                      <a:fillRect/>
                    </a:stretch>
                  </pic:blipFill>
                  <pic:spPr>
                    <a:xfrm rot="0">
                      <a:off x="0" y="0"/>
                      <a:ext cx="5304790" cy="5688647"/>
                    </a:xfrm>
                    <a:prstGeom prst="rect">
                      <a:avLst/>
                    </a:prstGeom>
                  </pic:spPr>
                </pic:pic>
              </a:graphicData>
            </a:graphic>
          </wp:inline>
        </w:drawing>
      </w:r>
    </w:p>
    <w:p>
      <w:pPr>
        <w:spacing w:line="8958" w:lineRule="exact"/>
        <w:sectPr>
          <w:footerReference w:type="default" r:id="rId15"/>
          <w:pgSz w:w="11910" w:h="16840"/>
          <w:pgMar w:top="400" w:right="41" w:bottom="1"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8"/>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ind w:left="434" w:firstLine="447"/>
        <w:spacing w:before="172"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2024年4月15日-4月21日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，证监会作出2份行政处罚决定事先告知书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，对3个对象进</w:t>
      </w:r>
      <w:r>
        <w:rPr>
          <w:rFonts w:ascii="Microsoft YaHei" w:hAnsi="Microsoft YaHei" w:eastAsia="Microsoft YaHei" w:cs="Microsoft YaHei"/>
          <w:sz w:val="22"/>
          <w:szCs w:val="22"/>
          <w:spacing w:val="-4"/>
        </w:rPr>
        <w:t>行立案调查；证监局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作出1份行政处罚决定书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，33份行政监管措施决</w:t>
      </w:r>
      <w:r>
        <w:rPr>
          <w:rFonts w:ascii="Microsoft YaHei" w:hAnsi="Microsoft YaHei" w:eastAsia="Microsoft YaHei" w:cs="Microsoft YaHei"/>
          <w:sz w:val="22"/>
          <w:szCs w:val="22"/>
          <w:spacing w:val="-4"/>
        </w:rPr>
        <w:t>定书。</w:t>
      </w:r>
    </w:p>
    <w:p>
      <w:pPr>
        <w:pStyle w:val="BodyText"/>
        <w:spacing w:line="293" w:lineRule="auto"/>
        <w:rPr/>
      </w:pPr>
      <w:r/>
    </w:p>
    <w:p>
      <w:pPr>
        <w:ind w:left="15"/>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  1</w:t>
      </w:r>
      <w:r>
        <w:rPr>
          <w:rFonts w:ascii="Microsoft YaHei" w:hAnsi="Microsoft YaHei" w:eastAsia="Microsoft YaHei" w:cs="Microsoft YaHei"/>
          <w:sz w:val="24"/>
          <w:szCs w:val="24"/>
          <w:b/>
          <w:bCs/>
          <w:color w:val="333333"/>
          <w:spacing w:val="68"/>
        </w:rPr>
        <w:t xml:space="preserve"> </w:t>
      </w:r>
      <w:r>
        <w:rPr>
          <w:rFonts w:ascii="Microsoft YaHei" w:hAnsi="Microsoft YaHei" w:eastAsia="Microsoft YaHei" w:cs="Microsoft YaHei"/>
          <w:sz w:val="24"/>
          <w:szCs w:val="24"/>
          <w:b/>
          <w:bCs/>
          <w:color w:val="333333"/>
          <w:spacing w:val="-5"/>
        </w:rPr>
        <w:t>）</w:t>
      </w:r>
      <w:r>
        <w:rPr>
          <w:rFonts w:ascii="Microsoft YaHei" w:hAnsi="Microsoft YaHei" w:eastAsia="Microsoft YaHei" w:cs="Microsoft YaHei"/>
          <w:sz w:val="24"/>
          <w:szCs w:val="24"/>
          <w:b/>
          <w:bCs/>
          <w:spacing w:val="-5"/>
        </w:rPr>
        <w:t>行政处罚决定事先告知书</w:t>
      </w:r>
    </w:p>
    <w:p>
      <w:pPr>
        <w:spacing w:before="168"/>
        <w:rPr/>
      </w:pPr>
      <w:r/>
    </w:p>
    <w:tbl>
      <w:tblPr>
        <w:tblStyle w:val="TableNormal"/>
        <w:tblW w:w="8740" w:type="dxa"/>
        <w:tblInd w:w="111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97"/>
        <w:gridCol w:w="1212"/>
        <w:gridCol w:w="6231"/>
      </w:tblGrid>
      <w:tr>
        <w:trPr>
          <w:trHeight w:val="387" w:hRule="atLeast"/>
        </w:trPr>
        <w:tc>
          <w:tcPr>
            <w:shd w:val="clear" w:fill="4F81BD"/>
            <w:tcW w:w="1297" w:type="dxa"/>
            <w:vAlign w:val="top"/>
            <w:tcBorders>
              <w:bottom w:val="single" w:color="4F81BD" w:sz="2" w:space="0"/>
            </w:tcBorders>
          </w:tcPr>
          <w:p>
            <w:pPr>
              <w:pStyle w:val="TableText"/>
              <w:ind w:left="223"/>
              <w:spacing w:before="109" w:line="187" w:lineRule="auto"/>
              <w:rPr/>
            </w:pPr>
            <w:r>
              <w:rPr>
                <w:b/>
                <w:bCs/>
                <w:color w:val="FFFFFF"/>
                <w:spacing w:val="8"/>
              </w:rPr>
              <w:t>公司代码</w:t>
            </w:r>
          </w:p>
        </w:tc>
        <w:tc>
          <w:tcPr>
            <w:shd w:val="clear" w:fill="4F81BD"/>
            <w:tcW w:w="1212" w:type="dxa"/>
            <w:vAlign w:val="top"/>
            <w:tcBorders>
              <w:bottom w:val="single" w:color="4F81BD" w:sz="2" w:space="0"/>
            </w:tcBorders>
          </w:tcPr>
          <w:p>
            <w:pPr>
              <w:pStyle w:val="TableText"/>
              <w:ind w:left="178"/>
              <w:spacing w:before="111" w:line="186" w:lineRule="auto"/>
              <w:rPr/>
            </w:pPr>
            <w:r>
              <w:rPr>
                <w:b/>
                <w:bCs/>
                <w:color w:val="FFFFFF"/>
                <w:spacing w:val="8"/>
              </w:rPr>
              <w:t>公司简称</w:t>
            </w:r>
          </w:p>
        </w:tc>
        <w:tc>
          <w:tcPr>
            <w:shd w:val="clear" w:fill="4F81BD"/>
            <w:tcW w:w="6231" w:type="dxa"/>
            <w:vAlign w:val="top"/>
            <w:tcBorders>
              <w:bottom w:val="single" w:color="4F81BD" w:sz="2" w:space="0"/>
            </w:tcBorders>
          </w:tcPr>
          <w:p>
            <w:pPr>
              <w:pStyle w:val="TableText"/>
              <w:ind w:left="2688"/>
              <w:spacing w:before="109" w:line="187" w:lineRule="auto"/>
              <w:rPr/>
            </w:pPr>
            <w:r>
              <w:rPr>
                <w:b/>
                <w:bCs/>
                <w:color w:val="FFFFFF"/>
                <w:spacing w:val="8"/>
              </w:rPr>
              <w:t>违规行为</w:t>
            </w:r>
          </w:p>
        </w:tc>
      </w:tr>
      <w:tr>
        <w:trPr>
          <w:trHeight w:val="729" w:hRule="atLeast"/>
        </w:trPr>
        <w:tc>
          <w:tcPr>
            <w:shd w:val="clear" w:fill="B8CCE4"/>
            <w:tcW w:w="1297" w:type="dxa"/>
            <w:vAlign w:val="top"/>
            <w:tcBorders>
              <w:top w:val="single" w:color="4F81BD" w:sz="2" w:space="0"/>
            </w:tcBorders>
          </w:tcPr>
          <w:p>
            <w:pPr>
              <w:pStyle w:val="TableText"/>
              <w:ind w:left="281"/>
              <w:spacing w:before="282" w:line="178" w:lineRule="auto"/>
              <w:rPr/>
            </w:pPr>
            <w:r>
              <w:rPr>
                <w:spacing w:val="3"/>
              </w:rPr>
              <w:t>600898</w:t>
            </w:r>
          </w:p>
        </w:tc>
        <w:tc>
          <w:tcPr>
            <w:shd w:val="clear" w:fill="B8CCE4"/>
            <w:tcW w:w="1212" w:type="dxa"/>
            <w:vAlign w:val="top"/>
            <w:tcBorders>
              <w:top w:val="single" w:color="4F81BD" w:sz="2" w:space="0"/>
            </w:tcBorders>
          </w:tcPr>
          <w:p>
            <w:pPr>
              <w:pStyle w:val="TableText"/>
              <w:ind w:left="276"/>
              <w:spacing w:before="266" w:line="190" w:lineRule="auto"/>
              <w:rPr/>
            </w:pPr>
            <w:r>
              <w:rPr/>
              <w:t>ST</w:t>
            </w:r>
            <w:r>
              <w:rPr>
                <w:spacing w:val="7"/>
              </w:rPr>
              <w:t>美讯</w:t>
            </w:r>
          </w:p>
        </w:tc>
        <w:tc>
          <w:tcPr>
            <w:shd w:val="clear" w:fill="B8CCE4"/>
            <w:tcW w:w="6231" w:type="dxa"/>
            <w:vAlign w:val="top"/>
            <w:tcBorders>
              <w:top w:val="single" w:color="4F81BD" w:sz="2" w:space="0"/>
            </w:tcBorders>
          </w:tcPr>
          <w:p>
            <w:pPr>
              <w:pStyle w:val="TableText"/>
              <w:ind w:left="101" w:right="304" w:firstLine="8"/>
              <w:spacing w:before="85" w:line="221" w:lineRule="auto"/>
              <w:rPr/>
            </w:pPr>
            <w:r>
              <w:rPr>
                <w:spacing w:val="8"/>
              </w:rPr>
              <w:t>2020年年度报告存在</w:t>
            </w:r>
            <w:r>
              <w:rPr>
                <w:b/>
                <w:bCs/>
                <w:spacing w:val="8"/>
              </w:rPr>
              <w:t>虚假记载</w:t>
            </w:r>
            <w:r>
              <w:rPr>
                <w:spacing w:val="8"/>
              </w:rPr>
              <w:t>；</w:t>
            </w:r>
            <w:r>
              <w:rPr>
                <w:spacing w:val="-34"/>
              </w:rPr>
              <w:t xml:space="preserve"> </w:t>
            </w:r>
            <w:r>
              <w:rPr>
                <w:spacing w:val="8"/>
              </w:rPr>
              <w:t>202</w:t>
            </w:r>
            <w:r>
              <w:rPr>
                <w:spacing w:val="7"/>
              </w:rPr>
              <w:t>0年非公开发行股票构成</w:t>
            </w:r>
            <w:r>
              <w:rPr>
                <w:b/>
                <w:bCs/>
                <w:spacing w:val="7"/>
              </w:rPr>
              <w:t>欺</w:t>
            </w:r>
            <w:r>
              <w:rPr>
                <w:b/>
                <w:bCs/>
              </w:rPr>
              <w:t xml:space="preserve"> </w:t>
            </w:r>
            <w:r>
              <w:rPr>
                <w:b/>
                <w:bCs/>
                <w:spacing w:val="7"/>
              </w:rPr>
              <w:t>诈发行</w:t>
            </w:r>
            <w:r>
              <w:rPr>
                <w:spacing w:val="7"/>
              </w:rPr>
              <w:t>；</w:t>
            </w:r>
            <w:r>
              <w:rPr>
                <w:spacing w:val="-35"/>
              </w:rPr>
              <w:t xml:space="preserve"> </w:t>
            </w:r>
            <w:r>
              <w:rPr>
                <w:spacing w:val="7"/>
              </w:rPr>
              <w:t>2021年年度报告存在</w:t>
            </w:r>
            <w:r>
              <w:rPr>
                <w:b/>
                <w:bCs/>
                <w:spacing w:val="7"/>
              </w:rPr>
              <w:t>虚假记载</w:t>
            </w:r>
            <w:r>
              <w:rPr>
                <w:spacing w:val="7"/>
              </w:rPr>
              <w:t>。</w:t>
            </w:r>
          </w:p>
        </w:tc>
      </w:tr>
      <w:tr>
        <w:trPr>
          <w:trHeight w:val="4679" w:hRule="atLeast"/>
        </w:trPr>
        <w:tc>
          <w:tcPr>
            <w:tcW w:w="8740" w:type="dxa"/>
            <w:vAlign w:val="top"/>
            <w:gridSpan w:val="3"/>
          </w:tcPr>
          <w:p>
            <w:pPr>
              <w:pStyle w:val="TableText"/>
              <w:ind w:left="121"/>
              <w:spacing w:before="39" w:line="233" w:lineRule="auto"/>
              <w:rPr/>
            </w:pPr>
            <w:r>
              <w:rPr>
                <w:b/>
                <w:bCs/>
                <w:spacing w:val="8"/>
              </w:rPr>
              <w:t>【行政处罚决定（拟）】</w:t>
            </w:r>
            <w:r>
              <w:rPr>
                <w:spacing w:val="8"/>
              </w:rPr>
              <w:t>中国证监会拟决定：</w:t>
            </w:r>
          </w:p>
          <w:p>
            <w:pPr>
              <w:pStyle w:val="TableText"/>
              <w:ind w:left="137"/>
              <w:spacing w:before="30" w:line="229" w:lineRule="auto"/>
              <w:rPr/>
            </w:pPr>
            <w:r>
              <w:rPr>
                <w:spacing w:val="7"/>
              </w:rPr>
              <w:t>（一）建议对国美通讯设备股份有限公司责令改正</w:t>
            </w:r>
            <w:r>
              <w:rPr>
                <w:spacing w:val="-25"/>
              </w:rPr>
              <w:t xml:space="preserve"> </w:t>
            </w:r>
            <w:r>
              <w:rPr>
                <w:spacing w:val="7"/>
              </w:rPr>
              <w:t>，给予</w:t>
            </w:r>
            <w:r>
              <w:rPr>
                <w:spacing w:val="6"/>
              </w:rPr>
              <w:t>警告</w:t>
            </w:r>
            <w:r>
              <w:rPr>
                <w:spacing w:val="-28"/>
              </w:rPr>
              <w:t xml:space="preserve"> </w:t>
            </w:r>
            <w:r>
              <w:rPr>
                <w:spacing w:val="6"/>
              </w:rPr>
              <w:t>，并处以2,156万元罚款；</w:t>
            </w:r>
          </w:p>
          <w:p>
            <w:pPr>
              <w:pStyle w:val="TableText"/>
              <w:ind w:left="116" w:right="106" w:firstLine="21"/>
              <w:spacing w:before="32" w:line="234" w:lineRule="auto"/>
              <w:rPr/>
            </w:pPr>
            <w:r>
              <w:rPr>
                <w:spacing w:val="10"/>
              </w:rPr>
              <w:t>（二）对时任董事长宋某林、</w:t>
            </w:r>
            <w:r>
              <w:rPr>
                <w:spacing w:val="-38"/>
              </w:rPr>
              <w:t xml:space="preserve"> </w:t>
            </w:r>
            <w:r>
              <w:rPr>
                <w:spacing w:val="10"/>
              </w:rPr>
              <w:t>时任总经理宋某红、</w:t>
            </w:r>
            <w:r>
              <w:rPr>
                <w:spacing w:val="-37"/>
              </w:rPr>
              <w:t xml:space="preserve"> </w:t>
            </w:r>
            <w:r>
              <w:rPr>
                <w:spacing w:val="10"/>
              </w:rPr>
              <w:t>时任财务总监郭某给予警告</w:t>
            </w:r>
            <w:r>
              <w:rPr>
                <w:spacing w:val="-23"/>
              </w:rPr>
              <w:t xml:space="preserve"> </w:t>
            </w:r>
            <w:r>
              <w:rPr>
                <w:spacing w:val="10"/>
              </w:rPr>
              <w:t>，并分别处以</w:t>
            </w:r>
            <w:r>
              <w:rPr/>
              <w:t xml:space="preserve"> </w:t>
            </w:r>
            <w:r>
              <w:rPr>
                <w:spacing w:val="5"/>
              </w:rPr>
              <w:t>300万元罚款；</w:t>
            </w:r>
          </w:p>
          <w:p>
            <w:pPr>
              <w:pStyle w:val="TableText"/>
              <w:ind w:left="137"/>
              <w:spacing w:before="50" w:line="229" w:lineRule="auto"/>
              <w:rPr/>
            </w:pPr>
            <w:r>
              <w:rPr>
                <w:spacing w:val="7"/>
              </w:rPr>
              <w:t>（三）对时任董事董某红、</w:t>
            </w:r>
            <w:r>
              <w:rPr>
                <w:spacing w:val="-37"/>
              </w:rPr>
              <w:t xml:space="preserve"> </w:t>
            </w:r>
            <w:r>
              <w:rPr>
                <w:spacing w:val="7"/>
              </w:rPr>
              <w:t>时任监事方某给予警告</w:t>
            </w:r>
            <w:r>
              <w:rPr>
                <w:spacing w:val="-26"/>
              </w:rPr>
              <w:t xml:space="preserve"> </w:t>
            </w:r>
            <w:r>
              <w:rPr>
                <w:spacing w:val="7"/>
              </w:rPr>
              <w:t>，并分别</w:t>
            </w:r>
            <w:r>
              <w:rPr>
                <w:spacing w:val="6"/>
              </w:rPr>
              <w:t>处以200万元罚款；</w:t>
            </w:r>
          </w:p>
          <w:p>
            <w:pPr>
              <w:pStyle w:val="TableText"/>
              <w:ind w:left="137"/>
              <w:spacing w:before="35" w:line="229" w:lineRule="auto"/>
              <w:rPr/>
            </w:pPr>
            <w:r>
              <w:rPr>
                <w:spacing w:val="6"/>
              </w:rPr>
              <w:t>（四）对时任董秘邵某给予警告</w:t>
            </w:r>
            <w:r>
              <w:rPr>
                <w:spacing w:val="-17"/>
              </w:rPr>
              <w:t xml:space="preserve"> </w:t>
            </w:r>
            <w:r>
              <w:rPr>
                <w:spacing w:val="6"/>
              </w:rPr>
              <w:t>，并处以180万元罚款。</w:t>
            </w:r>
          </w:p>
          <w:p>
            <w:pPr>
              <w:pStyle w:val="TableText"/>
              <w:ind w:left="104" w:right="103" w:firstLine="12"/>
              <w:spacing w:before="74" w:line="242" w:lineRule="auto"/>
              <w:rPr/>
            </w:pPr>
            <w:r>
              <w:rPr>
                <w:spacing w:val="10"/>
              </w:rPr>
              <w:t>国美通讯的董事长、总经理、财务总监</w:t>
            </w:r>
            <w:r>
              <w:rPr>
                <w:spacing w:val="-26"/>
              </w:rPr>
              <w:t xml:space="preserve"> </w:t>
            </w:r>
            <w:r>
              <w:rPr>
                <w:spacing w:val="10"/>
              </w:rPr>
              <w:t>，在涉案违法活动中起主要作用</w:t>
            </w:r>
            <w:r>
              <w:rPr>
                <w:spacing w:val="-23"/>
              </w:rPr>
              <w:t xml:space="preserve"> </w:t>
            </w:r>
            <w:r>
              <w:rPr>
                <w:spacing w:val="10"/>
              </w:rPr>
              <w:t>，违法行</w:t>
            </w:r>
            <w:r>
              <w:rPr>
                <w:spacing w:val="9"/>
              </w:rPr>
              <w:t>为恶劣</w:t>
            </w:r>
            <w:r>
              <w:rPr>
                <w:spacing w:val="-23"/>
              </w:rPr>
              <w:t xml:space="preserve"> </w:t>
            </w:r>
            <w:r>
              <w:rPr>
                <w:spacing w:val="9"/>
              </w:rPr>
              <w:t>，严</w:t>
            </w:r>
            <w:r>
              <w:rPr/>
              <w:t xml:space="preserve"> </w:t>
            </w:r>
            <w:r>
              <w:rPr>
                <w:spacing w:val="10"/>
              </w:rPr>
              <w:t>重扰乱证券市场秩序</w:t>
            </w:r>
            <w:r>
              <w:rPr>
                <w:spacing w:val="-16"/>
              </w:rPr>
              <w:t xml:space="preserve"> </w:t>
            </w:r>
            <w:r>
              <w:rPr>
                <w:spacing w:val="10"/>
              </w:rPr>
              <w:t>，严重损害投资者利益</w:t>
            </w:r>
            <w:r>
              <w:rPr>
                <w:spacing w:val="-23"/>
              </w:rPr>
              <w:t xml:space="preserve"> </w:t>
            </w:r>
            <w:r>
              <w:rPr>
                <w:spacing w:val="10"/>
              </w:rPr>
              <w:t>，情节较为严重</w:t>
            </w:r>
            <w:r>
              <w:rPr>
                <w:spacing w:val="-25"/>
              </w:rPr>
              <w:t xml:space="preserve"> </w:t>
            </w:r>
            <w:r>
              <w:rPr>
                <w:spacing w:val="10"/>
              </w:rPr>
              <w:t>，依据《证券法》第二百二十一</w:t>
            </w:r>
            <w:r>
              <w:rPr/>
              <w:t xml:space="preserve"> </w:t>
            </w:r>
            <w:r>
              <w:rPr>
                <w:spacing w:val="11"/>
              </w:rPr>
              <w:t>条、《证券市场禁入规定》</w:t>
            </w:r>
            <w:r>
              <w:rPr>
                <w:spacing w:val="-35"/>
              </w:rPr>
              <w:t xml:space="preserve"> </w:t>
            </w:r>
            <w:r>
              <w:rPr>
                <w:spacing w:val="11"/>
              </w:rPr>
              <w:t>（证监会令第185号）</w:t>
            </w:r>
            <w:r>
              <w:rPr>
                <w:spacing w:val="-37"/>
              </w:rPr>
              <w:t xml:space="preserve"> </w:t>
            </w:r>
            <w:r>
              <w:rPr>
                <w:spacing w:val="11"/>
              </w:rPr>
              <w:t>第三条第一项、第七条第一款之规定</w:t>
            </w:r>
            <w:r>
              <w:rPr>
                <w:spacing w:val="-20"/>
              </w:rPr>
              <w:t xml:space="preserve"> </w:t>
            </w:r>
            <w:r>
              <w:rPr>
                <w:spacing w:val="11"/>
              </w:rPr>
              <w:t>，</w:t>
            </w:r>
            <w:r>
              <w:rPr>
                <w:spacing w:val="-32"/>
              </w:rPr>
              <w:t xml:space="preserve"> </w:t>
            </w:r>
            <w:r>
              <w:rPr>
                <w:spacing w:val="11"/>
              </w:rPr>
              <w:t>中</w:t>
            </w:r>
            <w:r>
              <w:rPr/>
              <w:t xml:space="preserve"> </w:t>
            </w:r>
            <w:r>
              <w:rPr>
                <w:spacing w:val="10"/>
              </w:rPr>
              <w:t>国证监会拟决定</w:t>
            </w:r>
            <w:r>
              <w:rPr>
                <w:spacing w:val="-16"/>
              </w:rPr>
              <w:t xml:space="preserve"> </w:t>
            </w:r>
            <w:r>
              <w:rPr>
                <w:spacing w:val="10"/>
              </w:rPr>
              <w:t>：对董事长、总经理、财务总监采取10年市场禁入措施。</w:t>
            </w:r>
            <w:r>
              <w:rPr>
                <w:spacing w:val="-25"/>
              </w:rPr>
              <w:t xml:space="preserve"> </w:t>
            </w:r>
            <w:r>
              <w:rPr>
                <w:spacing w:val="10"/>
              </w:rPr>
              <w:t>自中</w:t>
            </w:r>
            <w:r>
              <w:rPr>
                <w:spacing w:val="9"/>
              </w:rPr>
              <w:t>国证监会宣布</w:t>
            </w:r>
            <w:r>
              <w:rPr/>
              <w:t xml:space="preserve"> </w:t>
            </w:r>
            <w:r>
              <w:rPr>
                <w:spacing w:val="11"/>
              </w:rPr>
              <w:t>决定之日起</w:t>
            </w:r>
            <w:r>
              <w:rPr>
                <w:spacing w:val="-23"/>
              </w:rPr>
              <w:t xml:space="preserve"> </w:t>
            </w:r>
            <w:r>
              <w:rPr>
                <w:spacing w:val="11"/>
              </w:rPr>
              <w:t>，在禁入期间内</w:t>
            </w:r>
            <w:r>
              <w:rPr>
                <w:spacing w:val="-25"/>
              </w:rPr>
              <w:t xml:space="preserve"> </w:t>
            </w:r>
            <w:r>
              <w:rPr>
                <w:spacing w:val="11"/>
              </w:rPr>
              <w:t>，</w:t>
            </w:r>
            <w:r>
              <w:rPr>
                <w:spacing w:val="-35"/>
              </w:rPr>
              <w:t xml:space="preserve"> </w:t>
            </w:r>
            <w:r>
              <w:rPr>
                <w:spacing w:val="11"/>
              </w:rPr>
              <w:t>除不得继续在</w:t>
            </w:r>
            <w:r>
              <w:rPr>
                <w:spacing w:val="10"/>
              </w:rPr>
              <w:t>原机构从事证券业务、证券服务业务或者担任原</w:t>
            </w:r>
            <w:r>
              <w:rPr/>
              <w:t xml:space="preserve"> </w:t>
            </w:r>
            <w:r>
              <w:rPr>
                <w:spacing w:val="12"/>
              </w:rPr>
              <w:t>证券发行人的董事、监事、高级管理人员职务外</w:t>
            </w:r>
            <w:r>
              <w:rPr>
                <w:spacing w:val="-23"/>
              </w:rPr>
              <w:t xml:space="preserve"> </w:t>
            </w:r>
            <w:r>
              <w:rPr>
                <w:spacing w:val="12"/>
              </w:rPr>
              <w:t>，也不得在其他任何机构中从事证券业务、</w:t>
            </w:r>
            <w:r>
              <w:rPr/>
              <w:t xml:space="preserve"> </w:t>
            </w:r>
            <w:r>
              <w:rPr>
                <w:spacing w:val="9"/>
              </w:rPr>
              <w:t>证券服务业务或者担任其他证券发行人的董事、监事、高级管理人员职务。</w:t>
            </w:r>
          </w:p>
        </w:tc>
      </w:tr>
      <w:tr>
        <w:trPr>
          <w:trHeight w:val="5038" w:hRule="atLeast"/>
        </w:trPr>
        <w:tc>
          <w:tcPr>
            <w:shd w:val="clear" w:fill="B8CCE4"/>
            <w:tcW w:w="1297"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340"/>
              <w:spacing w:before="86" w:line="178" w:lineRule="auto"/>
              <w:rPr/>
            </w:pPr>
            <w:r>
              <w:rPr>
                <w:spacing w:val="3"/>
              </w:rPr>
              <w:t>00245</w:t>
            </w:r>
          </w:p>
        </w:tc>
        <w:tc>
          <w:tcPr>
            <w:shd w:val="clear" w:fill="B8CCE4"/>
            <w:tcW w:w="1212"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91"/>
              <w:spacing w:before="86" w:line="190" w:lineRule="auto"/>
              <w:rPr/>
            </w:pPr>
            <w:r>
              <w:rPr>
                <w:spacing w:val="5"/>
              </w:rPr>
              <w:t>中核钛白</w:t>
            </w:r>
          </w:p>
        </w:tc>
        <w:tc>
          <w:tcPr>
            <w:shd w:val="clear" w:fill="B8CCE4"/>
            <w:tcW w:w="6231" w:type="dxa"/>
            <w:vAlign w:val="top"/>
          </w:tcPr>
          <w:p>
            <w:pPr>
              <w:pStyle w:val="TableText"/>
              <w:ind w:left="99" w:right="103" w:firstLine="2"/>
              <w:spacing w:before="83" w:line="247" w:lineRule="auto"/>
              <w:rPr/>
            </w:pPr>
            <w:r>
              <w:rPr>
                <w:spacing w:val="13"/>
              </w:rPr>
              <w:t>实际控制人王某龙、其他关系方洪某炜通过衍生品交易安排</w:t>
            </w:r>
            <w:r>
              <w:rPr>
                <w:spacing w:val="-14"/>
              </w:rPr>
              <w:t xml:space="preserve"> </w:t>
            </w:r>
            <w:r>
              <w:rPr>
                <w:spacing w:val="13"/>
              </w:rPr>
              <w:t>，实</w:t>
            </w:r>
            <w:r>
              <w:rPr/>
              <w:t xml:space="preserve"> </w:t>
            </w:r>
            <w:r>
              <w:rPr>
                <w:spacing w:val="12"/>
              </w:rPr>
              <w:t>质参与非公开发行</w:t>
            </w:r>
            <w:r>
              <w:rPr>
                <w:spacing w:val="-19"/>
              </w:rPr>
              <w:t xml:space="preserve"> </w:t>
            </w:r>
            <w:r>
              <w:rPr>
                <w:spacing w:val="12"/>
              </w:rPr>
              <w:t>，并以市价融券卖出</w:t>
            </w:r>
            <w:r>
              <w:rPr>
                <w:spacing w:val="-23"/>
              </w:rPr>
              <w:t xml:space="preserve"> </w:t>
            </w:r>
            <w:r>
              <w:rPr>
                <w:spacing w:val="12"/>
              </w:rPr>
              <w:t>，提前锁定与非公开发行</w:t>
            </w:r>
            <w:r>
              <w:rPr/>
              <w:t xml:space="preserve"> </w:t>
            </w:r>
            <w:r>
              <w:rPr>
                <w:spacing w:val="12"/>
              </w:rPr>
              <w:t>股票折扣价之间的价差收益</w:t>
            </w:r>
            <w:r>
              <w:rPr>
                <w:spacing w:val="-21"/>
              </w:rPr>
              <w:t xml:space="preserve"> </w:t>
            </w:r>
            <w:r>
              <w:rPr>
                <w:spacing w:val="12"/>
              </w:rPr>
              <w:t>，变相规避限售期规定；</w:t>
            </w:r>
            <w:r>
              <w:rPr>
                <w:spacing w:val="-21"/>
              </w:rPr>
              <w:t xml:space="preserve"> </w:t>
            </w:r>
            <w:r>
              <w:rPr>
                <w:spacing w:val="12"/>
              </w:rPr>
              <w:t>中信中证为</w:t>
            </w:r>
            <w:r>
              <w:rPr/>
              <w:t xml:space="preserve"> </w:t>
            </w:r>
            <w:r>
              <w:rPr>
                <w:spacing w:val="15"/>
              </w:rPr>
              <w:t>实际控制人王某龙、其他关系方洪某炜违反限</w:t>
            </w:r>
            <w:r>
              <w:rPr>
                <w:spacing w:val="14"/>
              </w:rPr>
              <w:t>制性规定转让股票</w:t>
            </w:r>
            <w:r>
              <w:rPr/>
              <w:t xml:space="preserve"> </w:t>
            </w:r>
            <w:r>
              <w:rPr>
                <w:spacing w:val="13"/>
              </w:rPr>
              <w:t>行为制定套利方案、搭建交易架构、提供杠杆资金支持等；</w:t>
            </w:r>
            <w:r>
              <w:rPr>
                <w:spacing w:val="-11"/>
              </w:rPr>
              <w:t xml:space="preserve"> </w:t>
            </w:r>
            <w:r>
              <w:rPr>
                <w:spacing w:val="13"/>
              </w:rPr>
              <w:t>中信</w:t>
            </w:r>
            <w:r>
              <w:rPr/>
              <w:t xml:space="preserve"> </w:t>
            </w:r>
            <w:r>
              <w:rPr>
                <w:spacing w:val="12"/>
              </w:rPr>
              <w:t>证券知悉客户融券目的是定增套利</w:t>
            </w:r>
            <w:r>
              <w:rPr>
                <w:spacing w:val="-9"/>
              </w:rPr>
              <w:t xml:space="preserve"> </w:t>
            </w:r>
            <w:r>
              <w:rPr>
                <w:spacing w:val="12"/>
              </w:rPr>
              <w:t>，配合其提供融券服务；</w:t>
            </w:r>
            <w:r>
              <w:rPr>
                <w:spacing w:val="-33"/>
              </w:rPr>
              <w:t xml:space="preserve"> </w:t>
            </w:r>
            <w:r>
              <w:rPr>
                <w:spacing w:val="12"/>
              </w:rPr>
              <w:t>海通</w:t>
            </w:r>
            <w:r>
              <w:rPr/>
              <w:t xml:space="preserve"> </w:t>
            </w:r>
            <w:r>
              <w:rPr>
                <w:spacing w:val="15"/>
              </w:rPr>
              <w:t>证券以自己名义按照中信中证的报价指令认购</w:t>
            </w:r>
            <w:r>
              <w:rPr>
                <w:spacing w:val="14"/>
              </w:rPr>
              <w:t>中核钛白非公开发</w:t>
            </w:r>
            <w:r>
              <w:rPr/>
              <w:t xml:space="preserve"> </w:t>
            </w:r>
            <w:r>
              <w:rPr>
                <w:spacing w:val="12"/>
              </w:rPr>
              <w:t>行股票</w:t>
            </w:r>
            <w:r>
              <w:rPr>
                <w:spacing w:val="-8"/>
              </w:rPr>
              <w:t xml:space="preserve"> </w:t>
            </w:r>
            <w:r>
              <w:rPr>
                <w:spacing w:val="12"/>
              </w:rPr>
              <w:t>，客观上帮助中信中证及其客户取得股票收益；</w:t>
            </w:r>
            <w:r>
              <w:rPr>
                <w:spacing w:val="-34"/>
              </w:rPr>
              <w:t xml:space="preserve"> </w:t>
            </w:r>
            <w:r>
              <w:rPr>
                <w:spacing w:val="12"/>
              </w:rPr>
              <w:t>实际控制</w:t>
            </w:r>
            <w:r>
              <w:rPr/>
              <w:t xml:space="preserve"> </w:t>
            </w:r>
            <w:r>
              <w:rPr>
                <w:spacing w:val="13"/>
              </w:rPr>
              <w:t>人王某龙在其他关系方洪某炜反限制性规定转让股票过程中</w:t>
            </w:r>
            <w:r>
              <w:rPr>
                <w:spacing w:val="-11"/>
              </w:rPr>
              <w:t xml:space="preserve"> </w:t>
            </w:r>
            <w:r>
              <w:rPr>
                <w:spacing w:val="13"/>
              </w:rPr>
              <w:t>，参</w:t>
            </w:r>
            <w:r>
              <w:rPr/>
              <w:t xml:space="preserve"> </w:t>
            </w:r>
            <w:r>
              <w:rPr>
                <w:spacing w:val="12"/>
              </w:rPr>
              <w:t>与商议定增融券套利方案</w:t>
            </w:r>
            <w:r>
              <w:rPr>
                <w:spacing w:val="-10"/>
              </w:rPr>
              <w:t xml:space="preserve"> </w:t>
            </w:r>
            <w:r>
              <w:rPr>
                <w:spacing w:val="12"/>
              </w:rPr>
              <w:t>，联系并建议洪某炜加入套利；</w:t>
            </w:r>
            <w:r>
              <w:rPr>
                <w:spacing w:val="-32"/>
              </w:rPr>
              <w:t xml:space="preserve"> </w:t>
            </w:r>
            <w:r>
              <w:rPr>
                <w:spacing w:val="12"/>
              </w:rPr>
              <w:t>王某龙</w:t>
            </w:r>
            <w:r>
              <w:rPr/>
              <w:t xml:space="preserve"> </w:t>
            </w:r>
            <w:r>
              <w:rPr>
                <w:spacing w:val="10"/>
              </w:rPr>
              <w:t>作为中核钛白实际控制人</w:t>
            </w:r>
            <w:r>
              <w:rPr>
                <w:spacing w:val="-16"/>
              </w:rPr>
              <w:t xml:space="preserve"> </w:t>
            </w:r>
            <w:r>
              <w:rPr>
                <w:spacing w:val="10"/>
              </w:rPr>
              <w:t>，在中核钛白2023年非公开发行股票过</w:t>
            </w:r>
            <w:r>
              <w:rPr/>
              <w:t xml:space="preserve"> </w:t>
            </w:r>
            <w:r>
              <w:rPr>
                <w:spacing w:val="11"/>
              </w:rPr>
              <w:t>程中</w:t>
            </w:r>
            <w:r>
              <w:rPr>
                <w:spacing w:val="-18"/>
              </w:rPr>
              <w:t xml:space="preserve"> </w:t>
            </w:r>
            <w:r>
              <w:rPr>
                <w:spacing w:val="11"/>
              </w:rPr>
              <w:t>，</w:t>
            </w:r>
            <w:r>
              <w:rPr>
                <w:spacing w:val="-33"/>
              </w:rPr>
              <w:t xml:space="preserve"> </w:t>
            </w:r>
            <w:r>
              <w:rPr>
                <w:spacing w:val="11"/>
              </w:rPr>
              <w:t>隐瞒其通过一系列交易安排实际参与非公开发行的情况</w:t>
            </w:r>
            <w:r>
              <w:rPr>
                <w:spacing w:val="-23"/>
              </w:rPr>
              <w:t xml:space="preserve"> </w:t>
            </w:r>
            <w:r>
              <w:rPr>
                <w:spacing w:val="11"/>
              </w:rPr>
              <w:t>，</w:t>
            </w:r>
            <w:r>
              <w:rPr/>
              <w:t xml:space="preserve"> </w:t>
            </w:r>
            <w:r>
              <w:rPr>
                <w:spacing w:val="13"/>
              </w:rPr>
              <w:t>导致中核钛白非公开发行</w:t>
            </w:r>
            <w:r>
              <w:rPr>
                <w:spacing w:val="54"/>
              </w:rPr>
              <w:t xml:space="preserve"> </w:t>
            </w:r>
            <w:r>
              <w:rPr>
                <w:spacing w:val="13"/>
              </w:rPr>
              <w:t>A股股票相关发行情</w:t>
            </w:r>
            <w:r>
              <w:rPr>
                <w:spacing w:val="12"/>
              </w:rPr>
              <w:t>况报告书存在虚假</w:t>
            </w:r>
            <w:r>
              <w:rPr/>
              <w:t xml:space="preserve"> </w:t>
            </w:r>
            <w:r>
              <w:rPr>
                <w:spacing w:val="5"/>
              </w:rPr>
              <w:t>记载。</w:t>
            </w:r>
          </w:p>
        </w:tc>
      </w:tr>
      <w:tr>
        <w:trPr>
          <w:trHeight w:val="2528" w:hRule="atLeast"/>
        </w:trPr>
        <w:tc>
          <w:tcPr>
            <w:tcW w:w="8740" w:type="dxa"/>
            <w:vAlign w:val="top"/>
            <w:gridSpan w:val="3"/>
          </w:tcPr>
          <w:p>
            <w:pPr>
              <w:pStyle w:val="TableText"/>
              <w:ind w:left="121"/>
              <w:spacing w:before="58" w:line="233" w:lineRule="auto"/>
              <w:rPr/>
            </w:pPr>
            <w:r>
              <w:rPr>
                <w:b/>
                <w:bCs/>
                <w:spacing w:val="8"/>
              </w:rPr>
              <w:t>【行政处罚决定（拟）】</w:t>
            </w:r>
            <w:r>
              <w:rPr>
                <w:spacing w:val="8"/>
              </w:rPr>
              <w:t>中国证监会拟决定：</w:t>
            </w:r>
          </w:p>
          <w:p>
            <w:pPr>
              <w:pStyle w:val="TableText"/>
              <w:ind w:left="103" w:right="103" w:firstLine="33"/>
              <w:spacing w:before="31" w:line="245" w:lineRule="auto"/>
              <w:jc w:val="both"/>
              <w:rPr/>
            </w:pPr>
            <w:r>
              <w:rPr>
                <w:spacing w:val="10"/>
              </w:rPr>
              <w:t>（一）依据《证券法》第一百八十六条的规定</w:t>
            </w:r>
            <w:r>
              <w:rPr>
                <w:spacing w:val="-5"/>
              </w:rPr>
              <w:t xml:space="preserve"> </w:t>
            </w:r>
            <w:r>
              <w:rPr>
                <w:spacing w:val="10"/>
              </w:rPr>
              <w:t>，对王某龙、洪某炜、</w:t>
            </w:r>
            <w:r>
              <w:rPr>
                <w:spacing w:val="-34"/>
              </w:rPr>
              <w:t xml:space="preserve"> </w:t>
            </w:r>
            <w:r>
              <w:rPr>
                <w:spacing w:val="10"/>
              </w:rPr>
              <w:t>中信中证资本管理有限</w:t>
            </w:r>
            <w:r>
              <w:rPr/>
              <w:t xml:space="preserve"> </w:t>
            </w:r>
            <w:r>
              <w:rPr>
                <w:spacing w:val="12"/>
              </w:rPr>
              <w:t>公司、</w:t>
            </w:r>
            <w:r>
              <w:rPr>
                <w:spacing w:val="-26"/>
              </w:rPr>
              <w:t xml:space="preserve"> </w:t>
            </w:r>
            <w:r>
              <w:rPr>
                <w:spacing w:val="12"/>
              </w:rPr>
              <w:t>中信证券股份有限公司、海通证券股份有限公司、韩某辰违反限制性规定转让股票的</w:t>
            </w:r>
            <w:r>
              <w:rPr/>
              <w:t xml:space="preserve"> </w:t>
            </w:r>
            <w:r>
              <w:rPr>
                <w:spacing w:val="10"/>
              </w:rPr>
              <w:t>违法行为</w:t>
            </w:r>
            <w:r>
              <w:rPr>
                <w:spacing w:val="-20"/>
              </w:rPr>
              <w:t xml:space="preserve"> </w:t>
            </w:r>
            <w:r>
              <w:rPr>
                <w:spacing w:val="10"/>
              </w:rPr>
              <w:t>，责令改正</w:t>
            </w:r>
            <w:r>
              <w:rPr>
                <w:spacing w:val="-21"/>
              </w:rPr>
              <w:t xml:space="preserve"> </w:t>
            </w:r>
            <w:r>
              <w:rPr>
                <w:spacing w:val="10"/>
              </w:rPr>
              <w:t>，给予警告</w:t>
            </w:r>
            <w:r>
              <w:rPr>
                <w:spacing w:val="-18"/>
              </w:rPr>
              <w:t xml:space="preserve"> </w:t>
            </w:r>
            <w:r>
              <w:rPr>
                <w:spacing w:val="10"/>
              </w:rPr>
              <w:t>，没收违法所得77,531,</w:t>
            </w:r>
            <w:r>
              <w:rPr>
                <w:spacing w:val="9"/>
              </w:rPr>
              <w:t>959.84元</w:t>
            </w:r>
            <w:r>
              <w:rPr>
                <w:spacing w:val="-21"/>
              </w:rPr>
              <w:t xml:space="preserve"> </w:t>
            </w:r>
            <w:r>
              <w:rPr>
                <w:spacing w:val="9"/>
              </w:rPr>
              <w:t>，其中没收王某龙违法所</w:t>
            </w:r>
            <w:r>
              <w:rPr/>
              <w:t xml:space="preserve"> </w:t>
            </w:r>
            <w:r>
              <w:rPr>
                <w:spacing w:val="8"/>
              </w:rPr>
              <w:t>得60,637,954.37元</w:t>
            </w:r>
            <w:r>
              <w:rPr>
                <w:spacing w:val="-23"/>
              </w:rPr>
              <w:t xml:space="preserve"> </w:t>
            </w:r>
            <w:r>
              <w:rPr>
                <w:spacing w:val="8"/>
              </w:rPr>
              <w:t>，没收洪某炜违法所得14,193,879.</w:t>
            </w:r>
            <w:r>
              <w:rPr>
                <w:spacing w:val="7"/>
              </w:rPr>
              <w:t>43元</w:t>
            </w:r>
            <w:r>
              <w:rPr>
                <w:spacing w:val="-23"/>
              </w:rPr>
              <w:t xml:space="preserve"> </w:t>
            </w:r>
            <w:r>
              <w:rPr>
                <w:spacing w:val="7"/>
              </w:rPr>
              <w:t>，没收中信证券股份有限公司违</w:t>
            </w:r>
            <w:r>
              <w:rPr/>
              <w:t xml:space="preserve"> </w:t>
            </w:r>
            <w:r>
              <w:rPr>
                <w:spacing w:val="7"/>
              </w:rPr>
              <w:t>法所得1,910,680.83元</w:t>
            </w:r>
            <w:r>
              <w:rPr>
                <w:spacing w:val="-28"/>
              </w:rPr>
              <w:t xml:space="preserve"> </w:t>
            </w:r>
            <w:r>
              <w:rPr>
                <w:spacing w:val="7"/>
              </w:rPr>
              <w:t>，没收海通证券股份</w:t>
            </w:r>
            <w:r>
              <w:rPr>
                <w:spacing w:val="6"/>
              </w:rPr>
              <w:t>有限公司违法所得789,445.21元；</w:t>
            </w:r>
          </w:p>
          <w:p>
            <w:pPr>
              <w:pStyle w:val="TableText"/>
              <w:ind w:left="104"/>
              <w:spacing w:before="87" w:line="179" w:lineRule="auto"/>
              <w:rPr/>
            </w:pPr>
            <w:r>
              <w:rPr>
                <w:spacing w:val="12"/>
              </w:rPr>
              <w:t>对王某龙与中信中证资本管理有限公司、</w:t>
            </w:r>
            <w:r>
              <w:rPr>
                <w:spacing w:val="-31"/>
              </w:rPr>
              <w:t xml:space="preserve"> </w:t>
            </w:r>
            <w:r>
              <w:rPr>
                <w:spacing w:val="12"/>
              </w:rPr>
              <w:t>中信证券股份有限公司、海通证券股</w:t>
            </w:r>
            <w:r>
              <w:rPr>
                <w:spacing w:val="11"/>
              </w:rPr>
              <w:t>份有限公司、</w:t>
            </w:r>
          </w:p>
        </w:tc>
      </w:tr>
    </w:tbl>
    <w:p>
      <w:pPr>
        <w:pStyle w:val="BodyText"/>
        <w:spacing w:line="14" w:lineRule="auto"/>
        <w:rPr>
          <w:sz w:val="2"/>
        </w:rPr>
      </w:pPr>
      <w:r/>
    </w:p>
    <w:p>
      <w:pPr>
        <w:spacing w:line="14" w:lineRule="auto"/>
        <w:sectPr>
          <w:pgSz w:w="11910" w:h="16840"/>
          <w:pgMar w:top="374" w:right="661" w:bottom="97" w:left="463" w:header="0" w:footer="0" w:gutter="0"/>
        </w:sectPr>
        <w:rPr>
          <w:sz w:val="2"/>
          <w:szCs w:val="2"/>
        </w:rPr>
      </w:pPr>
    </w:p>
    <w:tbl>
      <w:tblPr>
        <w:tblStyle w:val="TableNormal"/>
        <w:tblW w:w="8740"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97"/>
        <w:gridCol w:w="1212"/>
        <w:gridCol w:w="6231"/>
      </w:tblGrid>
      <w:tr>
        <w:trPr>
          <w:trHeight w:val="3976" w:hRule="atLeast"/>
        </w:trPr>
        <w:tc>
          <w:tcPr>
            <w:tcW w:w="8740" w:type="dxa"/>
            <w:vAlign w:val="top"/>
            <w:gridSpan w:val="3"/>
            <w:tcBorders>
              <w:top w:val="single" w:color="4F81BD" w:sz="2" w:space="0"/>
            </w:tcBorders>
          </w:tcPr>
          <w:p>
            <w:pPr>
              <w:pStyle w:val="TableText"/>
              <w:ind w:left="103" w:right="103" w:firstLine="1"/>
              <w:spacing w:before="104"/>
              <w:jc w:val="both"/>
              <w:rPr/>
            </w:pPr>
            <w:r>
              <w:rPr>
                <w:spacing w:val="12"/>
              </w:rPr>
              <w:t>韩某辰违反限制性规定转让股票的共同违法行为处以罚款120,0</w:t>
            </w:r>
            <w:r>
              <w:rPr>
                <w:spacing w:val="11"/>
              </w:rPr>
              <w:t>00,000元</w:t>
            </w:r>
            <w:r>
              <w:rPr>
                <w:spacing w:val="-21"/>
              </w:rPr>
              <w:t xml:space="preserve"> </w:t>
            </w:r>
            <w:r>
              <w:rPr>
                <w:spacing w:val="11"/>
              </w:rPr>
              <w:t>，其中由王某龙承</w:t>
            </w:r>
            <w:r>
              <w:rPr/>
              <w:t xml:space="preserve"> </w:t>
            </w:r>
            <w:r>
              <w:rPr>
                <w:spacing w:val="6"/>
              </w:rPr>
              <w:t>担50%即60,000,000元</w:t>
            </w:r>
            <w:r>
              <w:rPr>
                <w:spacing w:val="-25"/>
              </w:rPr>
              <w:t xml:space="preserve"> </w:t>
            </w:r>
            <w:r>
              <w:rPr>
                <w:spacing w:val="6"/>
              </w:rPr>
              <w:t>，</w:t>
            </w:r>
            <w:r>
              <w:rPr>
                <w:spacing w:val="-34"/>
              </w:rPr>
              <w:t xml:space="preserve"> </w:t>
            </w:r>
            <w:r>
              <w:rPr>
                <w:spacing w:val="6"/>
              </w:rPr>
              <w:t>中信中证资本管理有限公司承担30%即36,000,0</w:t>
            </w:r>
            <w:r>
              <w:rPr>
                <w:spacing w:val="5"/>
              </w:rPr>
              <w:t>00元</w:t>
            </w:r>
            <w:r>
              <w:rPr>
                <w:spacing w:val="-25"/>
              </w:rPr>
              <w:t xml:space="preserve"> </w:t>
            </w:r>
            <w:r>
              <w:rPr>
                <w:spacing w:val="5"/>
              </w:rPr>
              <w:t>，</w:t>
            </w:r>
            <w:r>
              <w:rPr>
                <w:spacing w:val="-34"/>
              </w:rPr>
              <w:t xml:space="preserve"> </w:t>
            </w:r>
            <w:r>
              <w:rPr>
                <w:spacing w:val="5"/>
              </w:rPr>
              <w:t>中信证券股</w:t>
            </w:r>
            <w:r>
              <w:rPr/>
              <w:t xml:space="preserve"> </w:t>
            </w:r>
            <w:r>
              <w:rPr>
                <w:spacing w:val="8"/>
              </w:rPr>
              <w:t>份有限公司承担15%即18,000,000元</w:t>
            </w:r>
            <w:r>
              <w:rPr>
                <w:spacing w:val="-20"/>
              </w:rPr>
              <w:t xml:space="preserve"> </w:t>
            </w:r>
            <w:r>
              <w:rPr>
                <w:spacing w:val="8"/>
              </w:rPr>
              <w:t>，海通证券股份有限公司承担4.5%即5,400,000元</w:t>
            </w:r>
            <w:r>
              <w:rPr>
                <w:spacing w:val="-23"/>
              </w:rPr>
              <w:t xml:space="preserve"> </w:t>
            </w:r>
            <w:r>
              <w:rPr>
                <w:spacing w:val="8"/>
              </w:rPr>
              <w:t>，韩</w:t>
            </w:r>
            <w:r>
              <w:rPr/>
              <w:t xml:space="preserve"> </w:t>
            </w:r>
            <w:r>
              <w:rPr>
                <w:spacing w:val="6"/>
              </w:rPr>
              <w:t>某辰承担0.5%即600,000元；</w:t>
            </w:r>
          </w:p>
          <w:p>
            <w:pPr>
              <w:pStyle w:val="TableText"/>
              <w:ind w:left="103" w:right="103"/>
              <w:spacing w:before="62" w:line="243" w:lineRule="auto"/>
              <w:jc w:val="both"/>
              <w:rPr/>
            </w:pPr>
            <w:r>
              <w:rPr>
                <w:spacing w:val="11"/>
              </w:rPr>
              <w:t>对洪某炜与王某龙、</w:t>
            </w:r>
            <w:r>
              <w:rPr>
                <w:spacing w:val="-14"/>
              </w:rPr>
              <w:t xml:space="preserve"> </w:t>
            </w:r>
            <w:r>
              <w:rPr>
                <w:spacing w:val="11"/>
              </w:rPr>
              <w:t>中信中证资本管理有限公司、</w:t>
            </w:r>
            <w:r>
              <w:rPr>
                <w:spacing w:val="-31"/>
              </w:rPr>
              <w:t xml:space="preserve"> </w:t>
            </w:r>
            <w:r>
              <w:rPr>
                <w:spacing w:val="11"/>
              </w:rPr>
              <w:t>中信证券股份有限公司、海通证券股份有</w:t>
            </w:r>
            <w:r>
              <w:rPr/>
              <w:t xml:space="preserve"> </w:t>
            </w:r>
            <w:r>
              <w:rPr>
                <w:spacing w:val="10"/>
              </w:rPr>
              <w:t>限公司、韩某辰违反限制性规定转让股票的共同违法行为处以罚款35,000,000元</w:t>
            </w:r>
            <w:r>
              <w:rPr>
                <w:spacing w:val="-26"/>
              </w:rPr>
              <w:t xml:space="preserve"> </w:t>
            </w:r>
            <w:r>
              <w:rPr>
                <w:spacing w:val="10"/>
              </w:rPr>
              <w:t>，</w:t>
            </w:r>
            <w:r>
              <w:rPr>
                <w:spacing w:val="9"/>
              </w:rPr>
              <w:t>其中由王</w:t>
            </w:r>
            <w:r>
              <w:rPr/>
              <w:t xml:space="preserve"> </w:t>
            </w:r>
            <w:r>
              <w:rPr>
                <w:spacing w:val="6"/>
              </w:rPr>
              <w:t>某龙承担30%即10,500,000元</w:t>
            </w:r>
            <w:r>
              <w:rPr>
                <w:spacing w:val="-10"/>
              </w:rPr>
              <w:t xml:space="preserve"> </w:t>
            </w:r>
            <w:r>
              <w:rPr>
                <w:spacing w:val="6"/>
              </w:rPr>
              <w:t>，</w:t>
            </w:r>
            <w:r>
              <w:rPr>
                <w:spacing w:val="-34"/>
              </w:rPr>
              <w:t xml:space="preserve"> </w:t>
            </w:r>
            <w:r>
              <w:rPr>
                <w:spacing w:val="6"/>
              </w:rPr>
              <w:t>中信中证资本管理有限公司承担30%即10,500,000元</w:t>
            </w:r>
            <w:r>
              <w:rPr>
                <w:spacing w:val="-25"/>
              </w:rPr>
              <w:t xml:space="preserve"> </w:t>
            </w:r>
            <w:r>
              <w:rPr>
                <w:spacing w:val="6"/>
              </w:rPr>
              <w:t>，洪浩</w:t>
            </w:r>
            <w:r>
              <w:rPr/>
              <w:t xml:space="preserve"> </w:t>
            </w:r>
            <w:r>
              <w:rPr>
                <w:spacing w:val="7"/>
              </w:rPr>
              <w:t>炜承担20%即7,000,000元</w:t>
            </w:r>
            <w:r>
              <w:rPr>
                <w:spacing w:val="-21"/>
              </w:rPr>
              <w:t xml:space="preserve"> </w:t>
            </w:r>
            <w:r>
              <w:rPr>
                <w:spacing w:val="7"/>
              </w:rPr>
              <w:t>，</w:t>
            </w:r>
            <w:r>
              <w:rPr>
                <w:spacing w:val="-31"/>
              </w:rPr>
              <w:t xml:space="preserve"> </w:t>
            </w:r>
            <w:r>
              <w:rPr>
                <w:spacing w:val="7"/>
              </w:rPr>
              <w:t>中信证券股份有限公司承担15%即5,250,000元</w:t>
            </w:r>
            <w:r>
              <w:rPr>
                <w:spacing w:val="-26"/>
              </w:rPr>
              <w:t xml:space="preserve"> </w:t>
            </w:r>
            <w:r>
              <w:rPr>
                <w:spacing w:val="7"/>
              </w:rPr>
              <w:t>，海通证券股份</w:t>
            </w:r>
            <w:r>
              <w:rPr/>
              <w:t xml:space="preserve"> </w:t>
            </w:r>
            <w:r>
              <w:rPr>
                <w:spacing w:val="6"/>
              </w:rPr>
              <w:t>有限公司承担4.5%即1,575,000元</w:t>
            </w:r>
            <w:r>
              <w:rPr>
                <w:spacing w:val="-20"/>
              </w:rPr>
              <w:t xml:space="preserve"> </w:t>
            </w:r>
            <w:r>
              <w:rPr>
                <w:spacing w:val="6"/>
              </w:rPr>
              <w:t>，韩某辰承担0.5%即175,000元。</w:t>
            </w:r>
          </w:p>
          <w:p>
            <w:pPr>
              <w:pStyle w:val="TableText"/>
              <w:ind w:left="113" w:right="106" w:firstLine="24"/>
              <w:spacing w:before="25" w:line="232" w:lineRule="auto"/>
              <w:jc w:val="both"/>
              <w:rPr/>
            </w:pPr>
            <w:r>
              <w:rPr>
                <w:spacing w:val="20"/>
              </w:rPr>
              <w:t>（二</w:t>
            </w:r>
            <w:r>
              <w:rPr>
                <w:spacing w:val="-27"/>
              </w:rPr>
              <w:t xml:space="preserve"> </w:t>
            </w:r>
            <w:r>
              <w:rPr>
                <w:spacing w:val="20"/>
              </w:rPr>
              <w:t>）</w:t>
            </w:r>
            <w:r>
              <w:rPr>
                <w:spacing w:val="-34"/>
              </w:rPr>
              <w:t xml:space="preserve"> </w:t>
            </w:r>
            <w:r>
              <w:rPr>
                <w:spacing w:val="20"/>
              </w:rPr>
              <w:t>依据《证券法》第一百九十七条第二款的规定</w:t>
            </w:r>
            <w:r>
              <w:rPr>
                <w:spacing w:val="-13"/>
              </w:rPr>
              <w:t xml:space="preserve"> </w:t>
            </w:r>
            <w:r>
              <w:rPr>
                <w:spacing w:val="20"/>
              </w:rPr>
              <w:t>，</w:t>
            </w:r>
            <w:r>
              <w:rPr>
                <w:spacing w:val="-34"/>
              </w:rPr>
              <w:t xml:space="preserve"> </w:t>
            </w:r>
            <w:r>
              <w:rPr>
                <w:spacing w:val="20"/>
              </w:rPr>
              <w:t>对王某龙信</w:t>
            </w:r>
            <w:r>
              <w:rPr>
                <w:spacing w:val="19"/>
              </w:rPr>
              <w:t>息披露违法行为处以</w:t>
            </w:r>
            <w:r>
              <w:rPr/>
              <w:t xml:space="preserve"> </w:t>
            </w:r>
            <w:r>
              <w:rPr>
                <w:spacing w:val="4"/>
              </w:rPr>
              <w:t>2,000,000元罚款。</w:t>
            </w:r>
          </w:p>
        </w:tc>
      </w:tr>
      <w:tr>
        <w:trPr>
          <w:trHeight w:val="365" w:hRule="atLeast"/>
        </w:trPr>
        <w:tc>
          <w:tcPr>
            <w:shd w:val="clear" w:fill="B8CCE4"/>
            <w:tcW w:w="1297" w:type="dxa"/>
            <w:vAlign w:val="top"/>
          </w:tcPr>
          <w:p>
            <w:pPr>
              <w:pStyle w:val="TableText"/>
              <w:ind w:left="278"/>
              <w:spacing w:before="106" w:line="174" w:lineRule="auto"/>
              <w:rPr/>
            </w:pPr>
            <w:r>
              <w:rPr>
                <w:spacing w:val="3"/>
              </w:rPr>
              <w:t>002107</w:t>
            </w:r>
          </w:p>
        </w:tc>
        <w:tc>
          <w:tcPr>
            <w:shd w:val="clear" w:fill="B8CCE4"/>
            <w:tcW w:w="1212" w:type="dxa"/>
            <w:vAlign w:val="top"/>
          </w:tcPr>
          <w:p>
            <w:pPr>
              <w:pStyle w:val="TableText"/>
              <w:ind w:left="177"/>
              <w:spacing w:before="93" w:line="183" w:lineRule="auto"/>
              <w:rPr/>
            </w:pPr>
            <w:r>
              <w:rPr>
                <w:spacing w:val="8"/>
              </w:rPr>
              <w:t>沃华医药</w:t>
            </w:r>
          </w:p>
        </w:tc>
        <w:tc>
          <w:tcPr>
            <w:shd w:val="clear" w:fill="B8CCE4"/>
            <w:tcW w:w="6231" w:type="dxa"/>
            <w:vAlign w:val="top"/>
          </w:tcPr>
          <w:p>
            <w:pPr>
              <w:pStyle w:val="TableText"/>
              <w:ind w:left="100"/>
              <w:spacing w:before="93" w:line="183" w:lineRule="auto"/>
              <w:rPr/>
            </w:pPr>
            <w:r>
              <w:rPr>
                <w:spacing w:val="9"/>
              </w:rPr>
              <w:t>未按规定及时披露实际控制人、董事长</w:t>
            </w:r>
            <w:r>
              <w:rPr>
                <w:b/>
                <w:bCs/>
                <w:spacing w:val="9"/>
              </w:rPr>
              <w:t>被采取留置措施</w:t>
            </w:r>
            <w:r>
              <w:rPr>
                <w:spacing w:val="9"/>
              </w:rPr>
              <w:t>。</w:t>
            </w:r>
          </w:p>
        </w:tc>
      </w:tr>
      <w:tr>
        <w:trPr>
          <w:trHeight w:val="1091" w:hRule="atLeast"/>
        </w:trPr>
        <w:tc>
          <w:tcPr>
            <w:tcW w:w="8740" w:type="dxa"/>
            <w:vAlign w:val="top"/>
            <w:gridSpan w:val="3"/>
          </w:tcPr>
          <w:p>
            <w:pPr>
              <w:pStyle w:val="TableText"/>
              <w:ind w:left="121"/>
              <w:spacing w:before="49" w:line="233" w:lineRule="auto"/>
              <w:rPr/>
            </w:pPr>
            <w:r>
              <w:rPr>
                <w:b/>
                <w:bCs/>
                <w:spacing w:val="9"/>
              </w:rPr>
              <w:t>【行政处罚决定（拟）】</w:t>
            </w:r>
            <w:r>
              <w:rPr>
                <w:spacing w:val="9"/>
              </w:rPr>
              <w:t>中国证券监督管理</w:t>
            </w:r>
            <w:r>
              <w:rPr>
                <w:spacing w:val="8"/>
              </w:rPr>
              <w:t>委员会拟决定：</w:t>
            </w:r>
          </w:p>
          <w:p>
            <w:pPr>
              <w:pStyle w:val="TableText"/>
              <w:ind w:left="137" w:right="862"/>
              <w:spacing w:before="29" w:line="234" w:lineRule="auto"/>
              <w:rPr/>
            </w:pPr>
            <w:r>
              <w:rPr>
                <w:spacing w:val="6"/>
              </w:rPr>
              <w:t>（一）对山东沃华医药科技股份有限公司责令改正</w:t>
            </w:r>
            <w:r>
              <w:rPr>
                <w:spacing w:val="-25"/>
              </w:rPr>
              <w:t xml:space="preserve"> </w:t>
            </w:r>
            <w:r>
              <w:rPr>
                <w:spacing w:val="6"/>
              </w:rPr>
              <w:t>，给予警告</w:t>
            </w:r>
            <w:r>
              <w:rPr>
                <w:spacing w:val="-28"/>
              </w:rPr>
              <w:t xml:space="preserve"> </w:t>
            </w:r>
            <w:r>
              <w:rPr>
                <w:spacing w:val="6"/>
              </w:rPr>
              <w:t>，并处以50万</w:t>
            </w:r>
            <w:r>
              <w:rPr>
                <w:spacing w:val="5"/>
              </w:rPr>
              <w:t>元罚款；</w:t>
            </w:r>
            <w:r>
              <w:rPr/>
              <w:t xml:space="preserve"> </w:t>
            </w:r>
            <w:r>
              <w:rPr>
                <w:spacing w:val="7"/>
              </w:rPr>
              <w:t>（二）对董事会秘书,董事赵某霞给予警告</w:t>
            </w:r>
            <w:r>
              <w:rPr>
                <w:spacing w:val="-28"/>
              </w:rPr>
              <w:t xml:space="preserve"> </w:t>
            </w:r>
            <w:r>
              <w:rPr>
                <w:spacing w:val="7"/>
              </w:rPr>
              <w:t>，并处以2</w:t>
            </w:r>
            <w:r>
              <w:rPr>
                <w:spacing w:val="6"/>
              </w:rPr>
              <w:t>0万元罚款。</w:t>
            </w:r>
          </w:p>
        </w:tc>
      </w:tr>
    </w:tbl>
    <w:p>
      <w:pPr>
        <w:pStyle w:val="BodyText"/>
        <w:rPr/>
      </w:pPr>
      <w:r/>
    </w:p>
    <w:p>
      <w:pPr>
        <w:sectPr>
          <w:pgSz w:w="11910" w:h="16840"/>
          <w:pgMar w:top="400" w:right="1586" w:bottom="400" w:left="1568"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color w:val="333333"/>
          <w:spacing w:val="68"/>
          <w:w w:val="101"/>
        </w:rPr>
        <w:t xml:space="preserve"> </w:t>
      </w:r>
      <w:r>
        <w:rPr>
          <w:rFonts w:ascii="Microsoft YaHei" w:hAnsi="Microsoft YaHei" w:eastAsia="Microsoft YaHei" w:cs="Microsoft YaHei"/>
          <w:sz w:val="24"/>
          <w:szCs w:val="24"/>
          <w:b/>
          <w:bCs/>
          <w:color w:val="333333"/>
          <w:spacing w:val="-8"/>
        </w:rPr>
        <w:t>2</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8"/>
        </w:rPr>
        <w:t>）行政监管措施</w:t>
      </w:r>
    </w:p>
    <w:p>
      <w:pPr>
        <w:spacing w:before="168"/>
        <w:rPr/>
      </w:pPr>
      <w:r/>
    </w:p>
    <w:tbl>
      <w:tblPr>
        <w:tblStyle w:val="TableNormal"/>
        <w:tblW w:w="8794" w:type="dxa"/>
        <w:tblInd w:w="107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9"/>
        <w:gridCol w:w="1144"/>
        <w:gridCol w:w="6551"/>
      </w:tblGrid>
      <w:tr>
        <w:trPr>
          <w:trHeight w:val="387" w:hRule="atLeast"/>
        </w:trPr>
        <w:tc>
          <w:tcPr>
            <w:shd w:val="clear" w:fill="4F81BD"/>
            <w:tcW w:w="1099" w:type="dxa"/>
            <w:vAlign w:val="top"/>
            <w:tcBorders>
              <w:bottom w:val="single" w:color="4F81BD" w:sz="2" w:space="0"/>
            </w:tcBorders>
          </w:tcPr>
          <w:p>
            <w:pPr>
              <w:pStyle w:val="TableText"/>
              <w:ind w:left="122"/>
              <w:spacing w:before="108" w:line="188" w:lineRule="auto"/>
              <w:rPr/>
            </w:pPr>
            <w:r>
              <w:rPr>
                <w:b/>
                <w:bCs/>
                <w:color w:val="FFFFFF"/>
                <w:spacing w:val="8"/>
              </w:rPr>
              <w:t>公司代码</w:t>
            </w:r>
          </w:p>
        </w:tc>
        <w:tc>
          <w:tcPr>
            <w:shd w:val="clear" w:fill="4F81BD"/>
            <w:tcW w:w="1144" w:type="dxa"/>
            <w:vAlign w:val="top"/>
            <w:tcBorders>
              <w:bottom w:val="single" w:color="4F81BD" w:sz="2" w:space="0"/>
            </w:tcBorders>
          </w:tcPr>
          <w:p>
            <w:pPr>
              <w:pStyle w:val="TableText"/>
              <w:ind w:left="144"/>
              <w:spacing w:before="108" w:line="188" w:lineRule="auto"/>
              <w:rPr/>
            </w:pPr>
            <w:r>
              <w:rPr>
                <w:b/>
                <w:bCs/>
                <w:color w:val="FFFFFF"/>
                <w:spacing w:val="8"/>
              </w:rPr>
              <w:t>公司简称</w:t>
            </w:r>
          </w:p>
        </w:tc>
        <w:tc>
          <w:tcPr>
            <w:shd w:val="clear" w:fill="4F81BD"/>
            <w:tcW w:w="6551" w:type="dxa"/>
            <w:vAlign w:val="top"/>
            <w:tcBorders>
              <w:bottom w:val="single" w:color="4F81BD" w:sz="2" w:space="0"/>
            </w:tcBorders>
          </w:tcPr>
          <w:p>
            <w:pPr>
              <w:pStyle w:val="TableText"/>
              <w:ind w:left="2847"/>
              <w:spacing w:before="108" w:line="188" w:lineRule="auto"/>
              <w:rPr/>
            </w:pPr>
            <w:r>
              <w:rPr>
                <w:b/>
                <w:bCs/>
                <w:color w:val="FFFFFF"/>
                <w:spacing w:val="8"/>
              </w:rPr>
              <w:t>违规行为</w:t>
            </w:r>
          </w:p>
        </w:tc>
      </w:tr>
      <w:tr>
        <w:trPr>
          <w:trHeight w:val="3318" w:hRule="atLeast"/>
        </w:trPr>
        <w:tc>
          <w:tcPr>
            <w:shd w:val="clear" w:fill="B8CCE4"/>
            <w:tcW w:w="1099" w:type="dxa"/>
            <w:vAlign w:val="top"/>
            <w:tcBorders>
              <w:top w:val="single" w:color="4F81BD" w:sz="2" w:space="0"/>
            </w:tcBorders>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80"/>
              <w:spacing w:before="86" w:line="178" w:lineRule="auto"/>
              <w:rPr/>
            </w:pPr>
            <w:r>
              <w:rPr>
                <w:spacing w:val="3"/>
              </w:rPr>
              <w:t>000903</w:t>
            </w:r>
          </w:p>
        </w:tc>
        <w:tc>
          <w:tcPr>
            <w:shd w:val="clear" w:fill="B8CCE4"/>
            <w:tcW w:w="1144" w:type="dxa"/>
            <w:vAlign w:val="top"/>
            <w:tcBorders>
              <w:top w:val="single" w:color="4F81BD" w:sz="2" w:space="0"/>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46"/>
              <w:spacing w:before="85" w:line="188" w:lineRule="auto"/>
              <w:rPr/>
            </w:pPr>
            <w:r>
              <w:rPr>
                <w:spacing w:val="8"/>
              </w:rPr>
              <w:t>云内动力</w:t>
            </w:r>
          </w:p>
        </w:tc>
        <w:tc>
          <w:tcPr>
            <w:shd w:val="clear" w:fill="B8CCE4"/>
            <w:tcW w:w="6551" w:type="dxa"/>
            <w:vAlign w:val="top"/>
            <w:tcBorders>
              <w:top w:val="single" w:color="4F81BD" w:sz="2" w:space="0"/>
            </w:tcBorders>
          </w:tcPr>
          <w:p>
            <w:pPr>
              <w:pStyle w:val="TableText"/>
              <w:ind w:left="96" w:right="132" w:firstLine="15"/>
              <w:spacing w:before="155" w:line="245" w:lineRule="auto"/>
              <w:rPr/>
            </w:pPr>
            <w:r>
              <w:rPr>
                <w:b/>
                <w:bCs/>
                <w:spacing w:val="9"/>
              </w:rPr>
              <w:t>内幕信息</w:t>
            </w:r>
            <w:r>
              <w:rPr>
                <w:spacing w:val="9"/>
              </w:rPr>
              <w:t>管理不规范；未采取有效措施确保上市公司</w:t>
            </w:r>
            <w:r>
              <w:rPr>
                <w:b/>
                <w:bCs/>
                <w:spacing w:val="9"/>
              </w:rPr>
              <w:t>独立性</w:t>
            </w:r>
            <w:r>
              <w:rPr>
                <w:spacing w:val="9"/>
              </w:rPr>
              <w:t>；存在</w:t>
            </w:r>
            <w:r>
              <w:rPr>
                <w:b/>
                <w:bCs/>
                <w:spacing w:val="9"/>
              </w:rPr>
              <w:t>先</w:t>
            </w:r>
            <w:r>
              <w:rPr>
                <w:b/>
                <w:bCs/>
                <w:spacing w:val="13"/>
              </w:rPr>
              <w:t xml:space="preserve"> </w:t>
            </w:r>
            <w:r>
              <w:rPr>
                <w:b/>
                <w:bCs/>
                <w:spacing w:val="10"/>
              </w:rPr>
              <w:t>对外投资设立子公司</w:t>
            </w:r>
            <w:r>
              <w:rPr>
                <w:spacing w:val="10"/>
              </w:rPr>
              <w:t>后履行董事会审批程序和信息披露义务情况</w:t>
            </w:r>
            <w:r>
              <w:rPr>
                <w:spacing w:val="9"/>
              </w:rPr>
              <w:t>；未</w:t>
            </w:r>
            <w:r>
              <w:rPr/>
              <w:t xml:space="preserve"> </w:t>
            </w:r>
            <w:r>
              <w:rPr>
                <w:spacing w:val="10"/>
              </w:rPr>
              <w:t>按照法律规定及时履行</w:t>
            </w:r>
            <w:r>
              <w:rPr>
                <w:b/>
                <w:bCs/>
                <w:spacing w:val="10"/>
              </w:rPr>
              <w:t>董事会、监事会换届程序</w:t>
            </w:r>
            <w:r>
              <w:rPr>
                <w:spacing w:val="10"/>
              </w:rPr>
              <w:t>且定期报告相关</w:t>
            </w:r>
            <w:r>
              <w:rPr>
                <w:spacing w:val="9"/>
              </w:rPr>
              <w:t>信息</w:t>
            </w:r>
            <w:r>
              <w:rPr/>
              <w:t xml:space="preserve"> </w:t>
            </w:r>
            <w:r>
              <w:rPr>
                <w:spacing w:val="6"/>
              </w:rPr>
              <w:t>披露不完整；</w:t>
            </w:r>
            <w:r>
              <w:rPr>
                <w:spacing w:val="-18"/>
              </w:rPr>
              <w:t xml:space="preserve"> </w:t>
            </w:r>
            <w:r>
              <w:rPr>
                <w:spacing w:val="6"/>
              </w:rPr>
              <w:t>2021年、</w:t>
            </w:r>
            <w:r>
              <w:rPr>
                <w:spacing w:val="-36"/>
              </w:rPr>
              <w:t xml:space="preserve"> </w:t>
            </w:r>
            <w:r>
              <w:rPr>
                <w:spacing w:val="6"/>
              </w:rPr>
              <w:t>2022年、</w:t>
            </w:r>
            <w:r>
              <w:rPr>
                <w:spacing w:val="-36"/>
              </w:rPr>
              <w:t xml:space="preserve"> </w:t>
            </w:r>
            <w:r>
              <w:rPr>
                <w:spacing w:val="6"/>
              </w:rPr>
              <w:t>2023年未按规定披露因向金融机构</w:t>
            </w:r>
            <w:r>
              <w:rPr/>
              <w:t xml:space="preserve"> </w:t>
            </w:r>
            <w:r>
              <w:rPr>
                <w:spacing w:val="6"/>
              </w:rPr>
              <w:t>融资形成的与关联方</w:t>
            </w:r>
            <w:r>
              <w:rPr>
                <w:b/>
                <w:bCs/>
                <w:spacing w:val="6"/>
              </w:rPr>
              <w:t>非经营性资金往来</w:t>
            </w:r>
            <w:r>
              <w:rPr>
                <w:spacing w:val="6"/>
              </w:rPr>
              <w:t>；</w:t>
            </w:r>
            <w:r>
              <w:rPr>
                <w:spacing w:val="-18"/>
              </w:rPr>
              <w:t xml:space="preserve"> </w:t>
            </w:r>
            <w:r>
              <w:rPr>
                <w:spacing w:val="6"/>
              </w:rPr>
              <w:t>2020年、</w:t>
            </w:r>
            <w:r>
              <w:rPr>
                <w:spacing w:val="-36"/>
              </w:rPr>
              <w:t xml:space="preserve"> </w:t>
            </w:r>
            <w:r>
              <w:rPr>
                <w:spacing w:val="6"/>
              </w:rPr>
              <w:t>2021年、</w:t>
            </w:r>
            <w:r>
              <w:rPr>
                <w:spacing w:val="-36"/>
              </w:rPr>
              <w:t xml:space="preserve"> </w:t>
            </w:r>
            <w:r>
              <w:rPr>
                <w:spacing w:val="6"/>
              </w:rPr>
              <w:t>2022年</w:t>
            </w:r>
            <w:r>
              <w:rPr/>
              <w:t xml:space="preserve"> </w:t>
            </w:r>
            <w:r>
              <w:rPr>
                <w:spacing w:val="9"/>
              </w:rPr>
              <w:t>年度报告-财务报告披露不准确</w:t>
            </w:r>
            <w:r>
              <w:rPr>
                <w:spacing w:val="-28"/>
              </w:rPr>
              <w:t xml:space="preserve"> </w:t>
            </w:r>
            <w:r>
              <w:rPr>
                <w:spacing w:val="9"/>
              </w:rPr>
              <w:t>，报告期资产</w:t>
            </w:r>
            <w:r>
              <w:rPr>
                <w:spacing w:val="8"/>
              </w:rPr>
              <w:t>、负债、利润总额、净</w:t>
            </w:r>
            <w:r>
              <w:rPr/>
              <w:t xml:space="preserve">   </w:t>
            </w:r>
            <w:r>
              <w:rPr>
                <w:spacing w:val="10"/>
              </w:rPr>
              <w:t>利润、受限资金等</w:t>
            </w:r>
            <w:r>
              <w:rPr>
                <w:b/>
                <w:bCs/>
                <w:spacing w:val="10"/>
              </w:rPr>
              <w:t>信息披露不准确</w:t>
            </w:r>
            <w:r>
              <w:rPr>
                <w:spacing w:val="10"/>
              </w:rPr>
              <w:t>；部分</w:t>
            </w:r>
            <w:r>
              <w:rPr>
                <w:b/>
                <w:bCs/>
                <w:spacing w:val="10"/>
              </w:rPr>
              <w:t>关联方或关联交易</w:t>
            </w:r>
            <w:r>
              <w:rPr>
                <w:spacing w:val="9"/>
              </w:rPr>
              <w:t>披露不完</w:t>
            </w:r>
            <w:r>
              <w:rPr/>
              <w:t xml:space="preserve"> </w:t>
            </w:r>
            <w:r>
              <w:rPr>
                <w:spacing w:val="10"/>
              </w:rPr>
              <w:t>整；</w:t>
            </w:r>
            <w:r>
              <w:rPr>
                <w:b/>
                <w:bCs/>
                <w:spacing w:val="10"/>
              </w:rPr>
              <w:t>会计核算</w:t>
            </w:r>
            <w:r>
              <w:rPr>
                <w:spacing w:val="10"/>
              </w:rPr>
              <w:t>不准确；</w:t>
            </w:r>
            <w:r>
              <w:rPr>
                <w:b/>
                <w:bCs/>
                <w:spacing w:val="10"/>
              </w:rPr>
              <w:t>存货</w:t>
            </w:r>
            <w:r>
              <w:rPr>
                <w:spacing w:val="10"/>
              </w:rPr>
              <w:t>管理及账务处理不规范；</w:t>
            </w:r>
            <w:r>
              <w:rPr>
                <w:b/>
                <w:bCs/>
                <w:spacing w:val="10"/>
              </w:rPr>
              <w:t>计提</w:t>
            </w:r>
            <w:r>
              <w:rPr>
                <w:spacing w:val="10"/>
              </w:rPr>
              <w:t>存货跌</w:t>
            </w:r>
            <w:r>
              <w:rPr>
                <w:spacing w:val="9"/>
              </w:rPr>
              <w:t>价准</w:t>
            </w:r>
            <w:r>
              <w:rPr/>
              <w:t xml:space="preserve"> </w:t>
            </w:r>
            <w:r>
              <w:rPr>
                <w:spacing w:val="9"/>
              </w:rPr>
              <w:t>备的内部控制制度不完善；部分基础业务及财务资料</w:t>
            </w:r>
            <w:r>
              <w:rPr>
                <w:b/>
                <w:bCs/>
                <w:spacing w:val="9"/>
              </w:rPr>
              <w:t>保存不完整。</w:t>
            </w:r>
          </w:p>
        </w:tc>
      </w:tr>
      <w:tr>
        <w:trPr>
          <w:trHeight w:val="1084" w:hRule="atLeast"/>
        </w:trPr>
        <w:tc>
          <w:tcPr>
            <w:tcW w:w="8794" w:type="dxa"/>
            <w:vAlign w:val="top"/>
            <w:gridSpan w:val="3"/>
          </w:tcPr>
          <w:p>
            <w:pPr>
              <w:pStyle w:val="TableText"/>
              <w:ind w:left="104" w:right="104" w:firstLine="17"/>
              <w:spacing w:before="44"/>
              <w:jc w:val="both"/>
              <w:rPr/>
            </w:pPr>
            <w:r>
              <w:rPr>
                <w:b/>
                <w:bCs/>
                <w:spacing w:val="13"/>
              </w:rPr>
              <w:t>【行政监管措施】</w:t>
            </w:r>
            <w:r>
              <w:rPr>
                <w:spacing w:val="13"/>
              </w:rPr>
              <w:t>中国证券监督管理委员会云南监管局决定对董事长杨某、</w:t>
            </w:r>
            <w:r>
              <w:rPr>
                <w:spacing w:val="-28"/>
              </w:rPr>
              <w:t xml:space="preserve"> </w:t>
            </w:r>
            <w:r>
              <w:rPr>
                <w:spacing w:val="13"/>
              </w:rPr>
              <w:t>时任总经理代某</w:t>
            </w:r>
            <w:r>
              <w:rPr/>
              <w:t xml:space="preserve"> </w:t>
            </w:r>
            <w:r>
              <w:rPr>
                <w:spacing w:val="13"/>
              </w:rPr>
              <w:t>辉、</w:t>
            </w:r>
            <w:r>
              <w:rPr>
                <w:spacing w:val="-32"/>
              </w:rPr>
              <w:t xml:space="preserve"> </w:t>
            </w:r>
            <w:r>
              <w:rPr>
                <w:spacing w:val="13"/>
              </w:rPr>
              <w:t>时任总经理宋某富、</w:t>
            </w:r>
            <w:r>
              <w:rPr>
                <w:spacing w:val="-38"/>
              </w:rPr>
              <w:t xml:space="preserve"> </w:t>
            </w:r>
            <w:r>
              <w:rPr>
                <w:spacing w:val="13"/>
              </w:rPr>
              <w:t>时任财务总监屠某国、董事会秘书翟某峰采取监管谈话并出具警示</w:t>
            </w:r>
            <w:r>
              <w:rPr/>
              <w:t xml:space="preserve"> </w:t>
            </w:r>
            <w:r>
              <w:rPr>
                <w:spacing w:val="8"/>
              </w:rPr>
              <w:t>函的行政监管措施</w:t>
            </w:r>
            <w:r>
              <w:rPr>
                <w:spacing w:val="-26"/>
              </w:rPr>
              <w:t xml:space="preserve"> </w:t>
            </w:r>
            <w:r>
              <w:rPr>
                <w:spacing w:val="8"/>
              </w:rPr>
              <w:t>，并记入证券期货市场诚</w:t>
            </w:r>
            <w:r>
              <w:rPr>
                <w:spacing w:val="7"/>
              </w:rPr>
              <w:t>信档案。</w:t>
            </w:r>
          </w:p>
        </w:tc>
      </w:tr>
      <w:tr>
        <w:trPr>
          <w:trHeight w:val="724" w:hRule="atLeast"/>
        </w:trPr>
        <w:tc>
          <w:tcPr>
            <w:shd w:val="clear" w:fill="B8CCE4"/>
            <w:tcW w:w="1099" w:type="dxa"/>
            <w:vAlign w:val="top"/>
          </w:tcPr>
          <w:p>
            <w:pPr>
              <w:pStyle w:val="TableText"/>
              <w:ind w:left="180"/>
              <w:spacing w:before="283" w:line="178" w:lineRule="auto"/>
              <w:rPr/>
            </w:pPr>
            <w:r>
              <w:rPr>
                <w:spacing w:val="3"/>
              </w:rPr>
              <w:t>002288</w:t>
            </w:r>
          </w:p>
        </w:tc>
        <w:tc>
          <w:tcPr>
            <w:shd w:val="clear" w:fill="B8CCE4"/>
            <w:tcW w:w="1144" w:type="dxa"/>
            <w:vAlign w:val="top"/>
          </w:tcPr>
          <w:p>
            <w:pPr>
              <w:pStyle w:val="TableText"/>
              <w:ind w:left="144"/>
              <w:spacing w:before="268" w:line="189" w:lineRule="auto"/>
              <w:rPr/>
            </w:pPr>
            <w:r>
              <w:rPr>
                <w:spacing w:val="8"/>
              </w:rPr>
              <w:t>超华科技</w:t>
            </w:r>
          </w:p>
        </w:tc>
        <w:tc>
          <w:tcPr>
            <w:shd w:val="clear" w:fill="B8CCE4"/>
            <w:tcW w:w="6551" w:type="dxa"/>
            <w:vAlign w:val="top"/>
          </w:tcPr>
          <w:p>
            <w:pPr>
              <w:pStyle w:val="TableText"/>
              <w:ind w:left="99" w:right="104"/>
              <w:spacing w:before="87" w:line="219" w:lineRule="auto"/>
              <w:rPr/>
            </w:pPr>
            <w:r>
              <w:rPr>
                <w:spacing w:val="11"/>
              </w:rPr>
              <w:t>实际控制人、控股股东未按规定告知超华科技所持公司股份</w:t>
            </w:r>
            <w:r>
              <w:rPr>
                <w:b/>
                <w:bCs/>
                <w:spacing w:val="11"/>
              </w:rPr>
              <w:t>拟被司法</w:t>
            </w:r>
            <w:r>
              <w:rPr>
                <w:b/>
                <w:bCs/>
                <w:spacing w:val="1"/>
              </w:rPr>
              <w:t xml:space="preserve"> </w:t>
            </w:r>
            <w:r>
              <w:rPr>
                <w:b/>
                <w:bCs/>
                <w:spacing w:val="7"/>
              </w:rPr>
              <w:t>拍卖</w:t>
            </w:r>
            <w:r>
              <w:rPr>
                <w:spacing w:val="7"/>
              </w:rPr>
              <w:t>的情况</w:t>
            </w:r>
            <w:r>
              <w:rPr>
                <w:spacing w:val="-15"/>
              </w:rPr>
              <w:t xml:space="preserve"> </w:t>
            </w:r>
            <w:r>
              <w:rPr>
                <w:spacing w:val="7"/>
              </w:rPr>
              <w:t>，导致公司未及时披露相关情况。</w:t>
            </w:r>
          </w:p>
        </w:tc>
      </w:tr>
      <w:tr>
        <w:trPr>
          <w:trHeight w:val="724" w:hRule="atLeast"/>
        </w:trPr>
        <w:tc>
          <w:tcPr>
            <w:tcW w:w="8794" w:type="dxa"/>
            <w:vAlign w:val="top"/>
            <w:gridSpan w:val="3"/>
          </w:tcPr>
          <w:p>
            <w:pPr>
              <w:pStyle w:val="TableText"/>
              <w:ind w:left="114" w:right="279" w:firstLine="7"/>
              <w:spacing w:before="47" w:line="233" w:lineRule="auto"/>
              <w:rPr/>
            </w:pPr>
            <w:r>
              <w:rPr>
                <w:b/>
                <w:bCs/>
                <w:spacing w:val="9"/>
              </w:rPr>
              <w:t>【行政监管措施】</w:t>
            </w:r>
            <w:r>
              <w:rPr>
                <w:spacing w:val="9"/>
              </w:rPr>
              <w:t>中国证券监督管理委员会广东监管局决定对实际控制人、控股股东梁某锋</w:t>
            </w:r>
            <w:r>
              <w:rPr>
                <w:spacing w:val="16"/>
                <w:w w:val="101"/>
              </w:rPr>
              <w:t xml:space="preserve"> </w:t>
            </w:r>
            <w:r>
              <w:rPr>
                <w:spacing w:val="8"/>
              </w:rPr>
              <w:t>、梁某丰采取出具警示函的行政监管措施。</w:t>
            </w:r>
          </w:p>
        </w:tc>
      </w:tr>
      <w:tr>
        <w:trPr>
          <w:trHeight w:val="1084" w:hRule="atLeast"/>
        </w:trPr>
        <w:tc>
          <w:tcPr>
            <w:shd w:val="clear" w:fill="B8CCE4"/>
            <w:tcW w:w="1099" w:type="dxa"/>
            <w:vAlign w:val="top"/>
          </w:tcPr>
          <w:p>
            <w:pPr>
              <w:spacing w:line="376" w:lineRule="auto"/>
              <w:rPr>
                <w:rFonts w:ascii="Arial"/>
                <w:sz w:val="21"/>
              </w:rPr>
            </w:pPr>
            <w:r/>
          </w:p>
          <w:p>
            <w:pPr>
              <w:pStyle w:val="TableText"/>
              <w:ind w:left="183"/>
              <w:spacing w:before="86" w:line="179" w:lineRule="auto"/>
              <w:rPr/>
            </w:pPr>
            <w:r>
              <w:rPr>
                <w:spacing w:val="3"/>
              </w:rPr>
              <w:t>601881</w:t>
            </w:r>
          </w:p>
        </w:tc>
        <w:tc>
          <w:tcPr>
            <w:shd w:val="clear" w:fill="B8CCE4"/>
            <w:tcW w:w="1144" w:type="dxa"/>
            <w:vAlign w:val="top"/>
          </w:tcPr>
          <w:p>
            <w:pPr>
              <w:spacing w:line="363" w:lineRule="auto"/>
              <w:rPr>
                <w:rFonts w:ascii="Arial"/>
                <w:sz w:val="21"/>
              </w:rPr>
            </w:pPr>
            <w:r/>
          </w:p>
          <w:p>
            <w:pPr>
              <w:pStyle w:val="TableText"/>
              <w:ind w:left="157"/>
              <w:spacing w:before="86" w:line="189" w:lineRule="auto"/>
              <w:rPr/>
            </w:pPr>
            <w:r>
              <w:rPr>
                <w:spacing w:val="5"/>
              </w:rPr>
              <w:t>中国银河</w:t>
            </w:r>
          </w:p>
        </w:tc>
        <w:tc>
          <w:tcPr>
            <w:shd w:val="clear" w:fill="B8CCE4"/>
            <w:tcW w:w="6551" w:type="dxa"/>
            <w:vAlign w:val="top"/>
          </w:tcPr>
          <w:p>
            <w:pPr>
              <w:pStyle w:val="TableText"/>
              <w:ind w:left="100" w:right="101" w:firstLine="12"/>
              <w:spacing w:before="91" w:line="229" w:lineRule="auto"/>
              <w:jc w:val="both"/>
              <w:rPr/>
            </w:pPr>
            <w:r>
              <w:rPr>
                <w:spacing w:val="10"/>
              </w:rPr>
              <w:t>中国银河证券股份有限公司存在开展</w:t>
            </w:r>
            <w:r>
              <w:rPr>
                <w:b/>
                <w:bCs/>
                <w:spacing w:val="10"/>
              </w:rPr>
              <w:t>场外期权及股票质押业务</w:t>
            </w:r>
            <w:r>
              <w:rPr>
                <w:spacing w:val="10"/>
              </w:rPr>
              <w:t>不审慎</w:t>
            </w:r>
            <w:r>
              <w:rPr>
                <w:spacing w:val="18"/>
              </w:rPr>
              <w:t xml:space="preserve"> </w:t>
            </w:r>
            <w:r>
              <w:rPr>
                <w:spacing w:val="14"/>
              </w:rPr>
              <w:t>,对从业人员及其配偶、利害关系人投资行为</w:t>
            </w:r>
            <w:r>
              <w:rPr>
                <w:b/>
                <w:bCs/>
                <w:spacing w:val="14"/>
              </w:rPr>
              <w:t>监控不到位</w:t>
            </w:r>
            <w:r>
              <w:rPr>
                <w:spacing w:val="14"/>
              </w:rPr>
              <w:t>的情况,反映</w:t>
            </w:r>
            <w:r>
              <w:rPr>
                <w:spacing w:val="2"/>
              </w:rPr>
              <w:t xml:space="preserve"> </w:t>
            </w:r>
            <w:r>
              <w:rPr>
                <w:spacing w:val="8"/>
              </w:rPr>
              <w:t>出公司未能有效实施合规管理。</w:t>
            </w:r>
          </w:p>
        </w:tc>
      </w:tr>
      <w:tr>
        <w:trPr>
          <w:trHeight w:val="724" w:hRule="atLeast"/>
        </w:trPr>
        <w:tc>
          <w:tcPr>
            <w:tcW w:w="8794" w:type="dxa"/>
            <w:vAlign w:val="top"/>
            <w:gridSpan w:val="3"/>
          </w:tcPr>
          <w:p>
            <w:pPr>
              <w:pStyle w:val="TableText"/>
              <w:ind w:left="104" w:right="279" w:firstLine="17"/>
              <w:spacing w:before="50" w:line="232" w:lineRule="auto"/>
              <w:rPr/>
            </w:pPr>
            <w:r>
              <w:rPr>
                <w:b/>
                <w:bCs/>
                <w:spacing w:val="9"/>
              </w:rPr>
              <w:t>【行政监管措施】</w:t>
            </w:r>
            <w:r>
              <w:rPr>
                <w:spacing w:val="9"/>
              </w:rPr>
              <w:t>中国证券监督管理委员会北京监管局决定对中国银河证券股份有限公司采</w:t>
            </w:r>
            <w:r>
              <w:rPr>
                <w:spacing w:val="16"/>
                <w:w w:val="101"/>
              </w:rPr>
              <w:t xml:space="preserve"> </w:t>
            </w:r>
            <w:r>
              <w:rPr>
                <w:spacing w:val="8"/>
              </w:rPr>
              <w:t>取出具警示函的行政监管措施。</w:t>
            </w:r>
          </w:p>
        </w:tc>
      </w:tr>
      <w:tr>
        <w:trPr>
          <w:trHeight w:val="724" w:hRule="atLeast"/>
        </w:trPr>
        <w:tc>
          <w:tcPr>
            <w:shd w:val="clear" w:fill="B8CCE4"/>
            <w:tcW w:w="1099" w:type="dxa"/>
            <w:vAlign w:val="top"/>
          </w:tcPr>
          <w:p>
            <w:pPr>
              <w:pStyle w:val="TableText"/>
              <w:ind w:left="183"/>
              <w:spacing w:before="287" w:line="179" w:lineRule="auto"/>
              <w:rPr/>
            </w:pPr>
            <w:r>
              <w:rPr>
                <w:spacing w:val="3"/>
              </w:rPr>
              <w:t>601881</w:t>
            </w:r>
          </w:p>
        </w:tc>
        <w:tc>
          <w:tcPr>
            <w:shd w:val="clear" w:fill="B8CCE4"/>
            <w:tcW w:w="1144" w:type="dxa"/>
            <w:vAlign w:val="top"/>
          </w:tcPr>
          <w:p>
            <w:pPr>
              <w:pStyle w:val="TableText"/>
              <w:ind w:left="157"/>
              <w:spacing w:before="274" w:line="189" w:lineRule="auto"/>
              <w:rPr/>
            </w:pPr>
            <w:r>
              <w:rPr>
                <w:spacing w:val="5"/>
              </w:rPr>
              <w:t>中国银河</w:t>
            </w:r>
          </w:p>
        </w:tc>
        <w:tc>
          <w:tcPr>
            <w:shd w:val="clear" w:fill="B8CCE4"/>
            <w:tcW w:w="6551" w:type="dxa"/>
            <w:vAlign w:val="top"/>
          </w:tcPr>
          <w:p>
            <w:pPr>
              <w:pStyle w:val="TableText"/>
              <w:ind w:left="109" w:right="104" w:firstLine="3"/>
              <w:spacing w:before="93" w:line="217" w:lineRule="auto"/>
              <w:rPr/>
            </w:pPr>
            <w:r>
              <w:rPr>
                <w:spacing w:val="16"/>
              </w:rPr>
              <w:t>中国银河证券股份有限公司存在开展</w:t>
            </w:r>
            <w:r>
              <w:rPr>
                <w:b/>
                <w:bCs/>
                <w:spacing w:val="16"/>
              </w:rPr>
              <w:t>股票质</w:t>
            </w:r>
            <w:r>
              <w:rPr>
                <w:b/>
                <w:bCs/>
                <w:spacing w:val="15"/>
              </w:rPr>
              <w:t>押业务</w:t>
            </w:r>
            <w:r>
              <w:rPr>
                <w:spacing w:val="15"/>
              </w:rPr>
              <w:t>不审慎的情况,反</w:t>
            </w:r>
            <w:r>
              <w:rPr/>
              <w:t xml:space="preserve"> </w:t>
            </w:r>
            <w:r>
              <w:rPr>
                <w:spacing w:val="8"/>
              </w:rPr>
              <w:t>映出公司未能有效实施合规管理。</w:t>
            </w:r>
          </w:p>
        </w:tc>
      </w:tr>
      <w:tr>
        <w:trPr>
          <w:trHeight w:val="724" w:hRule="atLeast"/>
        </w:trPr>
        <w:tc>
          <w:tcPr>
            <w:tcW w:w="8794" w:type="dxa"/>
            <w:vAlign w:val="top"/>
            <w:gridSpan w:val="3"/>
          </w:tcPr>
          <w:p>
            <w:pPr>
              <w:pStyle w:val="TableText"/>
              <w:ind w:left="107" w:right="279" w:firstLine="14"/>
              <w:spacing w:before="53" w:line="231" w:lineRule="auto"/>
              <w:rPr/>
            </w:pPr>
            <w:r>
              <w:rPr>
                <w:b/>
                <w:bCs/>
                <w:spacing w:val="9"/>
              </w:rPr>
              <w:t>【行政监管措施】</w:t>
            </w:r>
            <w:r>
              <w:rPr>
                <w:spacing w:val="9"/>
              </w:rPr>
              <w:t>中国证券监督管理委员会北京监管局决定对高级管理人员罗某明采取出具</w:t>
            </w:r>
            <w:r>
              <w:rPr>
                <w:spacing w:val="16"/>
                <w:w w:val="101"/>
              </w:rPr>
              <w:t xml:space="preserve"> </w:t>
            </w:r>
            <w:r>
              <w:rPr>
                <w:spacing w:val="8"/>
              </w:rPr>
              <w:t>警示函的行政监管措施。</w:t>
            </w:r>
          </w:p>
        </w:tc>
      </w:tr>
      <w:tr>
        <w:trPr>
          <w:trHeight w:val="2163" w:hRule="atLeast"/>
        </w:trPr>
        <w:tc>
          <w:tcPr>
            <w:shd w:val="clear" w:fill="B8CCE4"/>
            <w:tcW w:w="1099" w:type="dxa"/>
            <w:vAlign w:val="top"/>
          </w:tcPr>
          <w:p>
            <w:pPr>
              <w:spacing w:line="307" w:lineRule="auto"/>
              <w:rPr>
                <w:rFonts w:ascii="Arial"/>
                <w:sz w:val="21"/>
              </w:rPr>
            </w:pPr>
            <w:r/>
          </w:p>
          <w:p>
            <w:pPr>
              <w:spacing w:line="307" w:lineRule="auto"/>
              <w:rPr>
                <w:rFonts w:ascii="Arial"/>
                <w:sz w:val="21"/>
              </w:rPr>
            </w:pPr>
            <w:r/>
          </w:p>
          <w:p>
            <w:pPr>
              <w:spacing w:line="308" w:lineRule="auto"/>
              <w:rPr>
                <w:rFonts w:ascii="Arial"/>
                <w:sz w:val="21"/>
              </w:rPr>
            </w:pPr>
            <w:r/>
          </w:p>
          <w:p>
            <w:pPr>
              <w:pStyle w:val="TableText"/>
              <w:ind w:left="180"/>
              <w:spacing w:before="86" w:line="178" w:lineRule="auto"/>
              <w:rPr/>
            </w:pPr>
            <w:r>
              <w:rPr>
                <w:spacing w:val="3"/>
              </w:rPr>
              <w:t>002229</w:t>
            </w:r>
          </w:p>
        </w:tc>
        <w:tc>
          <w:tcPr>
            <w:shd w:val="clear" w:fill="B8CCE4"/>
            <w:tcW w:w="1144" w:type="dxa"/>
            <w:vAlign w:val="top"/>
          </w:tcPr>
          <w:p>
            <w:pPr>
              <w:spacing w:line="302"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144"/>
              <w:spacing w:before="85" w:line="189" w:lineRule="auto"/>
              <w:rPr/>
            </w:pPr>
            <w:r>
              <w:rPr>
                <w:spacing w:val="8"/>
              </w:rPr>
              <w:t>鸿博股份</w:t>
            </w:r>
          </w:p>
        </w:tc>
        <w:tc>
          <w:tcPr>
            <w:shd w:val="clear" w:fill="B8CCE4"/>
            <w:tcW w:w="6551" w:type="dxa"/>
            <w:vAlign w:val="top"/>
          </w:tcPr>
          <w:p>
            <w:pPr>
              <w:pStyle w:val="TableText"/>
              <w:ind w:left="98" w:right="104" w:firstLine="1"/>
              <w:spacing w:before="94"/>
              <w:rPr/>
            </w:pPr>
            <w:r>
              <w:rPr>
                <w:spacing w:val="12"/>
              </w:rPr>
              <w:t>鸿博股份有限公司于2024年1月11日披露2023</w:t>
            </w:r>
            <w:r>
              <w:rPr>
                <w:spacing w:val="11"/>
              </w:rPr>
              <w:t>年度业绩预告</w:t>
            </w:r>
            <w:r>
              <w:rPr>
                <w:spacing w:val="-20"/>
              </w:rPr>
              <w:t xml:space="preserve"> </w:t>
            </w:r>
            <w:r>
              <w:rPr>
                <w:spacing w:val="11"/>
              </w:rPr>
              <w:t>，预计</w:t>
            </w:r>
            <w:r>
              <w:rPr/>
              <w:t xml:space="preserve"> </w:t>
            </w:r>
            <w:r>
              <w:rPr>
                <w:spacing w:val="12"/>
              </w:rPr>
              <w:t>2023年归属于上市公司股东的净利润为盈利3,740万元至5,61</w:t>
            </w:r>
            <w:r>
              <w:rPr>
                <w:spacing w:val="11"/>
              </w:rPr>
              <w:t>0万元</w:t>
            </w:r>
            <w:r>
              <w:rPr/>
              <w:t xml:space="preserve"> </w:t>
            </w:r>
            <w:r>
              <w:rPr>
                <w:spacing w:val="20"/>
              </w:rPr>
              <w:t>,</w:t>
            </w:r>
            <w:r>
              <w:rPr>
                <w:spacing w:val="25"/>
              </w:rPr>
              <w:t xml:space="preserve">  </w:t>
            </w:r>
            <w:r>
              <w:rPr>
                <w:spacing w:val="20"/>
              </w:rPr>
              <w:t>扣除非经常性损益后的净利润为盈利2,840</w:t>
            </w:r>
            <w:r>
              <w:rPr>
                <w:spacing w:val="19"/>
              </w:rPr>
              <w:t>万元至4,260万元</w:t>
            </w:r>
            <w:r>
              <w:rPr>
                <w:spacing w:val="-27"/>
              </w:rPr>
              <w:t xml:space="preserve"> </w:t>
            </w:r>
            <w:r>
              <w:rPr>
                <w:spacing w:val="19"/>
              </w:rPr>
              <w:t>。</w:t>
            </w:r>
            <w:r>
              <w:rPr/>
              <w:t xml:space="preserve"> </w:t>
            </w:r>
            <w:r>
              <w:rPr>
                <w:spacing w:val="7"/>
              </w:rPr>
              <w:t>2024年4月13日</w:t>
            </w:r>
            <w:r>
              <w:rPr>
                <w:spacing w:val="-25"/>
              </w:rPr>
              <w:t xml:space="preserve"> </w:t>
            </w:r>
            <w:r>
              <w:rPr>
                <w:spacing w:val="7"/>
              </w:rPr>
              <w:t>，公司披露业绩预告修</w:t>
            </w:r>
            <w:r>
              <w:rPr>
                <w:spacing w:val="6"/>
              </w:rPr>
              <w:t>正公告</w:t>
            </w:r>
            <w:r>
              <w:rPr>
                <w:spacing w:val="-26"/>
              </w:rPr>
              <w:t xml:space="preserve"> </w:t>
            </w:r>
            <w:r>
              <w:rPr>
                <w:spacing w:val="6"/>
              </w:rPr>
              <w:t>，</w:t>
            </w:r>
            <w:r>
              <w:rPr>
                <w:spacing w:val="-33"/>
              </w:rPr>
              <w:t xml:space="preserve"> </w:t>
            </w:r>
            <w:r>
              <w:rPr>
                <w:spacing w:val="6"/>
              </w:rPr>
              <w:t>因</w:t>
            </w:r>
            <w:r>
              <w:rPr>
                <w:b/>
                <w:bCs/>
                <w:spacing w:val="6"/>
              </w:rPr>
              <w:t>设备销售收入原入</w:t>
            </w:r>
            <w:r>
              <w:rPr>
                <w:b/>
                <w:bCs/>
              </w:rPr>
              <w:t xml:space="preserve"> </w:t>
            </w:r>
            <w:r>
              <w:rPr>
                <w:b/>
                <w:bCs/>
                <w:spacing w:val="9"/>
              </w:rPr>
              <w:t>账时间未得到审计机构认同</w:t>
            </w:r>
            <w:r>
              <w:rPr>
                <w:b/>
                <w:bCs/>
                <w:spacing w:val="-20"/>
              </w:rPr>
              <w:t xml:space="preserve"> </w:t>
            </w:r>
            <w:r>
              <w:rPr>
                <w:spacing w:val="9"/>
              </w:rPr>
              <w:t>，预计2023年净利润更正为亏损5,000万</w:t>
            </w:r>
            <w:r>
              <w:rPr/>
              <w:t xml:space="preserve"> </w:t>
            </w:r>
            <w:r>
              <w:rPr>
                <w:spacing w:val="6"/>
              </w:rPr>
              <w:t>元至5,800万元</w:t>
            </w:r>
            <w:r>
              <w:rPr>
                <w:spacing w:val="-11"/>
              </w:rPr>
              <w:t xml:space="preserve"> </w:t>
            </w:r>
            <w:r>
              <w:rPr>
                <w:spacing w:val="6"/>
              </w:rPr>
              <w:t>，扣非净利润为亏损6,500万元至7,500万元。</w:t>
            </w:r>
          </w:p>
        </w:tc>
      </w:tr>
      <w:tr>
        <w:trPr>
          <w:trHeight w:val="724" w:hRule="atLeast"/>
        </w:trPr>
        <w:tc>
          <w:tcPr>
            <w:tcW w:w="8794" w:type="dxa"/>
            <w:vAlign w:val="top"/>
            <w:gridSpan w:val="3"/>
          </w:tcPr>
          <w:p>
            <w:pPr>
              <w:pStyle w:val="TableText"/>
              <w:ind w:left="106" w:right="325" w:firstLine="15"/>
              <w:spacing w:before="56" w:line="230" w:lineRule="auto"/>
              <w:rPr/>
            </w:pPr>
            <w:r>
              <w:rPr>
                <w:b/>
                <w:bCs/>
                <w:spacing w:val="8"/>
              </w:rPr>
              <w:t>【行政监管措施】</w:t>
            </w:r>
            <w:r>
              <w:rPr>
                <w:spacing w:val="8"/>
              </w:rPr>
              <w:t>中国证券监督管理委员会福建监管局决定对鸿博股份及时任董事长倪某、</w:t>
            </w:r>
            <w:r>
              <w:rPr>
                <w:spacing w:val="10"/>
              </w:rPr>
              <w:t xml:space="preserve"> </w:t>
            </w:r>
            <w:r>
              <w:rPr>
                <w:spacing w:val="9"/>
              </w:rPr>
              <w:t>财务总监浦某采取出具警示函的行政监管措施</w:t>
            </w:r>
            <w:r>
              <w:rPr>
                <w:spacing w:val="-25"/>
              </w:rPr>
              <w:t xml:space="preserve"> </w:t>
            </w:r>
            <w:r>
              <w:rPr>
                <w:spacing w:val="9"/>
              </w:rPr>
              <w:t>，并记入证</w:t>
            </w:r>
            <w:r>
              <w:rPr>
                <w:spacing w:val="8"/>
              </w:rPr>
              <w:t>券期货市场诚信档案数据库。</w:t>
            </w:r>
          </w:p>
        </w:tc>
      </w:tr>
      <w:tr>
        <w:trPr>
          <w:trHeight w:val="1443" w:hRule="atLeast"/>
        </w:trPr>
        <w:tc>
          <w:tcPr>
            <w:shd w:val="clear" w:fill="B8CCE4"/>
            <w:tcW w:w="1099" w:type="dxa"/>
            <w:vAlign w:val="top"/>
          </w:tcPr>
          <w:p>
            <w:pPr>
              <w:spacing w:line="284" w:lineRule="auto"/>
              <w:rPr>
                <w:rFonts w:ascii="Arial"/>
                <w:sz w:val="21"/>
              </w:rPr>
            </w:pPr>
            <w:r/>
          </w:p>
          <w:p>
            <w:pPr>
              <w:spacing w:line="284" w:lineRule="auto"/>
              <w:rPr>
                <w:rFonts w:ascii="Arial"/>
                <w:sz w:val="21"/>
              </w:rPr>
            </w:pPr>
            <w:r/>
          </w:p>
          <w:p>
            <w:pPr>
              <w:pStyle w:val="TableText"/>
              <w:ind w:left="180"/>
              <w:spacing w:before="86" w:line="178" w:lineRule="auto"/>
              <w:rPr/>
            </w:pPr>
            <w:r>
              <w:rPr>
                <w:spacing w:val="3"/>
              </w:rPr>
              <w:t>000903</w:t>
            </w:r>
          </w:p>
        </w:tc>
        <w:tc>
          <w:tcPr>
            <w:shd w:val="clear" w:fill="B8CCE4"/>
            <w:tcW w:w="1144" w:type="dxa"/>
            <w:vAlign w:val="top"/>
          </w:tcPr>
          <w:p>
            <w:pPr>
              <w:spacing w:line="277" w:lineRule="auto"/>
              <w:rPr>
                <w:rFonts w:ascii="Arial"/>
                <w:sz w:val="21"/>
              </w:rPr>
            </w:pPr>
            <w:r/>
          </w:p>
          <w:p>
            <w:pPr>
              <w:spacing w:line="278" w:lineRule="auto"/>
              <w:rPr>
                <w:rFonts w:ascii="Arial"/>
                <w:sz w:val="21"/>
              </w:rPr>
            </w:pPr>
            <w:r/>
          </w:p>
          <w:p>
            <w:pPr>
              <w:pStyle w:val="TableText"/>
              <w:ind w:left="146"/>
              <w:spacing w:before="86" w:line="188" w:lineRule="auto"/>
              <w:rPr/>
            </w:pPr>
            <w:r>
              <w:rPr>
                <w:spacing w:val="8"/>
              </w:rPr>
              <w:t>云内动力</w:t>
            </w:r>
          </w:p>
        </w:tc>
        <w:tc>
          <w:tcPr>
            <w:shd w:val="clear" w:fill="B8CCE4"/>
            <w:tcW w:w="6551" w:type="dxa"/>
            <w:vAlign w:val="top"/>
          </w:tcPr>
          <w:p>
            <w:pPr>
              <w:pStyle w:val="TableText"/>
              <w:ind w:left="99" w:right="104" w:firstLine="13"/>
              <w:spacing w:before="66" w:line="239" w:lineRule="auto"/>
              <w:rPr/>
            </w:pPr>
            <w:r>
              <w:rPr>
                <w:spacing w:val="12"/>
              </w:rPr>
              <w:t>中审众环会计师事务所(特殊普通合伙)及注册会计师在执行昆明云内 </w:t>
            </w:r>
            <w:r>
              <w:rPr>
                <w:spacing w:val="16"/>
              </w:rPr>
              <w:t>动力股份有限公司</w:t>
            </w:r>
            <w:r>
              <w:rPr>
                <w:b/>
                <w:bCs/>
                <w:spacing w:val="16"/>
              </w:rPr>
              <w:t>2021年财务报表审计业务</w:t>
            </w:r>
            <w:r>
              <w:rPr>
                <w:spacing w:val="16"/>
              </w:rPr>
              <w:t>（众环审字（2022） </w:t>
            </w:r>
            <w:r>
              <w:rPr>
                <w:spacing w:val="11"/>
              </w:rPr>
              <w:t>1610035</w:t>
            </w:r>
            <w:r>
              <w:rPr>
                <w:spacing w:val="-15"/>
              </w:rPr>
              <w:t xml:space="preserve"> </w:t>
            </w:r>
            <w:r>
              <w:rPr>
                <w:spacing w:val="11"/>
              </w:rPr>
              <w:t>号</w:t>
            </w:r>
            <w:r>
              <w:rPr>
                <w:spacing w:val="-17"/>
              </w:rPr>
              <w:t xml:space="preserve"> </w:t>
            </w:r>
            <w:r>
              <w:rPr>
                <w:spacing w:val="11"/>
              </w:rPr>
              <w:t>）</w:t>
            </w:r>
            <w:r>
              <w:rPr>
                <w:spacing w:val="-27"/>
              </w:rPr>
              <w:t xml:space="preserve"> </w:t>
            </w:r>
            <w:r>
              <w:rPr>
                <w:spacing w:val="11"/>
              </w:rPr>
              <w:t>和</w:t>
            </w:r>
            <w:r>
              <w:rPr>
                <w:b/>
                <w:bCs/>
                <w:spacing w:val="11"/>
              </w:rPr>
              <w:t>2022年财务报表审计业务</w:t>
            </w:r>
            <w:r>
              <w:rPr>
                <w:b/>
                <w:bCs/>
                <w:spacing w:val="-27"/>
              </w:rPr>
              <w:t xml:space="preserve"> </w:t>
            </w:r>
            <w:r>
              <w:rPr>
                <w:spacing w:val="11"/>
              </w:rPr>
              <w:t>（众</w:t>
            </w:r>
            <w:r>
              <w:rPr>
                <w:spacing w:val="-32"/>
              </w:rPr>
              <w:t xml:space="preserve"> </w:t>
            </w:r>
            <w:r>
              <w:rPr>
                <w:spacing w:val="11"/>
              </w:rPr>
              <w:t>环</w:t>
            </w:r>
            <w:r>
              <w:rPr>
                <w:spacing w:val="-24"/>
              </w:rPr>
              <w:t xml:space="preserve"> </w:t>
            </w:r>
            <w:r>
              <w:rPr>
                <w:spacing w:val="11"/>
              </w:rPr>
              <w:t>审</w:t>
            </w:r>
            <w:r>
              <w:rPr>
                <w:spacing w:val="-32"/>
              </w:rPr>
              <w:t xml:space="preserve"> </w:t>
            </w:r>
            <w:r>
              <w:rPr>
                <w:spacing w:val="11"/>
              </w:rPr>
              <w:t>字</w:t>
            </w:r>
            <w:r>
              <w:rPr>
                <w:spacing w:val="-29"/>
              </w:rPr>
              <w:t xml:space="preserve"> </w:t>
            </w:r>
            <w:r>
              <w:rPr>
                <w:spacing w:val="11"/>
              </w:rPr>
              <w:t>（</w:t>
            </w:r>
            <w:r>
              <w:rPr>
                <w:spacing w:val="-7"/>
              </w:rPr>
              <w:t xml:space="preserve"> </w:t>
            </w:r>
            <w:r>
              <w:rPr>
                <w:spacing w:val="11"/>
              </w:rPr>
              <w:t>2023） </w:t>
            </w:r>
            <w:r>
              <w:rPr>
                <w:spacing w:val="5"/>
              </w:rPr>
              <w:t>1600136号）</w:t>
            </w:r>
            <w:r>
              <w:rPr>
                <w:spacing w:val="-30"/>
              </w:rPr>
              <w:t xml:space="preserve"> </w:t>
            </w:r>
            <w:r>
              <w:rPr>
                <w:spacing w:val="5"/>
              </w:rPr>
              <w:t>中存在问题。</w:t>
            </w:r>
          </w:p>
        </w:tc>
      </w:tr>
      <w:tr>
        <w:trPr>
          <w:trHeight w:val="1091" w:hRule="atLeast"/>
        </w:trPr>
        <w:tc>
          <w:tcPr>
            <w:tcW w:w="8794" w:type="dxa"/>
            <w:vAlign w:val="top"/>
            <w:gridSpan w:val="3"/>
          </w:tcPr>
          <w:p>
            <w:pPr>
              <w:pStyle w:val="TableText"/>
              <w:ind w:left="105" w:right="104" w:firstLine="16"/>
              <w:spacing w:before="64" w:line="237" w:lineRule="auto"/>
              <w:jc w:val="both"/>
              <w:rPr/>
            </w:pPr>
            <w:r>
              <w:rPr>
                <w:b/>
                <w:bCs/>
                <w:spacing w:val="14"/>
              </w:rPr>
              <w:t>【行政监管措施】</w:t>
            </w:r>
            <w:r>
              <w:rPr>
                <w:spacing w:val="14"/>
              </w:rPr>
              <w:t>中国证券监督管理委员会云南监管局决定对中审众环</w:t>
            </w:r>
            <w:r>
              <w:rPr>
                <w:spacing w:val="13"/>
              </w:rPr>
              <w:t>会计师事务所（特殊</w:t>
            </w:r>
            <w:r>
              <w:rPr/>
              <w:t xml:space="preserve"> </w:t>
            </w:r>
            <w:r>
              <w:rPr>
                <w:spacing w:val="12"/>
              </w:rPr>
              <w:t>普通合伙）</w:t>
            </w:r>
            <w:r>
              <w:rPr>
                <w:spacing w:val="-10"/>
              </w:rPr>
              <w:t xml:space="preserve"> </w:t>
            </w:r>
            <w:r>
              <w:rPr>
                <w:spacing w:val="12"/>
              </w:rPr>
              <w:t>、注册会计师采取责令改正并出具警示函的行政监管措施</w:t>
            </w:r>
            <w:r>
              <w:rPr>
                <w:spacing w:val="-20"/>
              </w:rPr>
              <w:t xml:space="preserve"> </w:t>
            </w:r>
            <w:r>
              <w:rPr>
                <w:spacing w:val="12"/>
              </w:rPr>
              <w:t>，并记入证券期货市场</w:t>
            </w:r>
            <w:r>
              <w:rPr/>
              <w:t xml:space="preserve"> </w:t>
            </w:r>
            <w:r>
              <w:rPr>
                <w:spacing w:val="6"/>
              </w:rPr>
              <w:t>诚信档案。</w:t>
            </w:r>
          </w:p>
        </w:tc>
      </w:tr>
    </w:tbl>
    <w:p>
      <w:pPr>
        <w:pStyle w:val="BodyText"/>
        <w:spacing w:line="14" w:lineRule="auto"/>
        <w:rPr>
          <w:sz w:val="2"/>
        </w:rPr>
      </w:pPr>
      <w:r/>
    </w:p>
    <w:p>
      <w:pPr>
        <w:spacing w:line="14" w:lineRule="auto"/>
        <w:sectPr>
          <w:pgSz w:w="11910" w:h="16840"/>
          <w:pgMar w:top="400" w:right="1559" w:bottom="205" w:left="478" w:header="0" w:footer="0" w:gutter="0"/>
        </w:sectPr>
        <w:rPr>
          <w:sz w:val="2"/>
          <w:szCs w:val="2"/>
        </w:rPr>
      </w:pPr>
    </w:p>
    <w:tbl>
      <w:tblPr>
        <w:tblStyle w:val="TableNormal"/>
        <w:tblW w:w="879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9"/>
        <w:gridCol w:w="1144"/>
        <w:gridCol w:w="6551"/>
      </w:tblGrid>
      <w:tr>
        <w:trPr>
          <w:trHeight w:val="384" w:hRule="atLeast"/>
        </w:trPr>
        <w:tc>
          <w:tcPr>
            <w:shd w:val="clear" w:fill="B8CCE4"/>
            <w:tcW w:w="1099" w:type="dxa"/>
            <w:vAlign w:val="top"/>
            <w:tcBorders>
              <w:top w:val="single" w:color="4F81BD" w:sz="2" w:space="0"/>
            </w:tcBorders>
          </w:tcPr>
          <w:p>
            <w:pPr>
              <w:pStyle w:val="TableText"/>
              <w:ind w:left="183"/>
              <w:spacing w:before="115" w:line="179" w:lineRule="auto"/>
              <w:rPr/>
            </w:pPr>
            <w:r>
              <w:rPr>
                <w:spacing w:val="3"/>
              </w:rPr>
              <w:t>600271</w:t>
            </w:r>
          </w:p>
        </w:tc>
        <w:tc>
          <w:tcPr>
            <w:shd w:val="clear" w:fill="B8CCE4"/>
            <w:tcW w:w="1144" w:type="dxa"/>
            <w:vAlign w:val="top"/>
            <w:tcBorders>
              <w:top w:val="single" w:color="4F81BD" w:sz="2" w:space="0"/>
            </w:tcBorders>
          </w:tcPr>
          <w:p>
            <w:pPr>
              <w:pStyle w:val="TableText"/>
              <w:ind w:left="143"/>
              <w:spacing w:before="102" w:line="189" w:lineRule="auto"/>
              <w:rPr/>
            </w:pPr>
            <w:r>
              <w:rPr>
                <w:spacing w:val="8"/>
              </w:rPr>
              <w:t>航天信息</w:t>
            </w:r>
          </w:p>
        </w:tc>
        <w:tc>
          <w:tcPr>
            <w:shd w:val="clear" w:fill="B8CCE4"/>
            <w:tcW w:w="6551" w:type="dxa"/>
            <w:vAlign w:val="top"/>
            <w:tcBorders>
              <w:top w:val="single" w:color="4F81BD" w:sz="2" w:space="0"/>
            </w:tcBorders>
          </w:tcPr>
          <w:p>
            <w:pPr>
              <w:pStyle w:val="TableText"/>
              <w:ind w:left="99"/>
              <w:spacing w:before="101" w:line="190" w:lineRule="auto"/>
              <w:rPr/>
            </w:pPr>
            <w:r>
              <w:rPr>
                <w:b/>
                <w:bCs/>
                <w:spacing w:val="9"/>
              </w:rPr>
              <w:t>贸易业务</w:t>
            </w:r>
            <w:r>
              <w:rPr>
                <w:spacing w:val="9"/>
              </w:rPr>
              <w:t>核算不规范；</w:t>
            </w:r>
            <w:r>
              <w:rPr>
                <w:b/>
                <w:bCs/>
                <w:spacing w:val="9"/>
              </w:rPr>
              <w:t>关联交易</w:t>
            </w:r>
            <w:r>
              <w:rPr>
                <w:spacing w:val="9"/>
              </w:rPr>
              <w:t>审议和披露不规范。</w:t>
            </w:r>
          </w:p>
        </w:tc>
      </w:tr>
      <w:tr>
        <w:trPr>
          <w:trHeight w:val="1084" w:hRule="atLeast"/>
        </w:trPr>
        <w:tc>
          <w:tcPr>
            <w:tcW w:w="8794" w:type="dxa"/>
            <w:vAlign w:val="top"/>
            <w:gridSpan w:val="3"/>
          </w:tcPr>
          <w:p>
            <w:pPr>
              <w:pStyle w:val="TableText"/>
              <w:ind w:left="105" w:right="279" w:firstLine="16"/>
              <w:spacing w:before="39" w:line="241" w:lineRule="auto"/>
              <w:jc w:val="both"/>
              <w:rPr/>
            </w:pPr>
            <w:r>
              <w:rPr>
                <w:b/>
                <w:bCs/>
                <w:spacing w:val="9"/>
              </w:rPr>
              <w:t>【行政监管措施】</w:t>
            </w:r>
            <w:r>
              <w:rPr>
                <w:spacing w:val="9"/>
              </w:rPr>
              <w:t>中国证券监督管理委员会北京监管局决定对航天信息及主要责任人员高管</w:t>
            </w:r>
            <w:r>
              <w:rPr>
                <w:spacing w:val="16"/>
                <w:w w:val="101"/>
              </w:rPr>
              <w:t xml:space="preserve"> </w:t>
            </w:r>
            <w:r>
              <w:rPr>
                <w:spacing w:val="9"/>
              </w:rPr>
              <w:t>夏某涛、</w:t>
            </w:r>
            <w:r>
              <w:rPr>
                <w:spacing w:val="-26"/>
              </w:rPr>
              <w:t xml:space="preserve"> </w:t>
            </w:r>
            <w:r>
              <w:rPr>
                <w:spacing w:val="9"/>
              </w:rPr>
              <w:t>时任财务总监张某强、董事会秘书马某洲、财务总监高某明采取出具警示函的行政</w:t>
            </w:r>
            <w:r>
              <w:rPr/>
              <w:t xml:space="preserve"> </w:t>
            </w:r>
            <w:r>
              <w:rPr>
                <w:spacing w:val="8"/>
              </w:rPr>
              <w:t>监管措施,并计入证券期货市场诚信档案。</w:t>
            </w:r>
          </w:p>
        </w:tc>
      </w:tr>
      <w:tr>
        <w:trPr>
          <w:trHeight w:val="364" w:hRule="atLeast"/>
        </w:trPr>
        <w:tc>
          <w:tcPr>
            <w:shd w:val="clear" w:fill="B8CCE4"/>
            <w:tcW w:w="1099" w:type="dxa"/>
            <w:vAlign w:val="top"/>
          </w:tcPr>
          <w:p>
            <w:pPr>
              <w:pStyle w:val="TableText"/>
              <w:ind w:left="186"/>
              <w:spacing w:before="97" w:line="178" w:lineRule="auto"/>
              <w:rPr/>
            </w:pPr>
            <w:r>
              <w:rPr>
                <w:spacing w:val="3"/>
              </w:rPr>
              <w:t>300863</w:t>
            </w:r>
          </w:p>
        </w:tc>
        <w:tc>
          <w:tcPr>
            <w:shd w:val="clear" w:fill="B8CCE4"/>
            <w:tcW w:w="1144" w:type="dxa"/>
            <w:vAlign w:val="top"/>
          </w:tcPr>
          <w:p>
            <w:pPr>
              <w:pStyle w:val="TableText"/>
              <w:ind w:left="250"/>
              <w:spacing w:before="81" w:line="190" w:lineRule="auto"/>
              <w:rPr/>
            </w:pPr>
            <w:r>
              <w:rPr>
                <w:spacing w:val="7"/>
              </w:rPr>
              <w:t>卡倍亿</w:t>
            </w:r>
          </w:p>
        </w:tc>
        <w:tc>
          <w:tcPr>
            <w:shd w:val="clear" w:fill="B8CCE4"/>
            <w:tcW w:w="6551" w:type="dxa"/>
            <w:vAlign w:val="top"/>
          </w:tcPr>
          <w:p>
            <w:pPr>
              <w:pStyle w:val="TableText"/>
              <w:ind w:left="100"/>
              <w:spacing w:before="81" w:line="190" w:lineRule="auto"/>
              <w:rPr/>
            </w:pPr>
            <w:r>
              <w:rPr>
                <w:spacing w:val="9"/>
              </w:rPr>
              <w:t>董事、高管亲属</w:t>
            </w:r>
            <w:r>
              <w:rPr>
                <w:b/>
                <w:bCs/>
                <w:spacing w:val="9"/>
              </w:rPr>
              <w:t>短线交易</w:t>
            </w:r>
            <w:r>
              <w:rPr>
                <w:spacing w:val="9"/>
              </w:rPr>
              <w:t>可转债。</w:t>
            </w:r>
          </w:p>
        </w:tc>
      </w:tr>
      <w:tr>
        <w:trPr>
          <w:trHeight w:val="725" w:hRule="atLeast"/>
        </w:trPr>
        <w:tc>
          <w:tcPr>
            <w:tcW w:w="8794" w:type="dxa"/>
            <w:vAlign w:val="top"/>
            <w:gridSpan w:val="3"/>
          </w:tcPr>
          <w:p>
            <w:pPr>
              <w:pStyle w:val="TableText"/>
              <w:ind w:left="121" w:right="279"/>
              <w:spacing w:before="42" w:line="235" w:lineRule="auto"/>
              <w:rPr/>
            </w:pPr>
            <w:r>
              <w:rPr>
                <w:b/>
                <w:bCs/>
                <w:spacing w:val="9"/>
              </w:rPr>
              <w:t>【行政监管措施】</w:t>
            </w:r>
            <w:r>
              <w:rPr>
                <w:spacing w:val="9"/>
              </w:rPr>
              <w:t>中国证券监督管理委员会宁波监管局决定对董事、高管林某成、林某采取</w:t>
            </w:r>
            <w:r>
              <w:rPr>
                <w:spacing w:val="16"/>
                <w:w w:val="101"/>
              </w:rPr>
              <w:t xml:space="preserve"> </w:t>
            </w:r>
            <w:r>
              <w:rPr>
                <w:spacing w:val="7"/>
              </w:rPr>
              <w:t>出具警示函的行政监管措施</w:t>
            </w:r>
            <w:r>
              <w:rPr>
                <w:spacing w:val="-11"/>
              </w:rPr>
              <w:t xml:space="preserve"> </w:t>
            </w:r>
            <w:r>
              <w:rPr>
                <w:spacing w:val="7"/>
              </w:rPr>
              <w:t>，并记入证券期货市场诚信档案。</w:t>
            </w:r>
          </w:p>
        </w:tc>
      </w:tr>
      <w:tr>
        <w:trPr>
          <w:trHeight w:val="1083" w:hRule="atLeast"/>
        </w:trPr>
        <w:tc>
          <w:tcPr>
            <w:shd w:val="clear" w:fill="B8CCE4"/>
            <w:tcW w:w="1099" w:type="dxa"/>
            <w:vAlign w:val="top"/>
          </w:tcPr>
          <w:p>
            <w:pPr>
              <w:spacing w:line="371" w:lineRule="auto"/>
              <w:rPr>
                <w:rFonts w:ascii="Arial"/>
                <w:sz w:val="21"/>
              </w:rPr>
            </w:pPr>
            <w:r/>
          </w:p>
          <w:p>
            <w:pPr>
              <w:pStyle w:val="TableText"/>
              <w:ind w:left="186"/>
              <w:spacing w:before="86" w:line="178" w:lineRule="auto"/>
              <w:rPr/>
            </w:pPr>
            <w:r>
              <w:rPr>
                <w:spacing w:val="3"/>
              </w:rPr>
              <w:t>300686</w:t>
            </w:r>
          </w:p>
        </w:tc>
        <w:tc>
          <w:tcPr>
            <w:shd w:val="clear" w:fill="B8CCE4"/>
            <w:tcW w:w="1144" w:type="dxa"/>
            <w:vAlign w:val="top"/>
          </w:tcPr>
          <w:p>
            <w:pPr>
              <w:spacing w:line="356" w:lineRule="auto"/>
              <w:rPr>
                <w:rFonts w:ascii="Arial"/>
                <w:sz w:val="21"/>
              </w:rPr>
            </w:pPr>
            <w:r/>
          </w:p>
          <w:p>
            <w:pPr>
              <w:pStyle w:val="TableText"/>
              <w:ind w:left="245"/>
              <w:spacing w:before="86" w:line="189" w:lineRule="auto"/>
              <w:rPr/>
            </w:pPr>
            <w:r>
              <w:rPr>
                <w:spacing w:val="8"/>
              </w:rPr>
              <w:t>智动力</w:t>
            </w:r>
          </w:p>
        </w:tc>
        <w:tc>
          <w:tcPr>
            <w:shd w:val="clear" w:fill="B8CCE4"/>
            <w:tcW w:w="6551" w:type="dxa"/>
            <w:vAlign w:val="top"/>
          </w:tcPr>
          <w:p>
            <w:pPr>
              <w:pStyle w:val="TableText"/>
              <w:ind w:left="97" w:right="101"/>
              <w:spacing w:before="43"/>
              <w:jc w:val="both"/>
              <w:rPr/>
            </w:pPr>
            <w:r>
              <w:rPr>
                <w:spacing w:val="10"/>
              </w:rPr>
              <w:t>信永中和会计师事务所（特殊普通合伙）</w:t>
            </w:r>
            <w:r>
              <w:rPr>
                <w:spacing w:val="-28"/>
              </w:rPr>
              <w:t xml:space="preserve"> </w:t>
            </w:r>
            <w:r>
              <w:rPr>
                <w:spacing w:val="10"/>
              </w:rPr>
              <w:t>、注册会计师执行的深圳市</w:t>
            </w:r>
            <w:r>
              <w:rPr/>
              <w:t xml:space="preserve"> </w:t>
            </w:r>
            <w:r>
              <w:rPr>
                <w:spacing w:val="10"/>
              </w:rPr>
              <w:t>智动力精密技术股份有限公司</w:t>
            </w:r>
            <w:r>
              <w:rPr>
                <w:b/>
                <w:bCs/>
                <w:spacing w:val="10"/>
              </w:rPr>
              <w:t>2021年、</w:t>
            </w:r>
            <w:r>
              <w:rPr>
                <w:b/>
                <w:bCs/>
                <w:spacing w:val="-33"/>
              </w:rPr>
              <w:t xml:space="preserve"> </w:t>
            </w:r>
            <w:r>
              <w:rPr>
                <w:b/>
                <w:bCs/>
                <w:spacing w:val="10"/>
              </w:rPr>
              <w:t>2022年年</w:t>
            </w:r>
            <w:r>
              <w:rPr>
                <w:b/>
                <w:bCs/>
                <w:spacing w:val="9"/>
              </w:rPr>
              <w:t>报审计项目</w:t>
            </w:r>
            <w:r>
              <w:rPr>
                <w:spacing w:val="9"/>
              </w:rPr>
              <w:t>执业存</w:t>
            </w:r>
            <w:r>
              <w:rPr/>
              <w:t xml:space="preserve"> </w:t>
            </w:r>
            <w:r>
              <w:rPr>
                <w:spacing w:val="6"/>
              </w:rPr>
              <w:t>在问题。</w:t>
            </w:r>
          </w:p>
        </w:tc>
      </w:tr>
      <w:tr>
        <w:trPr>
          <w:trHeight w:val="725" w:hRule="atLeast"/>
        </w:trPr>
        <w:tc>
          <w:tcPr>
            <w:tcW w:w="8794" w:type="dxa"/>
            <w:vAlign w:val="top"/>
            <w:gridSpan w:val="3"/>
          </w:tcPr>
          <w:p>
            <w:pPr>
              <w:pStyle w:val="TableText"/>
              <w:ind w:left="106" w:right="279" w:firstLine="15"/>
              <w:spacing w:before="45" w:line="234" w:lineRule="auto"/>
              <w:rPr/>
            </w:pPr>
            <w:r>
              <w:rPr>
                <w:b/>
                <w:bCs/>
                <w:spacing w:val="9"/>
              </w:rPr>
              <w:t>【行政监管措施】</w:t>
            </w:r>
            <w:r>
              <w:rPr>
                <w:spacing w:val="9"/>
              </w:rPr>
              <w:t>中国证券监督管理委员会深圳监管局决定对信永中和会计师事务所（特殊</w:t>
            </w:r>
            <w:r>
              <w:rPr>
                <w:spacing w:val="16"/>
                <w:w w:val="101"/>
              </w:rPr>
              <w:t xml:space="preserve"> </w:t>
            </w:r>
            <w:r>
              <w:rPr>
                <w:spacing w:val="8"/>
              </w:rPr>
              <w:t>普通合伙）</w:t>
            </w:r>
            <w:r>
              <w:rPr>
                <w:spacing w:val="-29"/>
              </w:rPr>
              <w:t xml:space="preserve"> </w:t>
            </w:r>
            <w:r>
              <w:rPr>
                <w:spacing w:val="8"/>
              </w:rPr>
              <w:t>、注册会计师采取出具警示函的监管措施。</w:t>
            </w:r>
          </w:p>
        </w:tc>
      </w:tr>
      <w:tr>
        <w:trPr>
          <w:trHeight w:val="1083" w:hRule="atLeast"/>
        </w:trPr>
        <w:tc>
          <w:tcPr>
            <w:shd w:val="clear" w:fill="B8CCE4"/>
            <w:tcW w:w="1099" w:type="dxa"/>
            <w:vAlign w:val="top"/>
          </w:tcPr>
          <w:p>
            <w:pPr>
              <w:spacing w:line="374" w:lineRule="auto"/>
              <w:rPr>
                <w:rFonts w:ascii="Arial"/>
                <w:sz w:val="21"/>
              </w:rPr>
            </w:pPr>
            <w:r/>
          </w:p>
          <w:p>
            <w:pPr>
              <w:pStyle w:val="TableText"/>
              <w:ind w:left="186"/>
              <w:spacing w:before="86" w:line="178" w:lineRule="auto"/>
              <w:rPr/>
            </w:pPr>
            <w:r>
              <w:rPr>
                <w:spacing w:val="3"/>
              </w:rPr>
              <w:t>300686</w:t>
            </w:r>
          </w:p>
        </w:tc>
        <w:tc>
          <w:tcPr>
            <w:shd w:val="clear" w:fill="B8CCE4"/>
            <w:tcW w:w="1144" w:type="dxa"/>
            <w:vAlign w:val="top"/>
          </w:tcPr>
          <w:p>
            <w:pPr>
              <w:spacing w:line="359" w:lineRule="auto"/>
              <w:rPr>
                <w:rFonts w:ascii="Arial"/>
                <w:sz w:val="21"/>
              </w:rPr>
            </w:pPr>
            <w:r/>
          </w:p>
          <w:p>
            <w:pPr>
              <w:pStyle w:val="TableText"/>
              <w:ind w:left="245"/>
              <w:spacing w:before="86" w:line="189" w:lineRule="auto"/>
              <w:rPr/>
            </w:pPr>
            <w:r>
              <w:rPr>
                <w:spacing w:val="8"/>
              </w:rPr>
              <w:t>智动力</w:t>
            </w:r>
          </w:p>
        </w:tc>
        <w:tc>
          <w:tcPr>
            <w:shd w:val="clear" w:fill="B8CCE4"/>
            <w:tcW w:w="6551" w:type="dxa"/>
            <w:vAlign w:val="top"/>
          </w:tcPr>
          <w:p>
            <w:pPr>
              <w:pStyle w:val="TableText"/>
              <w:ind w:left="100" w:right="104" w:firstLine="1"/>
              <w:spacing w:before="48" w:line="269" w:lineRule="auto"/>
              <w:jc w:val="both"/>
              <w:rPr/>
            </w:pPr>
            <w:r>
              <w:rPr>
                <w:spacing w:val="10"/>
              </w:rPr>
              <w:t>立信会计师事务所（特殊普通合伙）</w:t>
            </w:r>
            <w:r>
              <w:rPr>
                <w:spacing w:val="-31"/>
              </w:rPr>
              <w:t xml:space="preserve"> </w:t>
            </w:r>
            <w:r>
              <w:rPr>
                <w:spacing w:val="10"/>
              </w:rPr>
              <w:t>、注册会计师执行的深圳市智动</w:t>
            </w:r>
            <w:r>
              <w:rPr/>
              <w:t xml:space="preserve"> </w:t>
            </w:r>
            <w:r>
              <w:rPr>
                <w:spacing w:val="10"/>
              </w:rPr>
              <w:t>力精密技术股份有限公司</w:t>
            </w:r>
            <w:r>
              <w:rPr>
                <w:b/>
                <w:bCs/>
                <w:spacing w:val="10"/>
              </w:rPr>
              <w:t>2019年、</w:t>
            </w:r>
            <w:r>
              <w:rPr>
                <w:b/>
                <w:bCs/>
                <w:spacing w:val="-33"/>
              </w:rPr>
              <w:t xml:space="preserve"> </w:t>
            </w:r>
            <w:r>
              <w:rPr>
                <w:b/>
                <w:bCs/>
                <w:spacing w:val="10"/>
              </w:rPr>
              <w:t>202</w:t>
            </w:r>
            <w:r>
              <w:rPr>
                <w:b/>
                <w:bCs/>
                <w:spacing w:val="9"/>
              </w:rPr>
              <w:t>0年年报审计项目</w:t>
            </w:r>
            <w:r>
              <w:rPr>
                <w:spacing w:val="9"/>
              </w:rPr>
              <w:t>执业存在问</w:t>
            </w:r>
          </w:p>
          <w:p>
            <w:pPr>
              <w:pStyle w:val="TableText"/>
              <w:ind w:left="98"/>
              <w:spacing w:line="178" w:lineRule="auto"/>
              <w:rPr/>
            </w:pPr>
            <w:r>
              <w:rPr>
                <w:spacing w:val="3"/>
              </w:rPr>
              <w:t>题。</w:t>
            </w:r>
          </w:p>
        </w:tc>
      </w:tr>
      <w:tr>
        <w:trPr>
          <w:trHeight w:val="725" w:hRule="atLeast"/>
        </w:trPr>
        <w:tc>
          <w:tcPr>
            <w:tcW w:w="8794" w:type="dxa"/>
            <w:vAlign w:val="top"/>
            <w:gridSpan w:val="3"/>
          </w:tcPr>
          <w:p>
            <w:pPr>
              <w:pStyle w:val="TableText"/>
              <w:ind w:left="104" w:right="279" w:firstLine="17"/>
              <w:spacing w:before="48" w:line="233" w:lineRule="auto"/>
              <w:rPr/>
            </w:pPr>
            <w:r>
              <w:rPr>
                <w:b/>
                <w:bCs/>
                <w:spacing w:val="9"/>
              </w:rPr>
              <w:t>【行政监管措施】</w:t>
            </w:r>
            <w:r>
              <w:rPr>
                <w:spacing w:val="9"/>
              </w:rPr>
              <w:t>中国证券监督管理委员会深圳监管局决定对立信会计师事务所（特殊普通</w:t>
            </w:r>
            <w:r>
              <w:rPr>
                <w:spacing w:val="16"/>
                <w:w w:val="101"/>
              </w:rPr>
              <w:t xml:space="preserve"> </w:t>
            </w:r>
            <w:r>
              <w:rPr>
                <w:spacing w:val="8"/>
              </w:rPr>
              <w:t>合伙）</w:t>
            </w:r>
            <w:r>
              <w:rPr>
                <w:spacing w:val="-31"/>
              </w:rPr>
              <w:t xml:space="preserve"> </w:t>
            </w:r>
            <w:r>
              <w:rPr>
                <w:spacing w:val="8"/>
              </w:rPr>
              <w:t>、注册会计师采取出具警示函的监管措施。</w:t>
            </w:r>
          </w:p>
        </w:tc>
      </w:tr>
      <w:tr>
        <w:trPr>
          <w:trHeight w:val="1083" w:hRule="atLeast"/>
        </w:trPr>
        <w:tc>
          <w:tcPr>
            <w:shd w:val="clear" w:fill="B8CCE4"/>
            <w:tcW w:w="1099" w:type="dxa"/>
            <w:vAlign w:val="top"/>
          </w:tcPr>
          <w:p>
            <w:pPr>
              <w:spacing w:line="377" w:lineRule="auto"/>
              <w:rPr>
                <w:rFonts w:ascii="Arial"/>
                <w:sz w:val="21"/>
              </w:rPr>
            </w:pPr>
            <w:r/>
          </w:p>
          <w:p>
            <w:pPr>
              <w:pStyle w:val="TableText"/>
              <w:ind w:left="186"/>
              <w:spacing w:before="85" w:line="178" w:lineRule="auto"/>
              <w:rPr/>
            </w:pPr>
            <w:r>
              <w:rPr>
                <w:spacing w:val="3"/>
              </w:rPr>
              <w:t>300686</w:t>
            </w:r>
          </w:p>
        </w:tc>
        <w:tc>
          <w:tcPr>
            <w:shd w:val="clear" w:fill="B8CCE4"/>
            <w:tcW w:w="1144" w:type="dxa"/>
            <w:vAlign w:val="top"/>
          </w:tcPr>
          <w:p>
            <w:pPr>
              <w:spacing w:line="362" w:lineRule="auto"/>
              <w:rPr>
                <w:rFonts w:ascii="Arial"/>
                <w:sz w:val="21"/>
              </w:rPr>
            </w:pPr>
            <w:r/>
          </w:p>
          <w:p>
            <w:pPr>
              <w:pStyle w:val="TableText"/>
              <w:ind w:left="245"/>
              <w:spacing w:before="86" w:line="189" w:lineRule="auto"/>
              <w:rPr/>
            </w:pPr>
            <w:r>
              <w:rPr>
                <w:spacing w:val="8"/>
              </w:rPr>
              <w:t>智动力</w:t>
            </w:r>
          </w:p>
        </w:tc>
        <w:tc>
          <w:tcPr>
            <w:shd w:val="clear" w:fill="B8CCE4"/>
            <w:tcW w:w="6551" w:type="dxa"/>
            <w:vAlign w:val="top"/>
          </w:tcPr>
          <w:p>
            <w:pPr>
              <w:pStyle w:val="TableText"/>
              <w:ind w:left="97" w:right="104"/>
              <w:spacing w:before="90" w:line="229" w:lineRule="auto"/>
              <w:jc w:val="both"/>
              <w:rPr/>
            </w:pPr>
            <w:r>
              <w:rPr>
                <w:spacing w:val="11"/>
              </w:rPr>
              <w:t>银信资产评估有限公司、评估师执行的深圳市智动力精密技术股份有</w:t>
            </w:r>
            <w:r>
              <w:rPr>
                <w:spacing w:val="2"/>
              </w:rPr>
              <w:t xml:space="preserve"> </w:t>
            </w:r>
            <w:r>
              <w:rPr>
                <w:spacing w:val="14"/>
              </w:rPr>
              <w:t>限公司</w:t>
            </w:r>
            <w:r>
              <w:rPr>
                <w:b/>
                <w:bCs/>
                <w:spacing w:val="14"/>
              </w:rPr>
              <w:t>2021年度财务报告中收购广东阿特斯科技有限公司相关商誉</w:t>
            </w:r>
            <w:r>
              <w:rPr>
                <w:b/>
                <w:bCs/>
                <w:spacing w:val="6"/>
              </w:rPr>
              <w:t xml:space="preserve"> </w:t>
            </w:r>
            <w:r>
              <w:rPr>
                <w:b/>
                <w:bCs/>
                <w:spacing w:val="9"/>
              </w:rPr>
              <w:t>及资产组的资产评估业务</w:t>
            </w:r>
            <w:r>
              <w:rPr>
                <w:spacing w:val="9"/>
              </w:rPr>
              <w:t>存在问题。</w:t>
            </w:r>
          </w:p>
        </w:tc>
      </w:tr>
      <w:tr>
        <w:trPr>
          <w:trHeight w:val="725" w:hRule="atLeast"/>
        </w:trPr>
        <w:tc>
          <w:tcPr>
            <w:tcW w:w="8794" w:type="dxa"/>
            <w:vAlign w:val="top"/>
            <w:gridSpan w:val="3"/>
          </w:tcPr>
          <w:p>
            <w:pPr>
              <w:pStyle w:val="TableText"/>
              <w:ind w:left="115" w:right="104" w:firstLine="6"/>
              <w:spacing w:before="51" w:line="232" w:lineRule="auto"/>
              <w:rPr/>
            </w:pPr>
            <w:r>
              <w:rPr>
                <w:b/>
                <w:bCs/>
                <w:spacing w:val="14"/>
              </w:rPr>
              <w:t>【行政监管措施】</w:t>
            </w:r>
            <w:r>
              <w:rPr>
                <w:spacing w:val="14"/>
              </w:rPr>
              <w:t>中国证券监督管理委员会深圳监管局决定对银信资产</w:t>
            </w:r>
            <w:r>
              <w:rPr>
                <w:spacing w:val="13"/>
              </w:rPr>
              <w:t>评估有限公司、评估</w:t>
            </w:r>
            <w:r>
              <w:rPr/>
              <w:t xml:space="preserve"> </w:t>
            </w:r>
            <w:r>
              <w:rPr>
                <w:spacing w:val="8"/>
              </w:rPr>
              <w:t>师采取出具警示函的监管措施。</w:t>
            </w:r>
          </w:p>
        </w:tc>
      </w:tr>
      <w:tr>
        <w:trPr>
          <w:trHeight w:val="1083" w:hRule="atLeast"/>
        </w:trPr>
        <w:tc>
          <w:tcPr>
            <w:shd w:val="clear" w:fill="B8CCE4"/>
            <w:tcW w:w="1099" w:type="dxa"/>
            <w:vAlign w:val="top"/>
          </w:tcPr>
          <w:p>
            <w:pPr>
              <w:spacing w:line="379" w:lineRule="auto"/>
              <w:rPr>
                <w:rFonts w:ascii="Arial"/>
                <w:sz w:val="21"/>
              </w:rPr>
            </w:pPr>
            <w:r/>
          </w:p>
          <w:p>
            <w:pPr>
              <w:pStyle w:val="TableText"/>
              <w:ind w:left="180"/>
              <w:spacing w:before="86" w:line="178" w:lineRule="auto"/>
              <w:rPr/>
            </w:pPr>
            <w:r>
              <w:rPr>
                <w:spacing w:val="3"/>
              </w:rPr>
              <w:t>002736</w:t>
            </w:r>
          </w:p>
        </w:tc>
        <w:tc>
          <w:tcPr>
            <w:shd w:val="clear" w:fill="B8CCE4"/>
            <w:tcW w:w="1144" w:type="dxa"/>
            <w:vAlign w:val="top"/>
          </w:tcPr>
          <w:p>
            <w:pPr>
              <w:spacing w:line="365" w:lineRule="auto"/>
              <w:rPr>
                <w:rFonts w:ascii="Arial"/>
                <w:sz w:val="21"/>
              </w:rPr>
            </w:pPr>
            <w:r/>
          </w:p>
          <w:p>
            <w:pPr>
              <w:pStyle w:val="TableText"/>
              <w:ind w:left="155"/>
              <w:spacing w:before="86" w:line="189" w:lineRule="auto"/>
              <w:rPr/>
            </w:pPr>
            <w:r>
              <w:rPr>
                <w:spacing w:val="5"/>
              </w:rPr>
              <w:t>国信证券</w:t>
            </w:r>
          </w:p>
        </w:tc>
        <w:tc>
          <w:tcPr>
            <w:shd w:val="clear" w:fill="B8CCE4"/>
            <w:tcW w:w="6551" w:type="dxa"/>
            <w:vAlign w:val="top"/>
          </w:tcPr>
          <w:p>
            <w:pPr>
              <w:pStyle w:val="TableText"/>
              <w:ind w:left="98" w:right="104" w:firstLine="12"/>
              <w:spacing w:before="95" w:line="228" w:lineRule="auto"/>
              <w:jc w:val="both"/>
              <w:rPr/>
            </w:pPr>
            <w:r>
              <w:rPr>
                <w:spacing w:val="11"/>
              </w:rPr>
              <w:t>国信证券股份有限公司2019年至2022年在</w:t>
            </w:r>
            <w:r>
              <w:rPr>
                <w:b/>
                <w:bCs/>
                <w:spacing w:val="11"/>
              </w:rPr>
              <w:t>从事股票质押式回购业务</w:t>
            </w:r>
            <w:r>
              <w:rPr>
                <w:b/>
                <w:bCs/>
                <w:spacing w:val="18"/>
                <w:w w:val="101"/>
              </w:rPr>
              <w:t xml:space="preserve"> </w:t>
            </w:r>
            <w:r>
              <w:rPr>
                <w:spacing w:val="10"/>
              </w:rPr>
              <w:t>中存在以下问题</w:t>
            </w:r>
            <w:r>
              <w:rPr>
                <w:spacing w:val="-18"/>
              </w:rPr>
              <w:t xml:space="preserve"> </w:t>
            </w:r>
            <w:r>
              <w:rPr>
                <w:spacing w:val="10"/>
              </w:rPr>
              <w:t>：个别标的黑名单管理不到位</w:t>
            </w:r>
            <w:r>
              <w:rPr>
                <w:spacing w:val="9"/>
              </w:rPr>
              <w:t>、个别标的尽职调查不</w:t>
            </w:r>
            <w:r>
              <w:rPr/>
              <w:t xml:space="preserve"> </w:t>
            </w:r>
            <w:r>
              <w:rPr>
                <w:spacing w:val="9"/>
              </w:rPr>
              <w:t>充分、在业务融入方出现风险后仍多次有条件延期造成大额损失。</w:t>
            </w:r>
          </w:p>
        </w:tc>
      </w:tr>
      <w:tr>
        <w:trPr>
          <w:trHeight w:val="725" w:hRule="atLeast"/>
        </w:trPr>
        <w:tc>
          <w:tcPr>
            <w:tcW w:w="8794" w:type="dxa"/>
            <w:vAlign w:val="top"/>
            <w:gridSpan w:val="3"/>
          </w:tcPr>
          <w:p>
            <w:pPr>
              <w:pStyle w:val="TableText"/>
              <w:ind w:left="117" w:right="279" w:firstLine="4"/>
              <w:spacing w:before="54" w:line="231" w:lineRule="auto"/>
              <w:rPr/>
            </w:pPr>
            <w:r>
              <w:rPr>
                <w:b/>
                <w:bCs/>
                <w:spacing w:val="9"/>
              </w:rPr>
              <w:t>【行政监管措施】</w:t>
            </w:r>
            <w:r>
              <w:rPr>
                <w:spacing w:val="9"/>
              </w:rPr>
              <w:t>中国证券监督管理委员会深圳监管局决定对时任高管杜某江采取出具警示</w:t>
            </w:r>
            <w:r>
              <w:rPr>
                <w:spacing w:val="16"/>
                <w:w w:val="101"/>
              </w:rPr>
              <w:t xml:space="preserve"> </w:t>
            </w:r>
            <w:r>
              <w:rPr>
                <w:spacing w:val="6"/>
              </w:rPr>
              <w:t>函的行政监管措施。</w:t>
            </w:r>
          </w:p>
        </w:tc>
      </w:tr>
      <w:tr>
        <w:trPr>
          <w:trHeight w:val="2522" w:hRule="atLeast"/>
        </w:trPr>
        <w:tc>
          <w:tcPr>
            <w:shd w:val="clear" w:fill="B8CCE4"/>
            <w:tcW w:w="1099" w:type="dxa"/>
            <w:vAlign w:val="top"/>
          </w:tcPr>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80"/>
              <w:spacing w:before="86" w:line="178" w:lineRule="auto"/>
              <w:rPr/>
            </w:pPr>
            <w:r>
              <w:rPr>
                <w:spacing w:val="3"/>
              </w:rPr>
              <w:t>002736</w:t>
            </w:r>
          </w:p>
        </w:tc>
        <w:tc>
          <w:tcPr>
            <w:shd w:val="clear" w:fill="B8CCE4"/>
            <w:tcW w:w="1144" w:type="dxa"/>
            <w:vAlign w:val="top"/>
          </w:tcPr>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55"/>
              <w:spacing w:before="85" w:line="189" w:lineRule="auto"/>
              <w:rPr/>
            </w:pPr>
            <w:r>
              <w:rPr>
                <w:spacing w:val="5"/>
              </w:rPr>
              <w:t>国信证券</w:t>
            </w:r>
          </w:p>
        </w:tc>
        <w:tc>
          <w:tcPr>
            <w:shd w:val="clear" w:fill="B8CCE4"/>
            <w:tcW w:w="6551" w:type="dxa"/>
            <w:vAlign w:val="top"/>
          </w:tcPr>
          <w:p>
            <w:pPr>
              <w:pStyle w:val="TableText"/>
              <w:ind w:left="97" w:right="104" w:firstLine="1"/>
              <w:spacing w:before="99" w:line="241" w:lineRule="auto"/>
              <w:rPr/>
            </w:pPr>
            <w:r>
              <w:rPr>
                <w:spacing w:val="11"/>
              </w:rPr>
              <w:t>股票质押式回购业务个别标的黑名单管理不到位、个别标的尽职调查</w:t>
            </w:r>
            <w:r>
              <w:rPr>
                <w:spacing w:val="2"/>
              </w:rPr>
              <w:t xml:space="preserve"> </w:t>
            </w:r>
            <w:r>
              <w:rPr>
                <w:spacing w:val="11"/>
              </w:rPr>
              <w:t>不充分、在业务融入方出现风险后仍多次有条件延</w:t>
            </w:r>
            <w:r>
              <w:rPr>
                <w:spacing w:val="10"/>
              </w:rPr>
              <w:t>期造成大额损失；</w:t>
            </w:r>
            <w:r>
              <w:rPr/>
              <w:t xml:space="preserve"> </w:t>
            </w:r>
            <w:r>
              <w:rPr>
                <w:spacing w:val="10"/>
              </w:rPr>
              <w:t>纾困产品管理不足</w:t>
            </w:r>
            <w:r>
              <w:rPr>
                <w:spacing w:val="-26"/>
              </w:rPr>
              <w:t xml:space="preserve"> </w:t>
            </w:r>
            <w:r>
              <w:rPr>
                <w:spacing w:val="10"/>
              </w:rPr>
              <w:t>，部分纾困资管产品投向纾困用途的资金未达到规</w:t>
            </w:r>
            <w:r>
              <w:rPr/>
              <w:t xml:space="preserve"> </w:t>
            </w:r>
            <w:r>
              <w:rPr>
                <w:spacing w:val="10"/>
              </w:rPr>
              <w:t>定比例；私募子公司管理不到位</w:t>
            </w:r>
            <w:r>
              <w:rPr>
                <w:spacing w:val="-26"/>
              </w:rPr>
              <w:t xml:space="preserve"> </w:t>
            </w:r>
            <w:r>
              <w:rPr>
                <w:spacing w:val="10"/>
              </w:rPr>
              <w:t>，个别产品未经备案开展业务、个别</w:t>
            </w:r>
            <w:r>
              <w:rPr/>
              <w:t xml:space="preserve"> </w:t>
            </w:r>
            <w:r>
              <w:rPr>
                <w:spacing w:val="11"/>
              </w:rPr>
              <w:t>基金部分投资款被合作方挪用；存在为金融机构及其管理产品规避监</w:t>
            </w:r>
            <w:r>
              <w:rPr>
                <w:spacing w:val="3"/>
              </w:rPr>
              <w:t xml:space="preserve"> </w:t>
            </w:r>
            <w:r>
              <w:rPr>
                <w:spacing w:val="11"/>
              </w:rPr>
              <w:t>管提供便利、为未备案的私募产品提供外包服务、信息隔离墙制度执</w:t>
            </w:r>
            <w:r>
              <w:rPr>
                <w:spacing w:val="3"/>
              </w:rPr>
              <w:t xml:space="preserve"> </w:t>
            </w:r>
            <w:r>
              <w:rPr>
                <w:spacing w:val="8"/>
              </w:rPr>
              <w:t>行不到位等问题。</w:t>
            </w:r>
          </w:p>
        </w:tc>
      </w:tr>
      <w:tr>
        <w:trPr>
          <w:trHeight w:val="725" w:hRule="atLeast"/>
        </w:trPr>
        <w:tc>
          <w:tcPr>
            <w:tcW w:w="8794" w:type="dxa"/>
            <w:vAlign w:val="top"/>
            <w:gridSpan w:val="3"/>
          </w:tcPr>
          <w:p>
            <w:pPr>
              <w:pStyle w:val="TableText"/>
              <w:ind w:left="105" w:right="279" w:firstLine="16"/>
              <w:spacing w:before="60" w:line="229" w:lineRule="auto"/>
              <w:rPr/>
            </w:pPr>
            <w:r>
              <w:rPr>
                <w:b/>
                <w:bCs/>
                <w:spacing w:val="9"/>
              </w:rPr>
              <w:t>【行政监管措施】</w:t>
            </w:r>
            <w:r>
              <w:rPr>
                <w:spacing w:val="9"/>
              </w:rPr>
              <w:t>中国证券监督管理委员会深圳监管局决定对国信证券股份有限公司采取出</w:t>
            </w:r>
            <w:r>
              <w:rPr>
                <w:spacing w:val="16"/>
                <w:w w:val="101"/>
              </w:rPr>
              <w:t xml:space="preserve"> </w:t>
            </w:r>
            <w:r>
              <w:rPr>
                <w:spacing w:val="8"/>
              </w:rPr>
              <w:t>具警示函的行政监管措施。</w:t>
            </w:r>
          </w:p>
        </w:tc>
      </w:tr>
      <w:tr>
        <w:trPr>
          <w:trHeight w:val="364" w:hRule="atLeast"/>
        </w:trPr>
        <w:tc>
          <w:tcPr>
            <w:shd w:val="clear" w:fill="B8CCE4"/>
            <w:tcW w:w="1099" w:type="dxa"/>
            <w:vAlign w:val="top"/>
          </w:tcPr>
          <w:p>
            <w:pPr>
              <w:pStyle w:val="TableText"/>
              <w:ind w:left="186"/>
              <w:spacing w:before="116" w:line="166" w:lineRule="auto"/>
              <w:rPr/>
            </w:pPr>
            <w:r>
              <w:rPr>
                <w:spacing w:val="3"/>
              </w:rPr>
              <w:t>300036</w:t>
            </w:r>
          </w:p>
        </w:tc>
        <w:tc>
          <w:tcPr>
            <w:shd w:val="clear" w:fill="B8CCE4"/>
            <w:tcW w:w="1144" w:type="dxa"/>
            <w:vAlign w:val="top"/>
          </w:tcPr>
          <w:p>
            <w:pPr>
              <w:pStyle w:val="TableText"/>
              <w:ind w:left="144"/>
              <w:spacing w:before="102" w:line="176" w:lineRule="auto"/>
              <w:rPr/>
            </w:pPr>
            <w:r>
              <w:rPr>
                <w:spacing w:val="8"/>
              </w:rPr>
              <w:t>超图软件</w:t>
            </w:r>
          </w:p>
        </w:tc>
        <w:tc>
          <w:tcPr>
            <w:shd w:val="clear" w:fill="B8CCE4"/>
            <w:tcW w:w="6551" w:type="dxa"/>
            <w:vAlign w:val="top"/>
          </w:tcPr>
          <w:p>
            <w:pPr>
              <w:pStyle w:val="TableText"/>
              <w:ind w:left="97"/>
              <w:spacing w:before="63" w:line="203" w:lineRule="auto"/>
              <w:rPr/>
            </w:pPr>
            <w:r>
              <w:rPr>
                <w:spacing w:val="8"/>
              </w:rPr>
              <w:t>《</w:t>
            </w:r>
            <w:r>
              <w:rPr>
                <w:spacing w:val="-30"/>
              </w:rPr>
              <w:t xml:space="preserve"> </w:t>
            </w:r>
            <w:r>
              <w:rPr>
                <w:spacing w:val="8"/>
              </w:rPr>
              <w:t>2023年年度报告》中本年度</w:t>
            </w:r>
            <w:r>
              <w:rPr>
                <w:b/>
                <w:bCs/>
                <w:spacing w:val="8"/>
              </w:rPr>
              <w:t>现金分红金额等数据</w:t>
            </w:r>
            <w:r>
              <w:rPr>
                <w:spacing w:val="8"/>
              </w:rPr>
              <w:t>披露不准确。</w:t>
            </w:r>
          </w:p>
        </w:tc>
      </w:tr>
      <w:tr>
        <w:trPr>
          <w:trHeight w:val="725" w:hRule="atLeast"/>
        </w:trPr>
        <w:tc>
          <w:tcPr>
            <w:tcW w:w="8794" w:type="dxa"/>
            <w:vAlign w:val="top"/>
            <w:gridSpan w:val="3"/>
          </w:tcPr>
          <w:p>
            <w:pPr>
              <w:pStyle w:val="TableText"/>
              <w:ind w:left="106" w:right="325" w:firstLine="15"/>
              <w:spacing w:before="60" w:line="229" w:lineRule="auto"/>
              <w:rPr/>
            </w:pPr>
            <w:r>
              <w:rPr>
                <w:b/>
                <w:bCs/>
                <w:spacing w:val="8"/>
              </w:rPr>
              <w:t>【行政监管措施】</w:t>
            </w:r>
            <w:r>
              <w:rPr>
                <w:spacing w:val="8"/>
              </w:rPr>
              <w:t>中国证券监督管理委员会北京监管局决定对北京超图软件股份有限公司、</w:t>
            </w:r>
            <w:r>
              <w:rPr>
                <w:spacing w:val="10"/>
              </w:rPr>
              <w:t xml:space="preserve"> </w:t>
            </w:r>
            <w:r>
              <w:rPr>
                <w:spacing w:val="9"/>
              </w:rPr>
              <w:t>财务总监荆某坤采取出具警示函的行政监管措施,并记入证券期货市场诚信档案。</w:t>
            </w:r>
          </w:p>
        </w:tc>
      </w:tr>
      <w:tr>
        <w:trPr>
          <w:trHeight w:val="1083" w:hRule="atLeast"/>
        </w:trPr>
        <w:tc>
          <w:tcPr>
            <w:shd w:val="clear" w:fill="B8CCE4"/>
            <w:tcW w:w="1099" w:type="dxa"/>
            <w:vAlign w:val="top"/>
          </w:tcPr>
          <w:p>
            <w:pPr>
              <w:spacing w:line="390" w:lineRule="auto"/>
              <w:rPr>
                <w:rFonts w:ascii="Arial"/>
                <w:sz w:val="21"/>
              </w:rPr>
            </w:pPr>
            <w:r/>
          </w:p>
          <w:p>
            <w:pPr>
              <w:pStyle w:val="TableText"/>
              <w:ind w:left="183"/>
              <w:spacing w:before="86" w:line="178" w:lineRule="auto"/>
              <w:rPr/>
            </w:pPr>
            <w:r>
              <w:rPr>
                <w:spacing w:val="3"/>
              </w:rPr>
              <w:t>603020</w:t>
            </w:r>
          </w:p>
        </w:tc>
        <w:tc>
          <w:tcPr>
            <w:shd w:val="clear" w:fill="B8CCE4"/>
            <w:tcW w:w="1144" w:type="dxa"/>
            <w:vAlign w:val="top"/>
          </w:tcPr>
          <w:p>
            <w:pPr>
              <w:spacing w:line="374" w:lineRule="auto"/>
              <w:rPr>
                <w:rFonts w:ascii="Arial"/>
                <w:sz w:val="21"/>
              </w:rPr>
            </w:pPr>
            <w:r/>
          </w:p>
          <w:p>
            <w:pPr>
              <w:pStyle w:val="TableText"/>
              <w:ind w:left="141"/>
              <w:spacing w:before="86" w:line="190" w:lineRule="auto"/>
              <w:rPr/>
            </w:pPr>
            <w:r>
              <w:rPr>
                <w:spacing w:val="9"/>
              </w:rPr>
              <w:t>爱普股份</w:t>
            </w:r>
          </w:p>
        </w:tc>
        <w:tc>
          <w:tcPr>
            <w:shd w:val="clear" w:fill="B8CCE4"/>
            <w:tcW w:w="6551" w:type="dxa"/>
            <w:vAlign w:val="top"/>
          </w:tcPr>
          <w:p>
            <w:pPr>
              <w:pStyle w:val="TableText"/>
              <w:ind w:left="98" w:right="104"/>
              <w:spacing w:before="103" w:line="226" w:lineRule="auto"/>
              <w:jc w:val="both"/>
              <w:rPr/>
            </w:pPr>
            <w:r>
              <w:rPr>
                <w:spacing w:val="15"/>
              </w:rPr>
              <w:t>公司未能有效管理并控制控股子公司</w:t>
            </w:r>
            <w:r>
              <w:rPr>
                <w:spacing w:val="-6"/>
              </w:rPr>
              <w:t xml:space="preserve"> </w:t>
            </w:r>
            <w:r>
              <w:rPr>
                <w:spacing w:val="15"/>
              </w:rPr>
              <w:t>，确保其依法合规经营</w:t>
            </w:r>
            <w:r>
              <w:rPr>
                <w:spacing w:val="-15"/>
              </w:rPr>
              <w:t xml:space="preserve"> </w:t>
            </w:r>
            <w:r>
              <w:rPr>
                <w:spacing w:val="15"/>
              </w:rPr>
              <w:t>，导致</w:t>
            </w:r>
            <w:r>
              <w:rPr/>
              <w:t xml:space="preserve"> </w:t>
            </w:r>
            <w:r>
              <w:rPr>
                <w:spacing w:val="11"/>
              </w:rPr>
              <w:t>2018年至2021年年报披露的</w:t>
            </w:r>
            <w:r>
              <w:rPr>
                <w:b/>
                <w:bCs/>
                <w:spacing w:val="11"/>
              </w:rPr>
              <w:t>财务数据不准确；</w:t>
            </w:r>
            <w:r>
              <w:rPr>
                <w:b/>
                <w:bCs/>
                <w:spacing w:val="-29"/>
              </w:rPr>
              <w:t xml:space="preserve"> </w:t>
            </w:r>
            <w:r>
              <w:rPr>
                <w:spacing w:val="11"/>
              </w:rPr>
              <w:t>子公司</w:t>
            </w:r>
            <w:r>
              <w:rPr>
                <w:b/>
                <w:bCs/>
                <w:spacing w:val="11"/>
              </w:rPr>
              <w:t>诉讼公告</w:t>
            </w:r>
            <w:r>
              <w:rPr>
                <w:spacing w:val="11"/>
              </w:rPr>
              <w:t>中未</w:t>
            </w:r>
            <w:r>
              <w:rPr/>
              <w:t xml:space="preserve"> </w:t>
            </w:r>
            <w:r>
              <w:rPr>
                <w:spacing w:val="8"/>
              </w:rPr>
              <w:t>提示对以前年度利润的影响</w:t>
            </w:r>
            <w:r>
              <w:rPr>
                <w:spacing w:val="-26"/>
              </w:rPr>
              <w:t xml:space="preserve"> </w:t>
            </w:r>
            <w:r>
              <w:rPr>
                <w:spacing w:val="8"/>
              </w:rPr>
              <w:t>，相关信息披露</w:t>
            </w:r>
            <w:r>
              <w:rPr>
                <w:spacing w:val="7"/>
              </w:rPr>
              <w:t>不准确。</w:t>
            </w:r>
          </w:p>
        </w:tc>
      </w:tr>
      <w:tr>
        <w:trPr>
          <w:trHeight w:val="732" w:hRule="atLeast"/>
        </w:trPr>
        <w:tc>
          <w:tcPr>
            <w:tcW w:w="8794" w:type="dxa"/>
            <w:vAlign w:val="top"/>
            <w:gridSpan w:val="3"/>
          </w:tcPr>
          <w:p>
            <w:pPr>
              <w:pStyle w:val="TableText"/>
              <w:ind w:left="117" w:right="279" w:firstLine="4"/>
              <w:spacing w:before="64" w:line="230" w:lineRule="auto"/>
              <w:rPr/>
            </w:pPr>
            <w:r>
              <w:rPr>
                <w:b/>
                <w:bCs/>
                <w:spacing w:val="9"/>
              </w:rPr>
              <w:t>【行政监管措施】</w:t>
            </w:r>
            <w:r>
              <w:rPr>
                <w:spacing w:val="9"/>
              </w:rPr>
              <w:t>中国证券监督管理委员会上海监管局决定对时任董秘王某华采取出具警示</w:t>
            </w:r>
            <w:r>
              <w:rPr>
                <w:spacing w:val="16"/>
                <w:w w:val="101"/>
              </w:rPr>
              <w:t xml:space="preserve"> </w:t>
            </w:r>
            <w:r>
              <w:rPr>
                <w:spacing w:val="6"/>
              </w:rPr>
              <w:t>函的监督管理措施。</w:t>
            </w:r>
          </w:p>
        </w:tc>
      </w:tr>
    </w:tbl>
    <w:p>
      <w:pPr>
        <w:pStyle w:val="BodyText"/>
        <w:spacing w:line="14" w:lineRule="auto"/>
        <w:rPr>
          <w:sz w:val="2"/>
        </w:rPr>
      </w:pPr>
      <w:r/>
    </w:p>
    <w:p>
      <w:pPr>
        <w:spacing w:line="14" w:lineRule="auto"/>
        <w:sectPr>
          <w:pgSz w:w="11910" w:h="16840"/>
          <w:pgMar w:top="400" w:right="1559" w:bottom="212" w:left="1541" w:header="0" w:footer="0" w:gutter="0"/>
        </w:sectPr>
        <w:rPr>
          <w:sz w:val="2"/>
          <w:szCs w:val="2"/>
        </w:rPr>
      </w:pPr>
    </w:p>
    <w:tbl>
      <w:tblPr>
        <w:tblStyle w:val="TableNormal"/>
        <w:tblW w:w="879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9"/>
        <w:gridCol w:w="1144"/>
        <w:gridCol w:w="6551"/>
      </w:tblGrid>
      <w:tr>
        <w:trPr>
          <w:trHeight w:val="743" w:hRule="atLeast"/>
        </w:trPr>
        <w:tc>
          <w:tcPr>
            <w:shd w:val="clear" w:fill="B8CCE4"/>
            <w:tcW w:w="1099" w:type="dxa"/>
            <w:vAlign w:val="top"/>
            <w:tcBorders>
              <w:top w:val="single" w:color="4F81BD" w:sz="2" w:space="0"/>
            </w:tcBorders>
          </w:tcPr>
          <w:p>
            <w:pPr>
              <w:pStyle w:val="TableText"/>
              <w:ind w:left="183"/>
              <w:spacing w:before="295" w:line="178" w:lineRule="auto"/>
              <w:rPr/>
            </w:pPr>
            <w:r>
              <w:rPr>
                <w:spacing w:val="3"/>
              </w:rPr>
              <w:t>603020</w:t>
            </w:r>
          </w:p>
        </w:tc>
        <w:tc>
          <w:tcPr>
            <w:shd w:val="clear" w:fill="B8CCE4"/>
            <w:tcW w:w="1144" w:type="dxa"/>
            <w:vAlign w:val="top"/>
            <w:tcBorders>
              <w:top w:val="single" w:color="4F81BD" w:sz="2" w:space="0"/>
            </w:tcBorders>
          </w:tcPr>
          <w:p>
            <w:pPr>
              <w:pStyle w:val="TableText"/>
              <w:ind w:left="141"/>
              <w:spacing w:before="278" w:line="190" w:lineRule="auto"/>
              <w:rPr/>
            </w:pPr>
            <w:r>
              <w:rPr>
                <w:spacing w:val="9"/>
              </w:rPr>
              <w:t>爱普股份</w:t>
            </w:r>
          </w:p>
        </w:tc>
        <w:tc>
          <w:tcPr>
            <w:shd w:val="clear" w:fill="B8CCE4"/>
            <w:tcW w:w="6551" w:type="dxa"/>
            <w:vAlign w:val="top"/>
            <w:tcBorders>
              <w:top w:val="single" w:color="4F81BD" w:sz="2" w:space="0"/>
            </w:tcBorders>
          </w:tcPr>
          <w:p>
            <w:pPr>
              <w:pStyle w:val="TableText"/>
              <w:ind w:left="107" w:right="104" w:hanging="9"/>
              <w:spacing w:before="100" w:line="221" w:lineRule="auto"/>
              <w:rPr/>
            </w:pPr>
            <w:r>
              <w:rPr>
                <w:spacing w:val="15"/>
              </w:rPr>
              <w:t>公司未能有效管理并控制控股子公司</w:t>
            </w:r>
            <w:r>
              <w:rPr>
                <w:spacing w:val="-6"/>
              </w:rPr>
              <w:t xml:space="preserve"> </w:t>
            </w:r>
            <w:r>
              <w:rPr>
                <w:spacing w:val="15"/>
              </w:rPr>
              <w:t>，确保其依法合规经营</w:t>
            </w:r>
            <w:r>
              <w:rPr>
                <w:spacing w:val="-15"/>
              </w:rPr>
              <w:t xml:space="preserve"> </w:t>
            </w:r>
            <w:r>
              <w:rPr>
                <w:spacing w:val="15"/>
              </w:rPr>
              <w:t>，导致</w:t>
            </w:r>
            <w:r>
              <w:rPr/>
              <w:t xml:space="preserve"> </w:t>
            </w:r>
            <w:r>
              <w:rPr>
                <w:spacing w:val="7"/>
              </w:rPr>
              <w:t>2018年至2021年年报披露的</w:t>
            </w:r>
            <w:r>
              <w:rPr>
                <w:b/>
                <w:bCs/>
                <w:spacing w:val="7"/>
              </w:rPr>
              <w:t>财务数据不准确。</w:t>
            </w:r>
          </w:p>
        </w:tc>
      </w:tr>
      <w:tr>
        <w:trPr>
          <w:trHeight w:val="725" w:hRule="atLeast"/>
        </w:trPr>
        <w:tc>
          <w:tcPr>
            <w:tcW w:w="8794" w:type="dxa"/>
            <w:vAlign w:val="top"/>
            <w:gridSpan w:val="3"/>
          </w:tcPr>
          <w:p>
            <w:pPr>
              <w:pStyle w:val="TableText"/>
              <w:ind w:left="107" w:right="104" w:firstLine="14"/>
              <w:spacing w:before="39" w:line="236" w:lineRule="auto"/>
              <w:rPr/>
            </w:pPr>
            <w:r>
              <w:rPr>
                <w:b/>
                <w:bCs/>
                <w:spacing w:val="14"/>
              </w:rPr>
              <w:t>【行政监管措施】</w:t>
            </w:r>
            <w:r>
              <w:rPr>
                <w:spacing w:val="14"/>
              </w:rPr>
              <w:t>中国证券监督管理委员会上海监管局决定对时任财务</w:t>
            </w:r>
            <w:r>
              <w:rPr>
                <w:spacing w:val="13"/>
              </w:rPr>
              <w:t>总监冯某霞采取出具</w:t>
            </w:r>
            <w:r>
              <w:rPr/>
              <w:t xml:space="preserve"> </w:t>
            </w:r>
            <w:r>
              <w:rPr>
                <w:spacing w:val="8"/>
              </w:rPr>
              <w:t>警示函的监督管理措施。</w:t>
            </w:r>
          </w:p>
        </w:tc>
      </w:tr>
      <w:tr>
        <w:trPr>
          <w:trHeight w:val="1084" w:hRule="atLeast"/>
        </w:trPr>
        <w:tc>
          <w:tcPr>
            <w:shd w:val="clear" w:fill="B8CCE4"/>
            <w:tcW w:w="1099" w:type="dxa"/>
            <w:vAlign w:val="top"/>
          </w:tcPr>
          <w:p>
            <w:pPr>
              <w:spacing w:line="369" w:lineRule="auto"/>
              <w:rPr>
                <w:rFonts w:ascii="Arial"/>
                <w:sz w:val="21"/>
              </w:rPr>
            </w:pPr>
            <w:r/>
          </w:p>
          <w:p>
            <w:pPr>
              <w:pStyle w:val="TableText"/>
              <w:ind w:left="183"/>
              <w:spacing w:before="86" w:line="178" w:lineRule="auto"/>
              <w:rPr/>
            </w:pPr>
            <w:r>
              <w:rPr>
                <w:spacing w:val="3"/>
              </w:rPr>
              <w:t>603020</w:t>
            </w:r>
          </w:p>
        </w:tc>
        <w:tc>
          <w:tcPr>
            <w:shd w:val="clear" w:fill="B8CCE4"/>
            <w:tcW w:w="1144" w:type="dxa"/>
            <w:vAlign w:val="top"/>
          </w:tcPr>
          <w:p>
            <w:pPr>
              <w:spacing w:line="353" w:lineRule="auto"/>
              <w:rPr>
                <w:rFonts w:ascii="Arial"/>
                <w:sz w:val="21"/>
              </w:rPr>
            </w:pPr>
            <w:r/>
          </w:p>
          <w:p>
            <w:pPr>
              <w:pStyle w:val="TableText"/>
              <w:ind w:left="141"/>
              <w:spacing w:before="86" w:line="190" w:lineRule="auto"/>
              <w:rPr/>
            </w:pPr>
            <w:r>
              <w:rPr>
                <w:spacing w:val="9"/>
              </w:rPr>
              <w:t>爱普股份</w:t>
            </w:r>
          </w:p>
        </w:tc>
        <w:tc>
          <w:tcPr>
            <w:shd w:val="clear" w:fill="B8CCE4"/>
            <w:tcW w:w="6551" w:type="dxa"/>
            <w:vAlign w:val="top"/>
          </w:tcPr>
          <w:p>
            <w:pPr>
              <w:pStyle w:val="TableText"/>
              <w:ind w:left="98" w:right="104"/>
              <w:spacing w:before="82" w:line="231" w:lineRule="auto"/>
              <w:jc w:val="both"/>
              <w:rPr/>
            </w:pPr>
            <w:r>
              <w:rPr>
                <w:spacing w:val="15"/>
              </w:rPr>
              <w:t>公司未能有效管理并控制控股子公司</w:t>
            </w:r>
            <w:r>
              <w:rPr>
                <w:spacing w:val="-6"/>
              </w:rPr>
              <w:t xml:space="preserve"> </w:t>
            </w:r>
            <w:r>
              <w:rPr>
                <w:spacing w:val="15"/>
              </w:rPr>
              <w:t>，确保其依法合规经营</w:t>
            </w:r>
            <w:r>
              <w:rPr>
                <w:spacing w:val="-15"/>
              </w:rPr>
              <w:t xml:space="preserve"> </w:t>
            </w:r>
            <w:r>
              <w:rPr>
                <w:spacing w:val="15"/>
              </w:rPr>
              <w:t>，导致</w:t>
            </w:r>
            <w:r>
              <w:rPr/>
              <w:t xml:space="preserve"> </w:t>
            </w:r>
            <w:r>
              <w:rPr>
                <w:spacing w:val="11"/>
              </w:rPr>
              <w:t>2018年至2021年年报披露的</w:t>
            </w:r>
            <w:r>
              <w:rPr>
                <w:b/>
                <w:bCs/>
                <w:spacing w:val="11"/>
              </w:rPr>
              <w:t>财务数据不准确；</w:t>
            </w:r>
            <w:r>
              <w:rPr>
                <w:b/>
                <w:bCs/>
                <w:spacing w:val="-29"/>
              </w:rPr>
              <w:t xml:space="preserve"> </w:t>
            </w:r>
            <w:r>
              <w:rPr>
                <w:spacing w:val="11"/>
              </w:rPr>
              <w:t>子公司</w:t>
            </w:r>
            <w:r>
              <w:rPr>
                <w:b/>
                <w:bCs/>
                <w:spacing w:val="11"/>
              </w:rPr>
              <w:t>诉讼公告</w:t>
            </w:r>
            <w:r>
              <w:rPr>
                <w:spacing w:val="11"/>
              </w:rPr>
              <w:t>中未</w:t>
            </w:r>
            <w:r>
              <w:rPr/>
              <w:t xml:space="preserve"> </w:t>
            </w:r>
            <w:r>
              <w:rPr>
                <w:spacing w:val="8"/>
              </w:rPr>
              <w:t>提示对以前年度利润的影响</w:t>
            </w:r>
            <w:r>
              <w:rPr>
                <w:spacing w:val="-26"/>
              </w:rPr>
              <w:t xml:space="preserve"> </w:t>
            </w:r>
            <w:r>
              <w:rPr>
                <w:spacing w:val="8"/>
              </w:rPr>
              <w:t>，相关信息披露</w:t>
            </w:r>
            <w:r>
              <w:rPr>
                <w:spacing w:val="7"/>
              </w:rPr>
              <w:t>不准确。</w:t>
            </w:r>
          </w:p>
        </w:tc>
      </w:tr>
      <w:tr>
        <w:trPr>
          <w:trHeight w:val="724" w:hRule="atLeast"/>
        </w:trPr>
        <w:tc>
          <w:tcPr>
            <w:tcW w:w="8794" w:type="dxa"/>
            <w:vAlign w:val="top"/>
            <w:gridSpan w:val="3"/>
          </w:tcPr>
          <w:p>
            <w:pPr>
              <w:pStyle w:val="TableText"/>
              <w:ind w:left="104" w:right="228" w:firstLine="17"/>
              <w:spacing w:before="41" w:line="235" w:lineRule="auto"/>
              <w:rPr/>
            </w:pPr>
            <w:r>
              <w:rPr>
                <w:b/>
                <w:bCs/>
                <w:spacing w:val="9"/>
              </w:rPr>
              <w:t>【行政监管措施】</w:t>
            </w:r>
            <w:r>
              <w:rPr>
                <w:spacing w:val="9"/>
              </w:rPr>
              <w:t>中国证券监督管理委员会上海监管局决定对时任董事长,时任总经理魏某浩</w:t>
            </w:r>
            <w:r>
              <w:rPr>
                <w:spacing w:val="10"/>
              </w:rPr>
              <w:t xml:space="preserve"> </w:t>
            </w:r>
            <w:r>
              <w:rPr>
                <w:spacing w:val="8"/>
              </w:rPr>
              <w:t>采取出具警示函的监督管理措施。</w:t>
            </w:r>
          </w:p>
        </w:tc>
      </w:tr>
      <w:tr>
        <w:trPr>
          <w:trHeight w:val="2523" w:hRule="atLeast"/>
        </w:trPr>
        <w:tc>
          <w:tcPr>
            <w:shd w:val="clear" w:fill="B8CCE4"/>
            <w:tcW w:w="1099" w:type="dxa"/>
            <w:vAlign w:val="top"/>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80"/>
              <w:spacing w:before="85" w:line="178" w:lineRule="auto"/>
              <w:rPr/>
            </w:pPr>
            <w:r>
              <w:rPr>
                <w:spacing w:val="3"/>
              </w:rPr>
              <w:t>002486</w:t>
            </w:r>
          </w:p>
        </w:tc>
        <w:tc>
          <w:tcPr>
            <w:shd w:val="clear" w:fill="B8CCE4"/>
            <w:tcW w:w="1144" w:type="dxa"/>
            <w:vAlign w:val="top"/>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247"/>
              <w:spacing w:before="86" w:line="188" w:lineRule="auto"/>
              <w:rPr/>
            </w:pPr>
            <w:r>
              <w:rPr>
                <w:spacing w:val="8"/>
              </w:rPr>
              <w:t>嘉麟杰</w:t>
            </w:r>
          </w:p>
        </w:tc>
        <w:tc>
          <w:tcPr>
            <w:shd w:val="clear" w:fill="B8CCE4"/>
            <w:tcW w:w="6551" w:type="dxa"/>
            <w:vAlign w:val="top"/>
          </w:tcPr>
          <w:p>
            <w:pPr>
              <w:pStyle w:val="TableText"/>
              <w:ind w:left="96" w:right="101" w:firstLine="2"/>
              <w:spacing w:before="82" w:line="242" w:lineRule="auto"/>
              <w:jc w:val="both"/>
              <w:rPr/>
            </w:pPr>
            <w:r>
              <w:rPr>
                <w:spacing w:val="11"/>
              </w:rPr>
              <w:t>未针对</w:t>
            </w:r>
            <w:r>
              <w:rPr>
                <w:b/>
                <w:bCs/>
                <w:spacing w:val="11"/>
              </w:rPr>
              <w:t>对外捐赠</w:t>
            </w:r>
            <w:r>
              <w:rPr>
                <w:spacing w:val="11"/>
              </w:rPr>
              <w:t>事项建立严格的审查和决策程序；公司部分对外捐赠</w:t>
            </w:r>
            <w:r>
              <w:rPr>
                <w:spacing w:val="2"/>
              </w:rPr>
              <w:t xml:space="preserve"> </w:t>
            </w:r>
            <w:r>
              <w:rPr>
                <w:spacing w:val="10"/>
              </w:rPr>
              <w:t>事项构成</w:t>
            </w:r>
            <w:r>
              <w:rPr>
                <w:b/>
                <w:bCs/>
                <w:spacing w:val="10"/>
              </w:rPr>
              <w:t>为他人承担费用</w:t>
            </w:r>
            <w:r>
              <w:rPr>
                <w:b/>
                <w:bCs/>
                <w:spacing w:val="-23"/>
              </w:rPr>
              <w:t xml:space="preserve"> </w:t>
            </w:r>
            <w:r>
              <w:rPr>
                <w:spacing w:val="10"/>
              </w:rPr>
              <w:t>，未履行董事会审议程序；未准确披露董事</w:t>
            </w:r>
            <w:r>
              <w:rPr/>
              <w:t xml:space="preserve"> </w:t>
            </w:r>
            <w:r>
              <w:rPr>
                <w:spacing w:val="9"/>
              </w:rPr>
              <w:t>、高管</w:t>
            </w:r>
            <w:r>
              <w:rPr>
                <w:b/>
                <w:bCs/>
                <w:spacing w:val="9"/>
              </w:rPr>
              <w:t>薪酬</w:t>
            </w:r>
            <w:r>
              <w:rPr>
                <w:spacing w:val="9"/>
              </w:rPr>
              <w:t>；</w:t>
            </w:r>
            <w:r>
              <w:rPr>
                <w:spacing w:val="-29"/>
              </w:rPr>
              <w:t xml:space="preserve"> </w:t>
            </w:r>
            <w:r>
              <w:rPr>
                <w:spacing w:val="9"/>
              </w:rPr>
              <w:t>审议董事薪酬议案时</w:t>
            </w:r>
            <w:r>
              <w:rPr>
                <w:spacing w:val="-25"/>
              </w:rPr>
              <w:t xml:space="preserve"> </w:t>
            </w:r>
            <w:r>
              <w:rPr>
                <w:spacing w:val="9"/>
              </w:rPr>
              <w:t>，相关董事未</w:t>
            </w:r>
            <w:r>
              <w:rPr>
                <w:b/>
                <w:bCs/>
                <w:spacing w:val="9"/>
              </w:rPr>
              <w:t>回避</w:t>
            </w:r>
            <w:r>
              <w:rPr>
                <w:spacing w:val="9"/>
              </w:rPr>
              <w:t>表决；部分</w:t>
            </w:r>
            <w:r>
              <w:rPr>
                <w:b/>
                <w:bCs/>
                <w:spacing w:val="9"/>
              </w:rPr>
              <w:t>高管</w:t>
            </w:r>
            <w:r>
              <w:rPr>
                <w:b/>
                <w:bCs/>
              </w:rPr>
              <w:t xml:space="preserve"> </w:t>
            </w:r>
            <w:r>
              <w:rPr>
                <w:b/>
                <w:bCs/>
                <w:spacing w:val="11"/>
              </w:rPr>
              <w:t>薪酬</w:t>
            </w:r>
            <w:r>
              <w:rPr>
                <w:spacing w:val="11"/>
              </w:rPr>
              <w:t>未经董事会审议；部分</w:t>
            </w:r>
            <w:r>
              <w:rPr>
                <w:b/>
                <w:bCs/>
                <w:spacing w:val="11"/>
              </w:rPr>
              <w:t>董事薪酬</w:t>
            </w:r>
            <w:r>
              <w:rPr>
                <w:spacing w:val="11"/>
              </w:rPr>
              <w:t>未经股东大会审议；公司未将境</w:t>
            </w:r>
            <w:r>
              <w:rPr>
                <w:spacing w:val="4"/>
              </w:rPr>
              <w:t xml:space="preserve"> </w:t>
            </w:r>
            <w:r>
              <w:rPr>
                <w:spacing w:val="10"/>
              </w:rPr>
              <w:t>外被投资企业适用准则与公司适用准则认定为</w:t>
            </w:r>
            <w:r>
              <w:rPr>
                <w:b/>
                <w:bCs/>
                <w:spacing w:val="10"/>
              </w:rPr>
              <w:t>会计政策差异</w:t>
            </w:r>
            <w:r>
              <w:rPr>
                <w:b/>
                <w:bCs/>
                <w:spacing w:val="-26"/>
              </w:rPr>
              <w:t xml:space="preserve"> </w:t>
            </w:r>
            <w:r>
              <w:rPr>
                <w:spacing w:val="10"/>
              </w:rPr>
              <w:t>，未对长</w:t>
            </w:r>
            <w:r>
              <w:rPr/>
              <w:t xml:space="preserve"> </w:t>
            </w:r>
            <w:r>
              <w:rPr>
                <w:spacing w:val="14"/>
              </w:rPr>
              <w:t>期股权投资进行调整</w:t>
            </w:r>
            <w:r>
              <w:rPr>
                <w:spacing w:val="-18"/>
              </w:rPr>
              <w:t xml:space="preserve"> </w:t>
            </w:r>
            <w:r>
              <w:rPr>
                <w:spacing w:val="14"/>
              </w:rPr>
              <w:t>，导致2022年年报长期</w:t>
            </w:r>
            <w:r>
              <w:rPr>
                <w:spacing w:val="13"/>
              </w:rPr>
              <w:t>股权投资科目累计</w:t>
            </w:r>
            <w:r>
              <w:rPr>
                <w:b/>
                <w:bCs/>
                <w:spacing w:val="13"/>
              </w:rPr>
              <w:t>错报</w:t>
            </w:r>
          </w:p>
          <w:p>
            <w:pPr>
              <w:pStyle w:val="TableText"/>
              <w:ind w:left="106"/>
              <w:spacing w:before="236" w:line="118" w:lineRule="exact"/>
              <w:rPr/>
            </w:pPr>
            <w:r>
              <w:rPr>
                <w:b/>
                <w:bCs/>
                <w:position w:val="3"/>
              </w:rPr>
              <w:t>。</w:t>
            </w:r>
          </w:p>
        </w:tc>
      </w:tr>
      <w:tr>
        <w:trPr>
          <w:trHeight w:val="724" w:hRule="atLeast"/>
        </w:trPr>
        <w:tc>
          <w:tcPr>
            <w:tcW w:w="8794" w:type="dxa"/>
            <w:vAlign w:val="top"/>
            <w:gridSpan w:val="3"/>
          </w:tcPr>
          <w:p>
            <w:pPr>
              <w:pStyle w:val="TableText"/>
              <w:ind w:left="105" w:right="279" w:firstLine="16"/>
              <w:spacing w:before="44" w:line="234" w:lineRule="auto"/>
              <w:rPr/>
            </w:pPr>
            <w:r>
              <w:rPr>
                <w:b/>
                <w:bCs/>
                <w:spacing w:val="9"/>
              </w:rPr>
              <w:t>【行政监管措施】</w:t>
            </w:r>
            <w:r>
              <w:rPr>
                <w:spacing w:val="9"/>
              </w:rPr>
              <w:t>中国证券监督管理委员会上海监管局决定对董事长杨某采取出具警示函的</w:t>
            </w:r>
            <w:r>
              <w:rPr>
                <w:spacing w:val="16"/>
                <w:w w:val="101"/>
              </w:rPr>
              <w:t xml:space="preserve"> </w:t>
            </w:r>
            <w:r>
              <w:rPr>
                <w:spacing w:val="7"/>
              </w:rPr>
              <w:t>行政监管措施。</w:t>
            </w:r>
          </w:p>
        </w:tc>
      </w:tr>
      <w:tr>
        <w:trPr>
          <w:trHeight w:val="2522" w:hRule="atLeast"/>
        </w:trPr>
        <w:tc>
          <w:tcPr>
            <w:shd w:val="clear" w:fill="B8CCE4"/>
            <w:tcW w:w="1099" w:type="dxa"/>
            <w:vAlign w:val="top"/>
          </w:tcPr>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180"/>
              <w:spacing w:before="86" w:line="178" w:lineRule="auto"/>
              <w:rPr/>
            </w:pPr>
            <w:r>
              <w:rPr>
                <w:spacing w:val="3"/>
              </w:rPr>
              <w:t>002486</w:t>
            </w:r>
          </w:p>
        </w:tc>
        <w:tc>
          <w:tcPr>
            <w:shd w:val="clear" w:fill="B8CCE4"/>
            <w:tcW w:w="1144"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pStyle w:val="TableText"/>
              <w:ind w:left="247"/>
              <w:spacing w:before="85" w:line="188" w:lineRule="auto"/>
              <w:rPr/>
            </w:pPr>
            <w:r>
              <w:rPr>
                <w:spacing w:val="8"/>
              </w:rPr>
              <w:t>嘉麟杰</w:t>
            </w:r>
          </w:p>
        </w:tc>
        <w:tc>
          <w:tcPr>
            <w:shd w:val="clear" w:fill="B8CCE4"/>
            <w:tcW w:w="6551" w:type="dxa"/>
            <w:vAlign w:val="top"/>
          </w:tcPr>
          <w:p>
            <w:pPr>
              <w:pStyle w:val="TableText"/>
              <w:ind w:left="96" w:right="101" w:firstLine="2"/>
              <w:spacing w:before="86" w:line="242" w:lineRule="auto"/>
              <w:jc w:val="both"/>
              <w:rPr/>
            </w:pPr>
            <w:r>
              <w:rPr>
                <w:spacing w:val="11"/>
              </w:rPr>
              <w:t>未针对</w:t>
            </w:r>
            <w:r>
              <w:rPr>
                <w:b/>
                <w:bCs/>
                <w:spacing w:val="11"/>
              </w:rPr>
              <w:t>对外捐赠</w:t>
            </w:r>
            <w:r>
              <w:rPr>
                <w:spacing w:val="11"/>
              </w:rPr>
              <w:t>事项建立严格的审查和决策程序；公司部分对外捐赠</w:t>
            </w:r>
            <w:r>
              <w:rPr>
                <w:spacing w:val="2"/>
              </w:rPr>
              <w:t xml:space="preserve"> </w:t>
            </w:r>
            <w:r>
              <w:rPr>
                <w:spacing w:val="10"/>
              </w:rPr>
              <w:t>事项构成</w:t>
            </w:r>
            <w:r>
              <w:rPr>
                <w:b/>
                <w:bCs/>
                <w:spacing w:val="10"/>
              </w:rPr>
              <w:t>为他人承担费用</w:t>
            </w:r>
            <w:r>
              <w:rPr>
                <w:b/>
                <w:bCs/>
                <w:spacing w:val="-23"/>
              </w:rPr>
              <w:t xml:space="preserve"> </w:t>
            </w:r>
            <w:r>
              <w:rPr>
                <w:spacing w:val="10"/>
              </w:rPr>
              <w:t>，未履行董事会审议程序；未准确披露董事</w:t>
            </w:r>
            <w:r>
              <w:rPr/>
              <w:t xml:space="preserve"> </w:t>
            </w:r>
            <w:r>
              <w:rPr>
                <w:spacing w:val="9"/>
              </w:rPr>
              <w:t>、高管</w:t>
            </w:r>
            <w:r>
              <w:rPr>
                <w:b/>
                <w:bCs/>
                <w:spacing w:val="9"/>
              </w:rPr>
              <w:t>薪酬</w:t>
            </w:r>
            <w:r>
              <w:rPr>
                <w:spacing w:val="9"/>
              </w:rPr>
              <w:t>；</w:t>
            </w:r>
            <w:r>
              <w:rPr>
                <w:spacing w:val="-29"/>
              </w:rPr>
              <w:t xml:space="preserve"> </w:t>
            </w:r>
            <w:r>
              <w:rPr>
                <w:spacing w:val="9"/>
              </w:rPr>
              <w:t>审议董事薪酬议案时</w:t>
            </w:r>
            <w:r>
              <w:rPr>
                <w:spacing w:val="-25"/>
              </w:rPr>
              <w:t xml:space="preserve"> </w:t>
            </w:r>
            <w:r>
              <w:rPr>
                <w:spacing w:val="9"/>
              </w:rPr>
              <w:t>，相关董事未</w:t>
            </w:r>
            <w:r>
              <w:rPr>
                <w:b/>
                <w:bCs/>
                <w:spacing w:val="9"/>
              </w:rPr>
              <w:t>回避</w:t>
            </w:r>
            <w:r>
              <w:rPr>
                <w:spacing w:val="9"/>
              </w:rPr>
              <w:t>表决；部分</w:t>
            </w:r>
            <w:r>
              <w:rPr>
                <w:b/>
                <w:bCs/>
                <w:spacing w:val="9"/>
              </w:rPr>
              <w:t>高管</w:t>
            </w:r>
            <w:r>
              <w:rPr>
                <w:b/>
                <w:bCs/>
              </w:rPr>
              <w:t xml:space="preserve"> </w:t>
            </w:r>
            <w:r>
              <w:rPr>
                <w:b/>
                <w:bCs/>
                <w:spacing w:val="11"/>
              </w:rPr>
              <w:t>薪酬</w:t>
            </w:r>
            <w:r>
              <w:rPr>
                <w:spacing w:val="11"/>
              </w:rPr>
              <w:t>未经董事会审议；部分</w:t>
            </w:r>
            <w:r>
              <w:rPr>
                <w:b/>
                <w:bCs/>
                <w:spacing w:val="11"/>
              </w:rPr>
              <w:t>董事薪酬</w:t>
            </w:r>
            <w:r>
              <w:rPr>
                <w:spacing w:val="11"/>
              </w:rPr>
              <w:t>未经股东大会审议；公司未将境</w:t>
            </w:r>
            <w:r>
              <w:rPr>
                <w:spacing w:val="4"/>
              </w:rPr>
              <w:t xml:space="preserve"> </w:t>
            </w:r>
            <w:r>
              <w:rPr>
                <w:spacing w:val="10"/>
              </w:rPr>
              <w:t>外被投资企业适用准则与公司适用准则认定为</w:t>
            </w:r>
            <w:r>
              <w:rPr>
                <w:b/>
                <w:bCs/>
                <w:spacing w:val="10"/>
              </w:rPr>
              <w:t>会计政策差异</w:t>
            </w:r>
            <w:r>
              <w:rPr>
                <w:b/>
                <w:bCs/>
                <w:spacing w:val="-26"/>
              </w:rPr>
              <w:t xml:space="preserve"> </w:t>
            </w:r>
            <w:r>
              <w:rPr>
                <w:spacing w:val="10"/>
              </w:rPr>
              <w:t>，未对长</w:t>
            </w:r>
            <w:r>
              <w:rPr/>
              <w:t xml:space="preserve"> </w:t>
            </w:r>
            <w:r>
              <w:rPr>
                <w:spacing w:val="14"/>
              </w:rPr>
              <w:t>期股权投资进行调整</w:t>
            </w:r>
            <w:r>
              <w:rPr>
                <w:spacing w:val="-18"/>
              </w:rPr>
              <w:t xml:space="preserve"> </w:t>
            </w:r>
            <w:r>
              <w:rPr>
                <w:spacing w:val="14"/>
              </w:rPr>
              <w:t>，导致2022年年报长期</w:t>
            </w:r>
            <w:r>
              <w:rPr>
                <w:spacing w:val="13"/>
              </w:rPr>
              <w:t>股权投资科目累计</w:t>
            </w:r>
            <w:r>
              <w:rPr>
                <w:b/>
                <w:bCs/>
                <w:spacing w:val="13"/>
              </w:rPr>
              <w:t>错报</w:t>
            </w:r>
          </w:p>
          <w:p>
            <w:pPr>
              <w:pStyle w:val="TableText"/>
              <w:ind w:left="106"/>
              <w:spacing w:before="236" w:line="113" w:lineRule="exact"/>
              <w:rPr/>
            </w:pPr>
            <w:r>
              <w:rPr>
                <w:b/>
                <w:bCs/>
                <w:position w:val="3"/>
              </w:rPr>
              <w:t>。</w:t>
            </w:r>
          </w:p>
        </w:tc>
      </w:tr>
      <w:tr>
        <w:trPr>
          <w:trHeight w:val="725" w:hRule="atLeast"/>
        </w:trPr>
        <w:tc>
          <w:tcPr>
            <w:tcW w:w="8794" w:type="dxa"/>
            <w:vAlign w:val="top"/>
            <w:gridSpan w:val="3"/>
          </w:tcPr>
          <w:p>
            <w:pPr>
              <w:pStyle w:val="TableText"/>
              <w:ind w:left="121" w:right="228"/>
              <w:spacing w:before="51" w:line="232" w:lineRule="auto"/>
              <w:rPr/>
            </w:pPr>
            <w:r>
              <w:rPr>
                <w:b/>
                <w:bCs/>
                <w:spacing w:val="9"/>
              </w:rPr>
              <w:t>【行政监管措施】</w:t>
            </w:r>
            <w:r>
              <w:rPr>
                <w:spacing w:val="9"/>
              </w:rPr>
              <w:t>中国证券监督管理委员会上海监管局决定对董事会秘书,总经理曾某钧采取</w:t>
            </w:r>
            <w:r>
              <w:rPr>
                <w:spacing w:val="10"/>
              </w:rPr>
              <w:t xml:space="preserve"> </w:t>
            </w:r>
            <w:r>
              <w:rPr>
                <w:spacing w:val="7"/>
              </w:rPr>
              <w:t>出具警示函的行政监管措施。</w:t>
            </w:r>
          </w:p>
        </w:tc>
      </w:tr>
      <w:tr>
        <w:trPr>
          <w:trHeight w:val="364" w:hRule="atLeast"/>
        </w:trPr>
        <w:tc>
          <w:tcPr>
            <w:shd w:val="clear" w:fill="B8CCE4"/>
            <w:tcW w:w="1099" w:type="dxa"/>
            <w:vAlign w:val="top"/>
          </w:tcPr>
          <w:p>
            <w:pPr>
              <w:pStyle w:val="TableText"/>
              <w:ind w:left="186"/>
              <w:spacing w:before="109" w:line="171" w:lineRule="auto"/>
              <w:rPr/>
            </w:pPr>
            <w:r>
              <w:rPr>
                <w:spacing w:val="3"/>
              </w:rPr>
              <w:t>301261</w:t>
            </w:r>
          </w:p>
        </w:tc>
        <w:tc>
          <w:tcPr>
            <w:shd w:val="clear" w:fill="B8CCE4"/>
            <w:tcW w:w="1144" w:type="dxa"/>
            <w:vAlign w:val="top"/>
          </w:tcPr>
          <w:p>
            <w:pPr>
              <w:pStyle w:val="TableText"/>
              <w:ind w:left="143"/>
              <w:spacing w:before="95" w:line="181" w:lineRule="auto"/>
              <w:rPr/>
            </w:pPr>
            <w:r>
              <w:rPr>
                <w:spacing w:val="8"/>
              </w:rPr>
              <w:t>恒工精密</w:t>
            </w:r>
          </w:p>
        </w:tc>
        <w:tc>
          <w:tcPr>
            <w:shd w:val="clear" w:fill="B8CCE4"/>
            <w:tcW w:w="6551" w:type="dxa"/>
            <w:vAlign w:val="top"/>
          </w:tcPr>
          <w:p>
            <w:pPr>
              <w:pStyle w:val="TableText"/>
              <w:ind w:left="107"/>
              <w:spacing w:before="95" w:line="181" w:lineRule="auto"/>
              <w:rPr/>
            </w:pPr>
            <w:r>
              <w:rPr>
                <w:spacing w:val="7"/>
              </w:rPr>
              <w:t>时任董事亲属</w:t>
            </w:r>
            <w:r>
              <w:rPr>
                <w:b/>
                <w:bCs/>
                <w:spacing w:val="7"/>
              </w:rPr>
              <w:t>短线交易。</w:t>
            </w:r>
          </w:p>
        </w:tc>
      </w:tr>
      <w:tr>
        <w:trPr>
          <w:trHeight w:val="724" w:hRule="atLeast"/>
        </w:trPr>
        <w:tc>
          <w:tcPr>
            <w:tcW w:w="8794" w:type="dxa"/>
            <w:vAlign w:val="top"/>
            <w:gridSpan w:val="3"/>
          </w:tcPr>
          <w:p>
            <w:pPr>
              <w:pStyle w:val="TableText"/>
              <w:ind w:left="117" w:right="279" w:firstLine="4"/>
              <w:spacing w:before="53" w:line="231" w:lineRule="auto"/>
              <w:rPr/>
            </w:pPr>
            <w:r>
              <w:rPr>
                <w:b/>
                <w:bCs/>
                <w:spacing w:val="9"/>
              </w:rPr>
              <w:t>【行政监管措施】</w:t>
            </w:r>
            <w:r>
              <w:rPr>
                <w:spacing w:val="9"/>
              </w:rPr>
              <w:t>中国证券监督管理委员会河北监管局决定对时任董事杨某轩采取出具警示</w:t>
            </w:r>
            <w:r>
              <w:rPr>
                <w:spacing w:val="16"/>
                <w:w w:val="101"/>
              </w:rPr>
              <w:t xml:space="preserve"> </w:t>
            </w:r>
            <w:r>
              <w:rPr>
                <w:spacing w:val="6"/>
              </w:rPr>
              <w:t>函的行政监管措施。</w:t>
            </w:r>
          </w:p>
        </w:tc>
      </w:tr>
      <w:tr>
        <w:trPr>
          <w:trHeight w:val="724" w:hRule="atLeast"/>
        </w:trPr>
        <w:tc>
          <w:tcPr>
            <w:shd w:val="clear" w:fill="B8CCE4"/>
            <w:tcW w:w="1099" w:type="dxa"/>
            <w:vAlign w:val="top"/>
          </w:tcPr>
          <w:p>
            <w:pPr>
              <w:pStyle w:val="TableText"/>
              <w:ind w:left="186"/>
              <w:spacing w:before="291" w:line="179" w:lineRule="auto"/>
              <w:rPr/>
            </w:pPr>
            <w:r>
              <w:rPr>
                <w:spacing w:val="3"/>
              </w:rPr>
              <w:t>300158</w:t>
            </w:r>
          </w:p>
        </w:tc>
        <w:tc>
          <w:tcPr>
            <w:shd w:val="clear" w:fill="B8CCE4"/>
            <w:tcW w:w="1144" w:type="dxa"/>
            <w:vAlign w:val="top"/>
          </w:tcPr>
          <w:p>
            <w:pPr>
              <w:pStyle w:val="TableText"/>
              <w:ind w:left="143"/>
              <w:spacing w:before="278" w:line="189" w:lineRule="auto"/>
              <w:rPr/>
            </w:pPr>
            <w:r>
              <w:rPr>
                <w:spacing w:val="8"/>
              </w:rPr>
              <w:t>振东制药</w:t>
            </w:r>
          </w:p>
        </w:tc>
        <w:tc>
          <w:tcPr>
            <w:shd w:val="clear" w:fill="B8CCE4"/>
            <w:tcW w:w="6551" w:type="dxa"/>
            <w:vAlign w:val="top"/>
          </w:tcPr>
          <w:p>
            <w:pPr>
              <w:pStyle w:val="TableText"/>
              <w:ind w:left="101" w:right="104" w:firstLine="15"/>
              <w:spacing w:before="99" w:line="215" w:lineRule="auto"/>
              <w:rPr/>
            </w:pPr>
            <w:r>
              <w:rPr>
                <w:spacing w:val="9"/>
              </w:rPr>
              <w:t>山西振东健康产业集团有限公司作为振东制药的控股股东</w:t>
            </w:r>
            <w:r>
              <w:rPr>
                <w:spacing w:val="-15"/>
              </w:rPr>
              <w:t xml:space="preserve"> </w:t>
            </w:r>
            <w:r>
              <w:rPr>
                <w:spacing w:val="9"/>
              </w:rPr>
              <w:t>，多次</w:t>
            </w:r>
            <w:r>
              <w:rPr>
                <w:b/>
                <w:bCs/>
                <w:spacing w:val="9"/>
              </w:rPr>
              <w:t>占用</w:t>
            </w:r>
            <w:r>
              <w:rPr>
                <w:b/>
                <w:bCs/>
              </w:rPr>
              <w:t xml:space="preserve"> </w:t>
            </w:r>
            <w:r>
              <w:rPr>
                <w:b/>
                <w:bCs/>
                <w:spacing w:val="8"/>
              </w:rPr>
              <w:t>上市公司资金</w:t>
            </w:r>
            <w:r>
              <w:rPr>
                <w:spacing w:val="8"/>
              </w:rPr>
              <w:t>且未告知振东制药进行披露</w:t>
            </w:r>
            <w:r>
              <w:rPr>
                <w:spacing w:val="-21"/>
              </w:rPr>
              <w:t xml:space="preserve"> </w:t>
            </w:r>
            <w:r>
              <w:rPr>
                <w:spacing w:val="8"/>
              </w:rPr>
              <w:t>，破坏上市公司独立性。</w:t>
            </w:r>
          </w:p>
        </w:tc>
      </w:tr>
      <w:tr>
        <w:trPr>
          <w:trHeight w:val="724" w:hRule="atLeast"/>
        </w:trPr>
        <w:tc>
          <w:tcPr>
            <w:tcW w:w="8794" w:type="dxa"/>
            <w:vAlign w:val="top"/>
            <w:gridSpan w:val="3"/>
          </w:tcPr>
          <w:p>
            <w:pPr>
              <w:pStyle w:val="TableText"/>
              <w:ind w:left="107" w:right="104" w:firstLine="14"/>
              <w:spacing w:before="56" w:line="230" w:lineRule="auto"/>
              <w:rPr/>
            </w:pPr>
            <w:r>
              <w:rPr>
                <w:b/>
                <w:bCs/>
                <w:spacing w:val="14"/>
              </w:rPr>
              <w:t>【行政监管措施】</w:t>
            </w:r>
            <w:r>
              <w:rPr>
                <w:spacing w:val="14"/>
              </w:rPr>
              <w:t>中国证券监督管理委员会山西监管局决定对山西振东</w:t>
            </w:r>
            <w:r>
              <w:rPr>
                <w:spacing w:val="13"/>
              </w:rPr>
              <w:t>健康产业集团有限公</w:t>
            </w:r>
            <w:r>
              <w:rPr/>
              <w:t xml:space="preserve"> </w:t>
            </w:r>
            <w:r>
              <w:rPr>
                <w:spacing w:val="9"/>
              </w:rPr>
              <w:t>司采取出具警示函并责令定期报告的监督管理</w:t>
            </w:r>
            <w:r>
              <w:rPr>
                <w:spacing w:val="8"/>
              </w:rPr>
              <w:t>措施</w:t>
            </w:r>
            <w:r>
              <w:rPr>
                <w:spacing w:val="-25"/>
              </w:rPr>
              <w:t xml:space="preserve"> </w:t>
            </w:r>
            <w:r>
              <w:rPr>
                <w:spacing w:val="8"/>
              </w:rPr>
              <w:t>，并记入证券期货市场诚信档案。</w:t>
            </w:r>
          </w:p>
        </w:tc>
      </w:tr>
      <w:tr>
        <w:trPr>
          <w:trHeight w:val="1084" w:hRule="atLeast"/>
        </w:trPr>
        <w:tc>
          <w:tcPr>
            <w:shd w:val="clear" w:fill="B8CCE4"/>
            <w:tcW w:w="1099" w:type="dxa"/>
            <w:vAlign w:val="top"/>
          </w:tcPr>
          <w:p>
            <w:pPr>
              <w:spacing w:line="386" w:lineRule="auto"/>
              <w:rPr>
                <w:rFonts w:ascii="Arial"/>
                <w:sz w:val="21"/>
              </w:rPr>
            </w:pPr>
            <w:r/>
          </w:p>
          <w:p>
            <w:pPr>
              <w:pStyle w:val="TableText"/>
              <w:ind w:left="186"/>
              <w:spacing w:before="86" w:line="179" w:lineRule="auto"/>
              <w:rPr/>
            </w:pPr>
            <w:r>
              <w:rPr>
                <w:spacing w:val="3"/>
              </w:rPr>
              <w:t>300158</w:t>
            </w:r>
          </w:p>
        </w:tc>
        <w:tc>
          <w:tcPr>
            <w:shd w:val="clear" w:fill="B8CCE4"/>
            <w:tcW w:w="1144" w:type="dxa"/>
            <w:vAlign w:val="top"/>
          </w:tcPr>
          <w:p>
            <w:pPr>
              <w:spacing w:line="373" w:lineRule="auto"/>
              <w:rPr>
                <w:rFonts w:ascii="Arial"/>
                <w:sz w:val="21"/>
              </w:rPr>
            </w:pPr>
            <w:r/>
          </w:p>
          <w:p>
            <w:pPr>
              <w:pStyle w:val="TableText"/>
              <w:ind w:left="143"/>
              <w:spacing w:before="86" w:line="189" w:lineRule="auto"/>
              <w:rPr/>
            </w:pPr>
            <w:r>
              <w:rPr>
                <w:spacing w:val="8"/>
              </w:rPr>
              <w:t>振东制药</w:t>
            </w:r>
          </w:p>
        </w:tc>
        <w:tc>
          <w:tcPr>
            <w:shd w:val="clear" w:fill="B8CCE4"/>
            <w:tcW w:w="6551" w:type="dxa"/>
            <w:vAlign w:val="top"/>
          </w:tcPr>
          <w:p>
            <w:pPr>
              <w:pStyle w:val="TableText"/>
              <w:ind w:left="99" w:right="104" w:hanging="1"/>
              <w:spacing w:before="100" w:line="227" w:lineRule="auto"/>
              <w:jc w:val="both"/>
              <w:rPr/>
            </w:pPr>
            <w:r>
              <w:rPr>
                <w:spacing w:val="11"/>
              </w:rPr>
              <w:t>振东制药多次发生控股股东</w:t>
            </w:r>
            <w:r>
              <w:rPr>
                <w:b/>
                <w:bCs/>
                <w:spacing w:val="11"/>
              </w:rPr>
              <w:t>非经营性占用上市公司资金</w:t>
            </w:r>
            <w:r>
              <w:rPr>
                <w:spacing w:val="11"/>
              </w:rPr>
              <w:t>情况且未披露</w:t>
            </w:r>
            <w:r>
              <w:rPr>
                <w:spacing w:val="2"/>
              </w:rPr>
              <w:t xml:space="preserve"> </w:t>
            </w:r>
            <w:r>
              <w:rPr>
                <w:spacing w:val="10"/>
              </w:rPr>
              <w:t>,</w:t>
            </w:r>
            <w:r>
              <w:rPr>
                <w:spacing w:val="32"/>
              </w:rPr>
              <w:t xml:space="preserve">  </w:t>
            </w:r>
            <w:r>
              <w:rPr>
                <w:spacing w:val="10"/>
              </w:rPr>
              <w:t>同时在中国证券监督管理委员会山西监管局下发前次监管措施后对</w:t>
            </w:r>
            <w:r>
              <w:rPr/>
              <w:t xml:space="preserve"> </w:t>
            </w:r>
            <w:r>
              <w:rPr>
                <w:spacing w:val="8"/>
              </w:rPr>
              <w:t>资金占用事项披露仍不充分。</w:t>
            </w:r>
          </w:p>
        </w:tc>
      </w:tr>
      <w:tr>
        <w:trPr>
          <w:trHeight w:val="725" w:hRule="atLeast"/>
        </w:trPr>
        <w:tc>
          <w:tcPr>
            <w:tcW w:w="8794" w:type="dxa"/>
            <w:vAlign w:val="top"/>
            <w:gridSpan w:val="3"/>
          </w:tcPr>
          <w:p>
            <w:pPr>
              <w:pStyle w:val="TableText"/>
              <w:ind w:left="105" w:right="279" w:firstLine="16"/>
              <w:spacing w:before="60" w:line="229" w:lineRule="auto"/>
              <w:rPr/>
            </w:pPr>
            <w:r>
              <w:rPr>
                <w:b/>
                <w:bCs/>
                <w:spacing w:val="9"/>
              </w:rPr>
              <w:t>【行政监管措施】</w:t>
            </w:r>
            <w:r>
              <w:rPr>
                <w:spacing w:val="9"/>
              </w:rPr>
              <w:t>中国证券监督管理委员会山西监管局决定对总经理马某锋、董事会秘书周</w:t>
            </w:r>
            <w:r>
              <w:rPr>
                <w:spacing w:val="16"/>
                <w:w w:val="101"/>
              </w:rPr>
              <w:t xml:space="preserve"> </w:t>
            </w:r>
            <w:r>
              <w:rPr>
                <w:spacing w:val="8"/>
              </w:rPr>
              <w:t>某军采取出具警示函的监督管理措施</w:t>
            </w:r>
            <w:r>
              <w:rPr>
                <w:spacing w:val="-15"/>
              </w:rPr>
              <w:t xml:space="preserve"> </w:t>
            </w:r>
            <w:r>
              <w:rPr>
                <w:spacing w:val="8"/>
              </w:rPr>
              <w:t>，并记入证券期货市场诚信档案。</w:t>
            </w:r>
          </w:p>
        </w:tc>
      </w:tr>
      <w:tr>
        <w:trPr>
          <w:trHeight w:val="1083" w:hRule="atLeast"/>
        </w:trPr>
        <w:tc>
          <w:tcPr>
            <w:shd w:val="clear" w:fill="B8CCE4"/>
            <w:tcW w:w="1099" w:type="dxa"/>
            <w:vAlign w:val="top"/>
          </w:tcPr>
          <w:p>
            <w:pPr>
              <w:spacing w:line="388" w:lineRule="auto"/>
              <w:rPr>
                <w:rFonts w:ascii="Arial"/>
                <w:sz w:val="21"/>
              </w:rPr>
            </w:pPr>
            <w:r/>
          </w:p>
          <w:p>
            <w:pPr>
              <w:pStyle w:val="TableText"/>
              <w:ind w:left="186"/>
              <w:spacing w:before="86" w:line="179" w:lineRule="auto"/>
              <w:rPr/>
            </w:pPr>
            <w:r>
              <w:rPr>
                <w:spacing w:val="3"/>
              </w:rPr>
              <w:t>300158</w:t>
            </w:r>
          </w:p>
        </w:tc>
        <w:tc>
          <w:tcPr>
            <w:shd w:val="clear" w:fill="B8CCE4"/>
            <w:tcW w:w="1144" w:type="dxa"/>
            <w:vAlign w:val="top"/>
          </w:tcPr>
          <w:p>
            <w:pPr>
              <w:spacing w:line="375" w:lineRule="auto"/>
              <w:rPr>
                <w:rFonts w:ascii="Arial"/>
                <w:sz w:val="21"/>
              </w:rPr>
            </w:pPr>
            <w:r/>
          </w:p>
          <w:p>
            <w:pPr>
              <w:pStyle w:val="TableText"/>
              <w:ind w:left="143"/>
              <w:spacing w:before="85" w:line="189" w:lineRule="auto"/>
              <w:rPr/>
            </w:pPr>
            <w:r>
              <w:rPr>
                <w:spacing w:val="8"/>
              </w:rPr>
              <w:t>振东制药</w:t>
            </w:r>
          </w:p>
        </w:tc>
        <w:tc>
          <w:tcPr>
            <w:shd w:val="clear" w:fill="B8CCE4"/>
            <w:tcW w:w="6551" w:type="dxa"/>
            <w:vAlign w:val="top"/>
          </w:tcPr>
          <w:p>
            <w:pPr>
              <w:pStyle w:val="TableText"/>
              <w:ind w:left="99" w:right="104" w:hanging="1"/>
              <w:spacing w:before="103" w:line="226" w:lineRule="auto"/>
              <w:jc w:val="both"/>
              <w:rPr/>
            </w:pPr>
            <w:r>
              <w:rPr>
                <w:spacing w:val="11"/>
              </w:rPr>
              <w:t>振东制药多次发生控股股东</w:t>
            </w:r>
            <w:r>
              <w:rPr>
                <w:b/>
                <w:bCs/>
                <w:spacing w:val="11"/>
              </w:rPr>
              <w:t>非经营性占用上市公司资金</w:t>
            </w:r>
            <w:r>
              <w:rPr>
                <w:spacing w:val="11"/>
              </w:rPr>
              <w:t>情况且未披露</w:t>
            </w:r>
            <w:r>
              <w:rPr>
                <w:spacing w:val="2"/>
              </w:rPr>
              <w:t xml:space="preserve"> </w:t>
            </w:r>
            <w:r>
              <w:rPr>
                <w:spacing w:val="10"/>
              </w:rPr>
              <w:t>,</w:t>
            </w:r>
            <w:r>
              <w:rPr>
                <w:spacing w:val="32"/>
              </w:rPr>
              <w:t xml:space="preserve">  </w:t>
            </w:r>
            <w:r>
              <w:rPr>
                <w:spacing w:val="10"/>
              </w:rPr>
              <w:t>同时在中国证券监督管理委员会山西监管局下发前次监管措施后对</w:t>
            </w:r>
            <w:r>
              <w:rPr/>
              <w:t xml:space="preserve"> </w:t>
            </w:r>
            <w:r>
              <w:rPr>
                <w:spacing w:val="8"/>
              </w:rPr>
              <w:t>资金占用事项披露仍不充分。</w:t>
            </w:r>
          </w:p>
        </w:tc>
      </w:tr>
      <w:tr>
        <w:trPr>
          <w:trHeight w:val="732" w:hRule="atLeast"/>
        </w:trPr>
        <w:tc>
          <w:tcPr>
            <w:tcW w:w="8794" w:type="dxa"/>
            <w:vAlign w:val="top"/>
            <w:gridSpan w:val="3"/>
          </w:tcPr>
          <w:p>
            <w:pPr>
              <w:pStyle w:val="TableText"/>
              <w:ind w:left="103" w:right="279" w:firstLine="18"/>
              <w:spacing w:before="64" w:line="230" w:lineRule="auto"/>
              <w:rPr/>
            </w:pPr>
            <w:r>
              <w:rPr>
                <w:b/>
                <w:bCs/>
                <w:spacing w:val="9"/>
              </w:rPr>
              <w:t>【行政监管措施】</w:t>
            </w:r>
            <w:r>
              <w:rPr>
                <w:spacing w:val="9"/>
              </w:rPr>
              <w:t>中国证券监督管理委员会山西监管局决定对董事长李某平、财务总监刘某</w:t>
            </w:r>
            <w:r>
              <w:rPr>
                <w:spacing w:val="16"/>
                <w:w w:val="101"/>
              </w:rPr>
              <w:t xml:space="preserve"> </w:t>
            </w:r>
            <w:r>
              <w:rPr>
                <w:spacing w:val="9"/>
              </w:rPr>
              <w:t>禄采取出具警示函并责令定期报告的监督管理措施</w:t>
            </w:r>
            <w:r>
              <w:rPr>
                <w:spacing w:val="-25"/>
              </w:rPr>
              <w:t xml:space="preserve"> </w:t>
            </w:r>
            <w:r>
              <w:rPr>
                <w:spacing w:val="9"/>
              </w:rPr>
              <w:t>，并记</w:t>
            </w:r>
            <w:r>
              <w:rPr>
                <w:spacing w:val="8"/>
              </w:rPr>
              <w:t>入证券期货市场诚信档案。</w:t>
            </w:r>
          </w:p>
        </w:tc>
      </w:tr>
    </w:tbl>
    <w:p>
      <w:pPr>
        <w:pStyle w:val="BodyText"/>
        <w:spacing w:line="14" w:lineRule="auto"/>
        <w:rPr>
          <w:sz w:val="2"/>
        </w:rPr>
      </w:pPr>
      <w:r/>
    </w:p>
    <w:p>
      <w:pPr>
        <w:spacing w:line="14" w:lineRule="auto"/>
        <w:sectPr>
          <w:pgSz w:w="11910" w:h="16840"/>
          <w:pgMar w:top="400" w:right="1559" w:bottom="252" w:left="1541" w:header="0" w:footer="0" w:gutter="0"/>
        </w:sectPr>
        <w:rPr>
          <w:sz w:val="2"/>
          <w:szCs w:val="2"/>
        </w:rPr>
      </w:pPr>
    </w:p>
    <w:tbl>
      <w:tblPr>
        <w:tblStyle w:val="TableNormal"/>
        <w:tblW w:w="879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9"/>
        <w:gridCol w:w="1144"/>
        <w:gridCol w:w="6551"/>
      </w:tblGrid>
      <w:tr>
        <w:trPr>
          <w:trHeight w:val="1103" w:hRule="atLeast"/>
        </w:trPr>
        <w:tc>
          <w:tcPr>
            <w:shd w:val="clear" w:fill="B8CCE4"/>
            <w:tcW w:w="1099" w:type="dxa"/>
            <w:vAlign w:val="top"/>
            <w:tcBorders>
              <w:top w:val="single" w:color="4F81BD" w:sz="2" w:space="0"/>
            </w:tcBorders>
          </w:tcPr>
          <w:p>
            <w:pPr>
              <w:spacing w:line="385" w:lineRule="auto"/>
              <w:rPr>
                <w:rFonts w:ascii="Arial"/>
                <w:sz w:val="21"/>
              </w:rPr>
            </w:pPr>
            <w:r/>
          </w:p>
          <w:p>
            <w:pPr>
              <w:pStyle w:val="TableText"/>
              <w:ind w:left="186"/>
              <w:spacing w:before="86" w:line="179" w:lineRule="auto"/>
              <w:rPr/>
            </w:pPr>
            <w:r>
              <w:rPr>
                <w:spacing w:val="3"/>
              </w:rPr>
              <w:t>300158</w:t>
            </w:r>
          </w:p>
        </w:tc>
        <w:tc>
          <w:tcPr>
            <w:shd w:val="clear" w:fill="B8CCE4"/>
            <w:tcW w:w="1144" w:type="dxa"/>
            <w:vAlign w:val="top"/>
            <w:tcBorders>
              <w:top w:val="single" w:color="4F81BD" w:sz="2" w:space="0"/>
            </w:tcBorders>
          </w:tcPr>
          <w:p>
            <w:pPr>
              <w:spacing w:line="372" w:lineRule="auto"/>
              <w:rPr>
                <w:rFonts w:ascii="Arial"/>
                <w:sz w:val="21"/>
              </w:rPr>
            </w:pPr>
            <w:r/>
          </w:p>
          <w:p>
            <w:pPr>
              <w:pStyle w:val="TableText"/>
              <w:ind w:left="143"/>
              <w:spacing w:before="85" w:line="189" w:lineRule="auto"/>
              <w:rPr/>
            </w:pPr>
            <w:r>
              <w:rPr>
                <w:spacing w:val="8"/>
              </w:rPr>
              <w:t>振东制药</w:t>
            </w:r>
          </w:p>
        </w:tc>
        <w:tc>
          <w:tcPr>
            <w:shd w:val="clear" w:fill="B8CCE4"/>
            <w:tcW w:w="6551" w:type="dxa"/>
            <w:vAlign w:val="top"/>
            <w:tcBorders>
              <w:top w:val="single" w:color="4F81BD" w:sz="2" w:space="0"/>
            </w:tcBorders>
          </w:tcPr>
          <w:p>
            <w:pPr>
              <w:pStyle w:val="TableText"/>
              <w:ind w:left="99" w:right="104" w:hanging="1"/>
              <w:spacing w:before="102" w:line="231" w:lineRule="auto"/>
              <w:jc w:val="both"/>
              <w:rPr/>
            </w:pPr>
            <w:r>
              <w:rPr>
                <w:spacing w:val="11"/>
              </w:rPr>
              <w:t>振东制药多次发生控股股东</w:t>
            </w:r>
            <w:r>
              <w:rPr>
                <w:b/>
                <w:bCs/>
                <w:spacing w:val="11"/>
              </w:rPr>
              <w:t>非经营性占用上市公司资金</w:t>
            </w:r>
            <w:r>
              <w:rPr>
                <w:spacing w:val="11"/>
              </w:rPr>
              <w:t>情况且未披露</w:t>
            </w:r>
            <w:r>
              <w:rPr>
                <w:spacing w:val="2"/>
              </w:rPr>
              <w:t xml:space="preserve"> </w:t>
            </w:r>
            <w:r>
              <w:rPr>
                <w:spacing w:val="10"/>
              </w:rPr>
              <w:t>,</w:t>
            </w:r>
            <w:r>
              <w:rPr>
                <w:spacing w:val="32"/>
              </w:rPr>
              <w:t xml:space="preserve">  </w:t>
            </w:r>
            <w:r>
              <w:rPr>
                <w:spacing w:val="10"/>
              </w:rPr>
              <w:t>同时在中国证券监督管理委员会山西监管局下发前次监管措施后对</w:t>
            </w:r>
            <w:r>
              <w:rPr/>
              <w:t xml:space="preserve"> </w:t>
            </w:r>
            <w:r>
              <w:rPr>
                <w:spacing w:val="8"/>
              </w:rPr>
              <w:t>资金占用事项披露仍不充分。</w:t>
            </w:r>
          </w:p>
        </w:tc>
      </w:tr>
      <w:tr>
        <w:trPr>
          <w:trHeight w:val="724" w:hRule="atLeast"/>
        </w:trPr>
        <w:tc>
          <w:tcPr>
            <w:tcW w:w="8794" w:type="dxa"/>
            <w:vAlign w:val="top"/>
            <w:gridSpan w:val="3"/>
          </w:tcPr>
          <w:p>
            <w:pPr>
              <w:pStyle w:val="TableText"/>
              <w:ind w:left="104" w:right="279" w:firstLine="17"/>
              <w:spacing w:before="39" w:line="236" w:lineRule="auto"/>
              <w:rPr/>
            </w:pPr>
            <w:r>
              <w:rPr>
                <w:b/>
                <w:bCs/>
                <w:spacing w:val="9"/>
              </w:rPr>
              <w:t>【行政监管措施】</w:t>
            </w:r>
            <w:r>
              <w:rPr>
                <w:spacing w:val="9"/>
              </w:rPr>
              <w:t>中国证券监督管理委员会山西监管局决定对山西振东制药股份有限公司采</w:t>
            </w:r>
            <w:r>
              <w:rPr>
                <w:spacing w:val="16"/>
                <w:w w:val="101"/>
              </w:rPr>
              <w:t xml:space="preserve"> </w:t>
            </w:r>
            <w:r>
              <w:rPr>
                <w:spacing w:val="9"/>
              </w:rPr>
              <w:t>取出具警示函并责令定期报告的监督管理措</w:t>
            </w:r>
            <w:r>
              <w:rPr>
                <w:spacing w:val="8"/>
              </w:rPr>
              <w:t>施</w:t>
            </w:r>
            <w:r>
              <w:rPr>
                <w:spacing w:val="-25"/>
              </w:rPr>
              <w:t xml:space="preserve"> </w:t>
            </w:r>
            <w:r>
              <w:rPr>
                <w:spacing w:val="8"/>
              </w:rPr>
              <w:t>，并记入证券期货市场诚信档案。</w:t>
            </w:r>
          </w:p>
        </w:tc>
      </w:tr>
      <w:tr>
        <w:trPr>
          <w:trHeight w:val="1803" w:hRule="atLeast"/>
        </w:trPr>
        <w:tc>
          <w:tcPr>
            <w:shd w:val="clear" w:fill="B8CCE4"/>
            <w:tcW w:w="1099"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83"/>
              <w:spacing w:before="86" w:line="179" w:lineRule="auto"/>
              <w:rPr/>
            </w:pPr>
            <w:r>
              <w:rPr>
                <w:spacing w:val="3"/>
              </w:rPr>
              <w:t>603612</w:t>
            </w:r>
          </w:p>
        </w:tc>
        <w:tc>
          <w:tcPr>
            <w:shd w:val="clear" w:fill="B8CCE4"/>
            <w:tcW w:w="1144" w:type="dxa"/>
            <w:vAlign w:val="top"/>
          </w:tcPr>
          <w:p>
            <w:pPr>
              <w:spacing w:line="358" w:lineRule="auto"/>
              <w:rPr>
                <w:rFonts w:ascii="Arial"/>
                <w:sz w:val="21"/>
              </w:rPr>
            </w:pPr>
            <w:r/>
          </w:p>
          <w:p>
            <w:pPr>
              <w:spacing w:line="358" w:lineRule="auto"/>
              <w:rPr>
                <w:rFonts w:ascii="Arial"/>
                <w:sz w:val="21"/>
              </w:rPr>
            </w:pPr>
            <w:r/>
          </w:p>
          <w:p>
            <w:pPr>
              <w:pStyle w:val="TableText"/>
              <w:ind w:left="143"/>
              <w:spacing w:before="86" w:line="189" w:lineRule="auto"/>
              <w:rPr/>
            </w:pPr>
            <w:r>
              <w:rPr>
                <w:spacing w:val="8"/>
              </w:rPr>
              <w:t>索通发展</w:t>
            </w:r>
          </w:p>
        </w:tc>
        <w:tc>
          <w:tcPr>
            <w:shd w:val="clear" w:fill="B8CCE4"/>
            <w:tcW w:w="6551" w:type="dxa"/>
            <w:vAlign w:val="top"/>
          </w:tcPr>
          <w:p>
            <w:pPr>
              <w:pStyle w:val="TableText"/>
              <w:ind w:left="97" w:right="101"/>
              <w:spacing w:before="84" w:line="239" w:lineRule="auto"/>
              <w:jc w:val="both"/>
              <w:rPr/>
            </w:pPr>
            <w:r>
              <w:rPr>
                <w:spacing w:val="10"/>
              </w:rPr>
              <w:t>公司收购佛山市欣源电子股份有限公司股权事项中</w:t>
            </w:r>
            <w:r>
              <w:rPr>
                <w:spacing w:val="-25"/>
              </w:rPr>
              <w:t xml:space="preserve"> </w:t>
            </w:r>
            <w:r>
              <w:rPr>
                <w:spacing w:val="10"/>
              </w:rPr>
              <w:t>，个别知情人</w:t>
            </w:r>
            <w:r>
              <w:rPr>
                <w:spacing w:val="9"/>
              </w:rPr>
              <w:t>员在</w:t>
            </w:r>
            <w:r>
              <w:rPr/>
              <w:t xml:space="preserve"> </w:t>
            </w:r>
            <w:r>
              <w:rPr>
                <w:spacing w:val="10"/>
              </w:rPr>
              <w:t>《</w:t>
            </w:r>
            <w:r>
              <w:rPr>
                <w:b/>
                <w:bCs/>
                <w:spacing w:val="10"/>
              </w:rPr>
              <w:t>内幕信息知情人登记表</w:t>
            </w:r>
            <w:r>
              <w:rPr>
                <w:spacing w:val="10"/>
              </w:rPr>
              <w:t>》中没有登记、签字</w:t>
            </w:r>
            <w:r>
              <w:rPr>
                <w:spacing w:val="-24"/>
              </w:rPr>
              <w:t xml:space="preserve"> </w:t>
            </w:r>
            <w:r>
              <w:rPr>
                <w:spacing w:val="10"/>
              </w:rPr>
              <w:t>，收购欣源股份股权内</w:t>
            </w:r>
            <w:r>
              <w:rPr/>
              <w:t xml:space="preserve"> </w:t>
            </w:r>
            <w:r>
              <w:rPr>
                <w:spacing w:val="10"/>
              </w:rPr>
              <w:t>幕信息形成时间登记不准确</w:t>
            </w:r>
            <w:r>
              <w:rPr>
                <w:spacing w:val="-26"/>
              </w:rPr>
              <w:t xml:space="preserve"> </w:t>
            </w:r>
            <w:r>
              <w:rPr>
                <w:spacing w:val="10"/>
              </w:rPr>
              <w:t>，个别讨论会登记的重大事项进程备忘录</w:t>
            </w:r>
            <w:r>
              <w:rPr/>
              <w:t xml:space="preserve"> </w:t>
            </w:r>
            <w:r>
              <w:rPr>
                <w:spacing w:val="15"/>
              </w:rPr>
              <w:t>与内幕信息知情人登记表登记人员不一致。公司2022年年度报告内</w:t>
            </w:r>
            <w:r>
              <w:rPr/>
              <w:t xml:space="preserve"> </w:t>
            </w:r>
            <w:r>
              <w:rPr>
                <w:spacing w:val="9"/>
              </w:rPr>
              <w:t>幕信息知情人档案存在登记的审计人员信息知情时间不准确的情形。</w:t>
            </w:r>
          </w:p>
        </w:tc>
      </w:tr>
      <w:tr>
        <w:trPr>
          <w:trHeight w:val="725" w:hRule="atLeast"/>
        </w:trPr>
        <w:tc>
          <w:tcPr>
            <w:tcW w:w="8794" w:type="dxa"/>
            <w:vAlign w:val="top"/>
            <w:gridSpan w:val="3"/>
          </w:tcPr>
          <w:p>
            <w:pPr>
              <w:pStyle w:val="TableText"/>
              <w:ind w:left="105" w:right="279" w:firstLine="16"/>
              <w:spacing w:before="42" w:line="235" w:lineRule="auto"/>
              <w:rPr/>
            </w:pPr>
            <w:r>
              <w:rPr>
                <w:b/>
                <w:bCs/>
                <w:spacing w:val="9"/>
              </w:rPr>
              <w:t>【行政监管措施】</w:t>
            </w:r>
            <w:r>
              <w:rPr>
                <w:spacing w:val="9"/>
              </w:rPr>
              <w:t>中国证券监督管理委员会山东监管局决定对索通发展股份有限公司采取出</w:t>
            </w:r>
            <w:r>
              <w:rPr>
                <w:spacing w:val="16"/>
                <w:w w:val="101"/>
              </w:rPr>
              <w:t xml:space="preserve"> </w:t>
            </w:r>
            <w:r>
              <w:rPr>
                <w:spacing w:val="8"/>
              </w:rPr>
              <w:t>具警示函的行政监管措施</w:t>
            </w:r>
            <w:r>
              <w:rPr>
                <w:spacing w:val="-18"/>
              </w:rPr>
              <w:t xml:space="preserve"> </w:t>
            </w:r>
            <w:r>
              <w:rPr>
                <w:spacing w:val="8"/>
              </w:rPr>
              <w:t>，并记入证券期货市场诚信档案数据库。</w:t>
            </w:r>
          </w:p>
        </w:tc>
      </w:tr>
      <w:tr>
        <w:trPr>
          <w:trHeight w:val="1083" w:hRule="atLeast"/>
        </w:trPr>
        <w:tc>
          <w:tcPr>
            <w:shd w:val="clear" w:fill="B8CCE4"/>
            <w:tcW w:w="1099" w:type="dxa"/>
            <w:vAlign w:val="top"/>
          </w:tcPr>
          <w:p>
            <w:pPr>
              <w:spacing w:line="373" w:lineRule="auto"/>
              <w:rPr>
                <w:rFonts w:ascii="Arial"/>
                <w:sz w:val="21"/>
              </w:rPr>
            </w:pPr>
            <w:r/>
          </w:p>
          <w:p>
            <w:pPr>
              <w:pStyle w:val="TableText"/>
              <w:ind w:left="180"/>
              <w:spacing w:before="86" w:line="178" w:lineRule="auto"/>
              <w:rPr/>
            </w:pPr>
            <w:r>
              <w:rPr>
                <w:spacing w:val="3"/>
              </w:rPr>
              <w:t>000903</w:t>
            </w:r>
          </w:p>
        </w:tc>
        <w:tc>
          <w:tcPr>
            <w:shd w:val="clear" w:fill="B8CCE4"/>
            <w:tcW w:w="1144" w:type="dxa"/>
            <w:vAlign w:val="top"/>
          </w:tcPr>
          <w:p>
            <w:pPr>
              <w:spacing w:line="360" w:lineRule="auto"/>
              <w:rPr>
                <w:rFonts w:ascii="Arial"/>
                <w:sz w:val="21"/>
              </w:rPr>
            </w:pPr>
            <w:r/>
          </w:p>
          <w:p>
            <w:pPr>
              <w:pStyle w:val="TableText"/>
              <w:ind w:left="146"/>
              <w:spacing w:before="86" w:line="188" w:lineRule="auto"/>
              <w:rPr/>
            </w:pPr>
            <w:r>
              <w:rPr>
                <w:spacing w:val="8"/>
              </w:rPr>
              <w:t>云内动力</w:t>
            </w:r>
          </w:p>
        </w:tc>
        <w:tc>
          <w:tcPr>
            <w:shd w:val="clear" w:fill="B8CCE4"/>
            <w:tcW w:w="6551" w:type="dxa"/>
            <w:vAlign w:val="top"/>
          </w:tcPr>
          <w:p>
            <w:pPr>
              <w:pStyle w:val="TableText"/>
              <w:ind w:left="98" w:right="104"/>
              <w:spacing w:before="86" w:line="230" w:lineRule="auto"/>
              <w:jc w:val="both"/>
              <w:rPr/>
            </w:pPr>
            <w:r>
              <w:rPr>
                <w:spacing w:val="11"/>
              </w:rPr>
              <w:t>控股股东未采取有效措施保障上市公司</w:t>
            </w:r>
            <w:r>
              <w:rPr>
                <w:b/>
                <w:bCs/>
                <w:spacing w:val="11"/>
              </w:rPr>
              <w:t>独立性</w:t>
            </w:r>
            <w:r>
              <w:rPr>
                <w:spacing w:val="11"/>
              </w:rPr>
              <w:t>；未能依法及时开展上</w:t>
            </w:r>
            <w:r>
              <w:rPr>
                <w:spacing w:val="2"/>
              </w:rPr>
              <w:t xml:space="preserve"> </w:t>
            </w:r>
            <w:r>
              <w:rPr>
                <w:spacing w:val="11"/>
              </w:rPr>
              <w:t>市公司董事会、监事会</w:t>
            </w:r>
            <w:r>
              <w:rPr>
                <w:b/>
                <w:bCs/>
                <w:spacing w:val="11"/>
              </w:rPr>
              <w:t>换届工作</w:t>
            </w:r>
            <w:r>
              <w:rPr>
                <w:spacing w:val="11"/>
              </w:rPr>
              <w:t>；未及时向上市公司提供完整</w:t>
            </w:r>
            <w:r>
              <w:rPr>
                <w:b/>
                <w:bCs/>
                <w:spacing w:val="11"/>
              </w:rPr>
              <w:t>关联方</w:t>
            </w:r>
            <w:r>
              <w:rPr>
                <w:b/>
                <w:bCs/>
                <w:spacing w:val="2"/>
              </w:rPr>
              <w:t xml:space="preserve"> </w:t>
            </w:r>
            <w:r>
              <w:rPr>
                <w:b/>
                <w:bCs/>
                <w:spacing w:val="4"/>
              </w:rPr>
              <w:t>清单</w:t>
            </w:r>
            <w:r>
              <w:rPr>
                <w:spacing w:val="4"/>
              </w:rPr>
              <w:t>。</w:t>
            </w:r>
          </w:p>
        </w:tc>
      </w:tr>
      <w:tr>
        <w:trPr>
          <w:trHeight w:val="725" w:hRule="atLeast"/>
        </w:trPr>
        <w:tc>
          <w:tcPr>
            <w:tcW w:w="8794" w:type="dxa"/>
            <w:vAlign w:val="top"/>
            <w:gridSpan w:val="3"/>
          </w:tcPr>
          <w:p>
            <w:pPr>
              <w:pStyle w:val="TableText"/>
              <w:ind w:left="104" w:right="104" w:firstLine="17"/>
              <w:spacing w:before="45" w:line="234" w:lineRule="auto"/>
              <w:rPr/>
            </w:pPr>
            <w:r>
              <w:rPr>
                <w:b/>
                <w:bCs/>
                <w:spacing w:val="14"/>
              </w:rPr>
              <w:t>【行政监管措施】</w:t>
            </w:r>
            <w:r>
              <w:rPr>
                <w:spacing w:val="14"/>
              </w:rPr>
              <w:t>中国证券监督管理委员会云南监管局决定对云南云内</w:t>
            </w:r>
            <w:r>
              <w:rPr>
                <w:spacing w:val="13"/>
              </w:rPr>
              <w:t>动力集团有限公司采</w:t>
            </w:r>
            <w:r>
              <w:rPr/>
              <w:t xml:space="preserve"> </w:t>
            </w:r>
            <w:r>
              <w:rPr>
                <w:spacing w:val="8"/>
              </w:rPr>
              <w:t>取责令改正并出具警示函的行政监管措施</w:t>
            </w:r>
            <w:r>
              <w:rPr>
                <w:spacing w:val="-10"/>
              </w:rPr>
              <w:t xml:space="preserve"> </w:t>
            </w:r>
            <w:r>
              <w:rPr>
                <w:spacing w:val="8"/>
              </w:rPr>
              <w:t>，并记入证券期货市场诚信档案。</w:t>
            </w:r>
          </w:p>
        </w:tc>
      </w:tr>
      <w:tr>
        <w:trPr>
          <w:trHeight w:val="3241" w:hRule="atLeast"/>
        </w:trPr>
        <w:tc>
          <w:tcPr>
            <w:shd w:val="clear" w:fill="B8CCE4"/>
            <w:tcW w:w="109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80"/>
              <w:spacing w:before="85" w:line="178" w:lineRule="auto"/>
              <w:rPr/>
            </w:pPr>
            <w:r>
              <w:rPr>
                <w:spacing w:val="3"/>
              </w:rPr>
              <w:t>000903</w:t>
            </w:r>
          </w:p>
        </w:tc>
        <w:tc>
          <w:tcPr>
            <w:shd w:val="clear" w:fill="B8CCE4"/>
            <w:tcW w:w="1144"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46"/>
              <w:spacing w:before="86" w:line="188" w:lineRule="auto"/>
              <w:rPr/>
            </w:pPr>
            <w:r>
              <w:rPr>
                <w:spacing w:val="8"/>
              </w:rPr>
              <w:t>云内动力</w:t>
            </w:r>
          </w:p>
        </w:tc>
        <w:tc>
          <w:tcPr>
            <w:shd w:val="clear" w:fill="B8CCE4"/>
            <w:tcW w:w="6551" w:type="dxa"/>
            <w:vAlign w:val="top"/>
          </w:tcPr>
          <w:p>
            <w:pPr>
              <w:pStyle w:val="TableText"/>
              <w:ind w:left="96" w:right="104" w:firstLine="15"/>
              <w:spacing w:before="91" w:line="244" w:lineRule="auto"/>
              <w:jc w:val="both"/>
              <w:rPr/>
            </w:pPr>
            <w:r>
              <w:rPr>
                <w:b/>
                <w:bCs/>
                <w:spacing w:val="11"/>
              </w:rPr>
              <w:t>内幕信息</w:t>
            </w:r>
            <w:r>
              <w:rPr>
                <w:spacing w:val="11"/>
              </w:rPr>
              <w:t>管理不规范；未采取有效措施确保</w:t>
            </w:r>
            <w:r>
              <w:rPr>
                <w:spacing w:val="10"/>
              </w:rPr>
              <w:t>上市公司</w:t>
            </w:r>
            <w:r>
              <w:rPr>
                <w:b/>
                <w:bCs/>
                <w:spacing w:val="10"/>
              </w:rPr>
              <w:t>独立性</w:t>
            </w:r>
            <w:r>
              <w:rPr>
                <w:spacing w:val="10"/>
              </w:rPr>
              <w:t>；存在</w:t>
            </w:r>
            <w:r>
              <w:rPr>
                <w:b/>
                <w:bCs/>
                <w:spacing w:val="10"/>
              </w:rPr>
              <w:t>先</w:t>
            </w:r>
            <w:r>
              <w:rPr>
                <w:b/>
                <w:bCs/>
              </w:rPr>
              <w:t xml:space="preserve"> </w:t>
            </w:r>
            <w:r>
              <w:rPr>
                <w:b/>
                <w:bCs/>
                <w:spacing w:val="11"/>
              </w:rPr>
              <w:t>对外投资设立子公司</w:t>
            </w:r>
            <w:r>
              <w:rPr>
                <w:spacing w:val="11"/>
              </w:rPr>
              <w:t>后履行董事会审批程序和信息披露义务情况；未</w:t>
            </w:r>
            <w:r>
              <w:rPr>
                <w:spacing w:val="4"/>
              </w:rPr>
              <w:t xml:space="preserve"> </w:t>
            </w:r>
            <w:r>
              <w:rPr>
                <w:spacing w:val="11"/>
              </w:rPr>
              <w:t>按照法律规定及时履行</w:t>
            </w:r>
            <w:r>
              <w:rPr>
                <w:b/>
                <w:bCs/>
                <w:spacing w:val="11"/>
              </w:rPr>
              <w:t>董事会、监事会换届程序</w:t>
            </w:r>
            <w:r>
              <w:rPr>
                <w:spacing w:val="11"/>
              </w:rPr>
              <w:t>且定期报告相关信息</w:t>
            </w:r>
            <w:r>
              <w:rPr>
                <w:spacing w:val="4"/>
              </w:rPr>
              <w:t xml:space="preserve"> </w:t>
            </w:r>
            <w:r>
              <w:rPr>
                <w:spacing w:val="7"/>
              </w:rPr>
              <w:t>披露不完整；</w:t>
            </w:r>
            <w:r>
              <w:rPr>
                <w:spacing w:val="-21"/>
              </w:rPr>
              <w:t xml:space="preserve"> </w:t>
            </w:r>
            <w:r>
              <w:rPr>
                <w:spacing w:val="7"/>
              </w:rPr>
              <w:t>2021年、</w:t>
            </w:r>
            <w:r>
              <w:rPr>
                <w:spacing w:val="-39"/>
              </w:rPr>
              <w:t xml:space="preserve"> </w:t>
            </w:r>
            <w:r>
              <w:rPr>
                <w:spacing w:val="7"/>
              </w:rPr>
              <w:t>2022年、</w:t>
            </w:r>
            <w:r>
              <w:rPr>
                <w:spacing w:val="-36"/>
              </w:rPr>
              <w:t xml:space="preserve"> </w:t>
            </w:r>
            <w:r>
              <w:rPr>
                <w:spacing w:val="7"/>
              </w:rPr>
              <w:t>2023年未按规定披露因向金融机构</w:t>
            </w:r>
            <w:r>
              <w:rPr/>
              <w:t xml:space="preserve"> </w:t>
            </w:r>
            <w:r>
              <w:rPr>
                <w:spacing w:val="7"/>
              </w:rPr>
              <w:t>融资形成的与关联方</w:t>
            </w:r>
            <w:r>
              <w:rPr>
                <w:b/>
                <w:bCs/>
                <w:spacing w:val="7"/>
              </w:rPr>
              <w:t>非经营性资金往来</w:t>
            </w:r>
            <w:r>
              <w:rPr>
                <w:spacing w:val="7"/>
              </w:rPr>
              <w:t>；</w:t>
            </w:r>
            <w:r>
              <w:rPr>
                <w:spacing w:val="-19"/>
              </w:rPr>
              <w:t xml:space="preserve"> </w:t>
            </w:r>
            <w:r>
              <w:rPr>
                <w:spacing w:val="7"/>
              </w:rPr>
              <w:t>2020年、</w:t>
            </w:r>
            <w:r>
              <w:rPr>
                <w:spacing w:val="-38"/>
              </w:rPr>
              <w:t xml:space="preserve"> </w:t>
            </w:r>
            <w:r>
              <w:rPr>
                <w:spacing w:val="7"/>
              </w:rPr>
              <w:t>2021年、</w:t>
            </w:r>
            <w:r>
              <w:rPr>
                <w:spacing w:val="-39"/>
              </w:rPr>
              <w:t xml:space="preserve"> </w:t>
            </w:r>
            <w:r>
              <w:rPr>
                <w:spacing w:val="7"/>
              </w:rPr>
              <w:t>2022年</w:t>
            </w:r>
            <w:r>
              <w:rPr/>
              <w:t xml:space="preserve"> </w:t>
            </w:r>
            <w:r>
              <w:rPr>
                <w:spacing w:val="14"/>
              </w:rPr>
              <w:t>年度报告-财务报告披露不准确</w:t>
            </w:r>
            <w:r>
              <w:rPr>
                <w:spacing w:val="-21"/>
              </w:rPr>
              <w:t xml:space="preserve"> </w:t>
            </w:r>
            <w:r>
              <w:rPr>
                <w:spacing w:val="14"/>
              </w:rPr>
              <w:t>，报告期资</w:t>
            </w:r>
            <w:r>
              <w:rPr>
                <w:spacing w:val="13"/>
              </w:rPr>
              <w:t>产、负债、利润总额、净</w:t>
            </w:r>
            <w:r>
              <w:rPr/>
              <w:t xml:space="preserve"> </w:t>
            </w:r>
            <w:r>
              <w:rPr>
                <w:spacing w:val="10"/>
              </w:rPr>
              <w:t>利润、受限资金等</w:t>
            </w:r>
            <w:r>
              <w:rPr>
                <w:b/>
                <w:bCs/>
                <w:spacing w:val="10"/>
              </w:rPr>
              <w:t>信息披露不准确</w:t>
            </w:r>
            <w:r>
              <w:rPr>
                <w:spacing w:val="10"/>
              </w:rPr>
              <w:t>；</w:t>
            </w:r>
            <w:r>
              <w:rPr>
                <w:spacing w:val="-25"/>
              </w:rPr>
              <w:t xml:space="preserve"> </w:t>
            </w:r>
            <w:r>
              <w:rPr>
                <w:spacing w:val="10"/>
              </w:rPr>
              <w:t>部分</w:t>
            </w:r>
            <w:r>
              <w:rPr>
                <w:b/>
                <w:bCs/>
                <w:spacing w:val="10"/>
              </w:rPr>
              <w:t>关联方或关联交易</w:t>
            </w:r>
            <w:r>
              <w:rPr>
                <w:spacing w:val="10"/>
              </w:rPr>
              <w:t>披露不完</w:t>
            </w:r>
            <w:r>
              <w:rPr/>
              <w:t xml:space="preserve"> </w:t>
            </w:r>
            <w:r>
              <w:rPr>
                <w:spacing w:val="11"/>
              </w:rPr>
              <w:t>整；</w:t>
            </w:r>
            <w:r>
              <w:rPr>
                <w:b/>
                <w:bCs/>
                <w:spacing w:val="11"/>
              </w:rPr>
              <w:t>会计核算</w:t>
            </w:r>
            <w:r>
              <w:rPr>
                <w:spacing w:val="11"/>
              </w:rPr>
              <w:t>不准确；</w:t>
            </w:r>
            <w:r>
              <w:rPr>
                <w:b/>
                <w:bCs/>
                <w:spacing w:val="11"/>
              </w:rPr>
              <w:t>存货</w:t>
            </w:r>
            <w:r>
              <w:rPr>
                <w:spacing w:val="11"/>
              </w:rPr>
              <w:t>管理及账务处理不规范；</w:t>
            </w:r>
            <w:r>
              <w:rPr>
                <w:b/>
                <w:bCs/>
                <w:spacing w:val="11"/>
              </w:rPr>
              <w:t>计提</w:t>
            </w:r>
            <w:r>
              <w:rPr>
                <w:spacing w:val="11"/>
              </w:rPr>
              <w:t>存货跌价准</w:t>
            </w:r>
            <w:r>
              <w:rPr>
                <w:spacing w:val="4"/>
              </w:rPr>
              <w:t xml:space="preserve"> </w:t>
            </w:r>
            <w:r>
              <w:rPr>
                <w:spacing w:val="9"/>
              </w:rPr>
              <w:t>备的内部控制制度不完善；部分基础业务及财务资料</w:t>
            </w:r>
            <w:r>
              <w:rPr>
                <w:b/>
                <w:bCs/>
                <w:spacing w:val="9"/>
              </w:rPr>
              <w:t>保存不完整。</w:t>
            </w:r>
          </w:p>
        </w:tc>
      </w:tr>
      <w:tr>
        <w:trPr>
          <w:trHeight w:val="724" w:hRule="atLeast"/>
        </w:trPr>
        <w:tc>
          <w:tcPr>
            <w:tcW w:w="8794" w:type="dxa"/>
            <w:vAlign w:val="top"/>
            <w:gridSpan w:val="3"/>
          </w:tcPr>
          <w:p>
            <w:pPr>
              <w:pStyle w:val="TableText"/>
              <w:ind w:left="104" w:right="279" w:firstLine="17"/>
              <w:spacing w:before="53" w:line="231" w:lineRule="auto"/>
              <w:rPr/>
            </w:pPr>
            <w:r>
              <w:rPr>
                <w:b/>
                <w:bCs/>
                <w:spacing w:val="9"/>
              </w:rPr>
              <w:t>【行政监管措施】</w:t>
            </w:r>
            <w:r>
              <w:rPr>
                <w:spacing w:val="9"/>
              </w:rPr>
              <w:t>中国证券监督管理委员会云南监管局决定对昆明云内动力股份有限公司采</w:t>
            </w:r>
            <w:r>
              <w:rPr>
                <w:spacing w:val="16"/>
                <w:w w:val="101"/>
              </w:rPr>
              <w:t xml:space="preserve"> </w:t>
            </w:r>
            <w:r>
              <w:rPr>
                <w:spacing w:val="8"/>
              </w:rPr>
              <w:t>取责令改正并出具警示函的行政监管措施</w:t>
            </w:r>
            <w:r>
              <w:rPr>
                <w:spacing w:val="-10"/>
              </w:rPr>
              <w:t xml:space="preserve"> </w:t>
            </w:r>
            <w:r>
              <w:rPr>
                <w:spacing w:val="8"/>
              </w:rPr>
              <w:t>，并记入证券期货市场诚信档案。</w:t>
            </w:r>
          </w:p>
        </w:tc>
      </w:tr>
      <w:tr>
        <w:trPr>
          <w:trHeight w:val="725" w:hRule="atLeast"/>
        </w:trPr>
        <w:tc>
          <w:tcPr>
            <w:shd w:val="clear" w:fill="B8CCE4"/>
            <w:tcW w:w="1099" w:type="dxa"/>
            <w:vAlign w:val="top"/>
          </w:tcPr>
          <w:p>
            <w:pPr>
              <w:pStyle w:val="TableText"/>
              <w:ind w:left="180"/>
              <w:spacing w:before="292" w:line="178" w:lineRule="auto"/>
              <w:rPr/>
            </w:pPr>
            <w:r>
              <w:rPr>
                <w:spacing w:val="3"/>
              </w:rPr>
              <w:t>002288</w:t>
            </w:r>
          </w:p>
        </w:tc>
        <w:tc>
          <w:tcPr>
            <w:shd w:val="clear" w:fill="B8CCE4"/>
            <w:tcW w:w="1144" w:type="dxa"/>
            <w:vAlign w:val="top"/>
          </w:tcPr>
          <w:p>
            <w:pPr>
              <w:pStyle w:val="TableText"/>
              <w:ind w:left="144"/>
              <w:spacing w:before="277" w:line="189" w:lineRule="auto"/>
              <w:rPr/>
            </w:pPr>
            <w:r>
              <w:rPr>
                <w:spacing w:val="8"/>
              </w:rPr>
              <w:t>超华科技</w:t>
            </w:r>
          </w:p>
        </w:tc>
        <w:tc>
          <w:tcPr>
            <w:shd w:val="clear" w:fill="B8CCE4"/>
            <w:tcW w:w="6551" w:type="dxa"/>
            <w:vAlign w:val="top"/>
          </w:tcPr>
          <w:p>
            <w:pPr>
              <w:pStyle w:val="TableText"/>
              <w:ind w:left="108" w:right="104" w:hanging="10"/>
              <w:spacing w:before="100" w:line="215" w:lineRule="auto"/>
              <w:rPr/>
            </w:pPr>
            <w:r>
              <w:rPr>
                <w:spacing w:val="11"/>
              </w:rPr>
              <w:t>未及时披露</w:t>
            </w:r>
            <w:r>
              <w:rPr>
                <w:b/>
                <w:bCs/>
                <w:spacing w:val="11"/>
              </w:rPr>
              <w:t>重大诉讼</w:t>
            </w:r>
            <w:r>
              <w:rPr>
                <w:spacing w:val="11"/>
              </w:rPr>
              <w:t>情况；未及时披露</w:t>
            </w:r>
            <w:r>
              <w:rPr>
                <w:b/>
                <w:bCs/>
                <w:spacing w:val="11"/>
              </w:rPr>
              <w:t>实控人股份可能被强制执行</w:t>
            </w:r>
            <w:r>
              <w:rPr>
                <w:spacing w:val="11"/>
              </w:rPr>
              <w:t>风</w:t>
            </w:r>
            <w:r>
              <w:rPr>
                <w:spacing w:val="2"/>
              </w:rPr>
              <w:t xml:space="preserve"> </w:t>
            </w:r>
            <w:r>
              <w:rPr>
                <w:spacing w:val="8"/>
              </w:rPr>
              <w:t>险；未及时披露</w:t>
            </w:r>
            <w:r>
              <w:rPr>
                <w:b/>
                <w:bCs/>
                <w:spacing w:val="8"/>
              </w:rPr>
              <w:t>债务逾期</w:t>
            </w:r>
            <w:r>
              <w:rPr>
                <w:spacing w:val="8"/>
              </w:rPr>
              <w:t>情况。</w:t>
            </w:r>
          </w:p>
        </w:tc>
      </w:tr>
      <w:tr>
        <w:trPr>
          <w:trHeight w:val="1083" w:hRule="atLeast"/>
        </w:trPr>
        <w:tc>
          <w:tcPr>
            <w:tcW w:w="8794" w:type="dxa"/>
            <w:vAlign w:val="top"/>
            <w:gridSpan w:val="3"/>
          </w:tcPr>
          <w:p>
            <w:pPr>
              <w:pStyle w:val="TableText"/>
              <w:ind w:left="105" w:right="279" w:firstLine="16"/>
              <w:spacing w:before="56" w:line="237" w:lineRule="auto"/>
              <w:jc w:val="both"/>
              <w:rPr/>
            </w:pPr>
            <w:r>
              <w:rPr>
                <w:b/>
                <w:bCs/>
                <w:spacing w:val="9"/>
              </w:rPr>
              <w:t>【行政监管措施】</w:t>
            </w:r>
            <w:r>
              <w:rPr>
                <w:spacing w:val="9"/>
              </w:rPr>
              <w:t>中国证券监督管理委员会广东监管局决定对超华科技第三项违规行为采取</w:t>
            </w:r>
            <w:r>
              <w:rPr>
                <w:spacing w:val="16"/>
                <w:w w:val="101"/>
              </w:rPr>
              <w:t xml:space="preserve"> </w:t>
            </w:r>
            <w:r>
              <w:rPr>
                <w:spacing w:val="9"/>
              </w:rPr>
              <w:t>责令改正的行政监管措施</w:t>
            </w:r>
            <w:r>
              <w:rPr>
                <w:spacing w:val="-27"/>
              </w:rPr>
              <w:t xml:space="preserve"> </w:t>
            </w:r>
            <w:r>
              <w:rPr>
                <w:spacing w:val="9"/>
              </w:rPr>
              <w:t>，对超华科技第一、二项违规行为采取出具警示函的行政监管措施</w:t>
            </w:r>
            <w:r>
              <w:rPr/>
              <w:t xml:space="preserve"> </w:t>
            </w:r>
            <w:r>
              <w:rPr>
                <w:spacing w:val="10"/>
              </w:rPr>
              <w:t>,  对董事长梁某锋、董事会秘书李某华、财务总监梁某贤采取出具警示函的行政监管</w:t>
            </w:r>
            <w:r>
              <w:rPr>
                <w:spacing w:val="9"/>
              </w:rPr>
              <w:t>措施。</w:t>
            </w:r>
          </w:p>
        </w:tc>
      </w:tr>
      <w:tr>
        <w:trPr>
          <w:trHeight w:val="1443" w:hRule="atLeast"/>
        </w:trPr>
        <w:tc>
          <w:tcPr>
            <w:shd w:val="clear" w:fill="B8CCE4"/>
            <w:tcW w:w="1099" w:type="dxa"/>
            <w:vAlign w:val="top"/>
          </w:tcPr>
          <w:p>
            <w:pPr>
              <w:spacing w:line="283" w:lineRule="auto"/>
              <w:rPr>
                <w:rFonts w:ascii="Arial"/>
                <w:sz w:val="21"/>
              </w:rPr>
            </w:pPr>
            <w:r/>
          </w:p>
          <w:p>
            <w:pPr>
              <w:spacing w:line="283" w:lineRule="auto"/>
              <w:rPr>
                <w:rFonts w:ascii="Arial"/>
                <w:sz w:val="21"/>
              </w:rPr>
            </w:pPr>
            <w:r/>
          </w:p>
          <w:p>
            <w:pPr>
              <w:pStyle w:val="TableText"/>
              <w:ind w:left="186"/>
              <w:spacing w:before="85" w:line="178" w:lineRule="auto"/>
              <w:rPr/>
            </w:pPr>
            <w:r>
              <w:rPr>
                <w:spacing w:val="3"/>
              </w:rPr>
              <w:t>300097</w:t>
            </w:r>
          </w:p>
        </w:tc>
        <w:tc>
          <w:tcPr>
            <w:shd w:val="clear" w:fill="B8CCE4"/>
            <w:tcW w:w="1144" w:type="dxa"/>
            <w:vAlign w:val="top"/>
          </w:tcPr>
          <w:p>
            <w:pPr>
              <w:spacing w:line="275" w:lineRule="auto"/>
              <w:rPr>
                <w:rFonts w:ascii="Arial"/>
                <w:sz w:val="21"/>
              </w:rPr>
            </w:pPr>
            <w:r/>
          </w:p>
          <w:p>
            <w:pPr>
              <w:spacing w:line="276" w:lineRule="auto"/>
              <w:rPr>
                <w:rFonts w:ascii="Arial"/>
                <w:sz w:val="21"/>
              </w:rPr>
            </w:pPr>
            <w:r/>
          </w:p>
          <w:p>
            <w:pPr>
              <w:pStyle w:val="TableText"/>
              <w:ind w:left="142"/>
              <w:spacing w:before="86" w:line="189" w:lineRule="auto"/>
              <w:rPr/>
            </w:pPr>
            <w:r>
              <w:rPr>
                <w:spacing w:val="8"/>
              </w:rPr>
              <w:t>智云股份</w:t>
            </w:r>
          </w:p>
        </w:tc>
        <w:tc>
          <w:tcPr>
            <w:shd w:val="clear" w:fill="B8CCE4"/>
            <w:tcW w:w="6551" w:type="dxa"/>
            <w:vAlign w:val="top"/>
          </w:tcPr>
          <w:p>
            <w:pPr>
              <w:pStyle w:val="TableText"/>
              <w:ind w:left="98" w:right="104" w:firstLine="9"/>
              <w:spacing w:before="100" w:line="233" w:lineRule="auto"/>
              <w:jc w:val="both"/>
              <w:rPr/>
            </w:pPr>
            <w:r>
              <w:rPr>
                <w:spacing w:val="1"/>
              </w:rPr>
              <w:t>2020</w:t>
            </w:r>
            <w:r>
              <w:rPr>
                <w:spacing w:val="-21"/>
              </w:rPr>
              <w:t xml:space="preserve"> </w:t>
            </w:r>
            <w:r>
              <w:rPr>
                <w:spacing w:val="1"/>
              </w:rPr>
              <w:t>年</w:t>
            </w:r>
            <w:r>
              <w:rPr>
                <w:spacing w:val="-19"/>
              </w:rPr>
              <w:t xml:space="preserve"> </w:t>
            </w:r>
            <w:r>
              <w:rPr>
                <w:spacing w:val="1"/>
              </w:rPr>
              <w:t>6</w:t>
            </w:r>
            <w:r>
              <w:rPr>
                <w:spacing w:val="-25"/>
              </w:rPr>
              <w:t xml:space="preserve"> </w:t>
            </w:r>
            <w:r>
              <w:rPr>
                <w:spacing w:val="1"/>
              </w:rPr>
              <w:t>月 ，</w:t>
            </w:r>
            <w:r>
              <w:rPr>
                <w:spacing w:val="-22"/>
              </w:rPr>
              <w:t xml:space="preserve"> </w:t>
            </w:r>
            <w:r>
              <w:rPr>
                <w:spacing w:val="1"/>
              </w:rPr>
              <w:t>公</w:t>
            </w:r>
            <w:r>
              <w:rPr>
                <w:spacing w:val="-25"/>
              </w:rPr>
              <w:t xml:space="preserve"> </w:t>
            </w:r>
            <w:r>
              <w:rPr>
                <w:spacing w:val="1"/>
              </w:rPr>
              <w:t>司</w:t>
            </w:r>
            <w:r>
              <w:rPr>
                <w:spacing w:val="-25"/>
              </w:rPr>
              <w:t xml:space="preserve"> </w:t>
            </w:r>
            <w:r>
              <w:rPr>
                <w:spacing w:val="1"/>
              </w:rPr>
              <w:t>收</w:t>
            </w:r>
            <w:r>
              <w:rPr>
                <w:spacing w:val="-29"/>
              </w:rPr>
              <w:t xml:space="preserve"> </w:t>
            </w:r>
            <w:r>
              <w:rPr>
                <w:spacing w:val="1"/>
              </w:rPr>
              <w:t>购</w:t>
            </w:r>
            <w:r>
              <w:rPr>
                <w:spacing w:val="-19"/>
              </w:rPr>
              <w:t xml:space="preserve"> </w:t>
            </w:r>
            <w:r>
              <w:rPr>
                <w:spacing w:val="1"/>
              </w:rPr>
              <w:t>了</w:t>
            </w:r>
            <w:r>
              <w:rPr>
                <w:spacing w:val="-28"/>
              </w:rPr>
              <w:t xml:space="preserve"> </w:t>
            </w:r>
            <w:r>
              <w:rPr>
                <w:spacing w:val="1"/>
              </w:rPr>
              <w:t>深</w:t>
            </w:r>
            <w:r>
              <w:rPr>
                <w:spacing w:val="-27"/>
              </w:rPr>
              <w:t xml:space="preserve"> </w:t>
            </w:r>
            <w:r>
              <w:rPr>
                <w:spacing w:val="1"/>
              </w:rPr>
              <w:t>圳</w:t>
            </w:r>
            <w:r>
              <w:rPr>
                <w:spacing w:val="-24"/>
              </w:rPr>
              <w:t xml:space="preserve"> </w:t>
            </w:r>
            <w:r>
              <w:rPr>
                <w:spacing w:val="1"/>
              </w:rPr>
              <w:t>市</w:t>
            </w:r>
            <w:r>
              <w:rPr>
                <w:spacing w:val="-30"/>
              </w:rPr>
              <w:t xml:space="preserve"> </w:t>
            </w:r>
            <w:r>
              <w:rPr>
                <w:spacing w:val="1"/>
              </w:rPr>
              <w:t>九</w:t>
            </w:r>
            <w:r>
              <w:rPr>
                <w:spacing w:val="-28"/>
              </w:rPr>
              <w:t xml:space="preserve"> </w:t>
            </w:r>
            <w:r>
              <w:rPr>
                <w:spacing w:val="1"/>
              </w:rPr>
              <w:t>天</w:t>
            </w:r>
            <w:r>
              <w:rPr>
                <w:spacing w:val="-13"/>
              </w:rPr>
              <w:t xml:space="preserve"> </w:t>
            </w:r>
            <w:r>
              <w:rPr>
                <w:spacing w:val="1"/>
              </w:rPr>
              <w:t>中</w:t>
            </w:r>
            <w:r>
              <w:rPr>
                <w:spacing w:val="-28"/>
              </w:rPr>
              <w:t xml:space="preserve"> </w:t>
            </w:r>
            <w:r>
              <w:rPr>
                <w:spacing w:val="1"/>
              </w:rPr>
              <w:t>创 自</w:t>
            </w:r>
            <w:r>
              <w:rPr>
                <w:spacing w:val="-27"/>
              </w:rPr>
              <w:t xml:space="preserve"> </w:t>
            </w:r>
            <w:r>
              <w:rPr>
                <w:spacing w:val="1"/>
              </w:rPr>
              <w:t>动</w:t>
            </w:r>
            <w:r>
              <w:rPr>
                <w:spacing w:val="-27"/>
              </w:rPr>
              <w:t xml:space="preserve"> </w:t>
            </w:r>
            <w:r>
              <w:rPr>
                <w:spacing w:val="1"/>
              </w:rPr>
              <w:t>化</w:t>
            </w:r>
            <w:r>
              <w:rPr>
                <w:spacing w:val="-29"/>
              </w:rPr>
              <w:t xml:space="preserve"> </w:t>
            </w:r>
            <w:r>
              <w:rPr>
                <w:spacing w:val="1"/>
              </w:rPr>
              <w:t>设</w:t>
            </w:r>
            <w:r>
              <w:rPr>
                <w:spacing w:val="-30"/>
              </w:rPr>
              <w:t xml:space="preserve"> </w:t>
            </w:r>
            <w:r>
              <w:rPr>
                <w:spacing w:val="1"/>
              </w:rPr>
              <w:t>备</w:t>
            </w:r>
            <w:r>
              <w:rPr>
                <w:spacing w:val="-28"/>
              </w:rPr>
              <w:t xml:space="preserve"> </w:t>
            </w:r>
            <w:r>
              <w:rPr>
                <w:spacing w:val="1"/>
              </w:rPr>
              <w:t>有</w:t>
            </w:r>
            <w:r>
              <w:rPr>
                <w:spacing w:val="-18"/>
              </w:rPr>
              <w:t xml:space="preserve"> </w:t>
            </w:r>
            <w:r>
              <w:rPr>
                <w:spacing w:val="1"/>
              </w:rPr>
              <w:t>限</w:t>
            </w:r>
            <w:r>
              <w:rPr>
                <w:spacing w:val="-28"/>
              </w:rPr>
              <w:t xml:space="preserve"> </w:t>
            </w:r>
            <w:r>
              <w:rPr>
                <w:spacing w:val="1"/>
              </w:rPr>
              <w:t>公</w:t>
            </w:r>
            <w:r>
              <w:rPr>
                <w:spacing w:val="-24"/>
              </w:rPr>
              <w:t xml:space="preserve"> </w:t>
            </w:r>
            <w:r>
              <w:rPr>
                <w:spacing w:val="1"/>
              </w:rPr>
              <w:t>司</w:t>
            </w:r>
            <w:r>
              <w:rPr/>
              <w:t xml:space="preserve"> </w:t>
            </w:r>
            <w:r>
              <w:rPr>
                <w:spacing w:val="8"/>
              </w:rPr>
              <w:t>81.3181%的股权</w:t>
            </w:r>
            <w:r>
              <w:rPr>
                <w:spacing w:val="-25"/>
              </w:rPr>
              <w:t xml:space="preserve"> </w:t>
            </w:r>
            <w:r>
              <w:rPr>
                <w:spacing w:val="8"/>
              </w:rPr>
              <w:t>，九天中创成为公司的控股子公司。</w:t>
            </w:r>
            <w:r>
              <w:rPr>
                <w:spacing w:val="-34"/>
              </w:rPr>
              <w:t xml:space="preserve"> </w:t>
            </w:r>
            <w:r>
              <w:rPr>
                <w:spacing w:val="8"/>
              </w:rPr>
              <w:t>2</w:t>
            </w:r>
            <w:r>
              <w:rPr>
                <w:spacing w:val="7"/>
              </w:rPr>
              <w:t>022年九天中</w:t>
            </w:r>
            <w:r>
              <w:rPr/>
              <w:t xml:space="preserve"> </w:t>
            </w:r>
            <w:r>
              <w:rPr>
                <w:spacing w:val="14"/>
              </w:rPr>
              <w:t>创虚增营业收入及营业利润</w:t>
            </w:r>
            <w:r>
              <w:rPr>
                <w:spacing w:val="-21"/>
              </w:rPr>
              <w:t xml:space="preserve"> </w:t>
            </w:r>
            <w:r>
              <w:rPr>
                <w:spacing w:val="14"/>
              </w:rPr>
              <w:t>，导致公司2022</w:t>
            </w:r>
            <w:r>
              <w:rPr>
                <w:spacing w:val="13"/>
              </w:rPr>
              <w:t>年定期报告</w:t>
            </w:r>
            <w:r>
              <w:rPr>
                <w:b/>
                <w:bCs/>
                <w:spacing w:val="13"/>
              </w:rPr>
              <w:t>财务信息披</w:t>
            </w:r>
            <w:r>
              <w:rPr>
                <w:b/>
                <w:bCs/>
              </w:rPr>
              <w:t xml:space="preserve"> </w:t>
            </w:r>
            <w:r>
              <w:rPr>
                <w:b/>
                <w:bCs/>
                <w:spacing w:val="6"/>
              </w:rPr>
              <w:t>露不准确</w:t>
            </w:r>
            <w:r>
              <w:rPr>
                <w:spacing w:val="6"/>
              </w:rPr>
              <w:t>。</w:t>
            </w:r>
          </w:p>
        </w:tc>
      </w:tr>
      <w:tr>
        <w:trPr>
          <w:trHeight w:val="725" w:hRule="atLeast"/>
        </w:trPr>
        <w:tc>
          <w:tcPr>
            <w:tcW w:w="8794" w:type="dxa"/>
            <w:vAlign w:val="top"/>
            <w:gridSpan w:val="3"/>
          </w:tcPr>
          <w:p>
            <w:pPr>
              <w:pStyle w:val="TableText"/>
              <w:ind w:left="104" w:right="279" w:firstLine="17"/>
              <w:spacing w:before="63" w:line="228" w:lineRule="auto"/>
              <w:rPr/>
            </w:pPr>
            <w:r>
              <w:rPr>
                <w:b/>
                <w:bCs/>
                <w:spacing w:val="9"/>
              </w:rPr>
              <w:t>【行政监管措施】</w:t>
            </w:r>
            <w:r>
              <w:rPr>
                <w:spacing w:val="9"/>
              </w:rPr>
              <w:t>中国证券监督管理委员会大连监管局决定对大连智云自动化装备股份有限</w:t>
            </w:r>
            <w:r>
              <w:rPr>
                <w:spacing w:val="16"/>
                <w:w w:val="101"/>
              </w:rPr>
              <w:t xml:space="preserve"> </w:t>
            </w:r>
            <w:r>
              <w:rPr>
                <w:spacing w:val="8"/>
              </w:rPr>
              <w:t>公司采取责令改正的行政监管措施</w:t>
            </w:r>
            <w:r>
              <w:rPr>
                <w:spacing w:val="-14"/>
              </w:rPr>
              <w:t xml:space="preserve"> </w:t>
            </w:r>
            <w:r>
              <w:rPr>
                <w:spacing w:val="8"/>
              </w:rPr>
              <w:t>，并记入证券期货市场诚信档案。</w:t>
            </w:r>
          </w:p>
        </w:tc>
      </w:tr>
      <w:tr>
        <w:trPr>
          <w:trHeight w:val="724" w:hRule="atLeast"/>
        </w:trPr>
        <w:tc>
          <w:tcPr>
            <w:shd w:val="clear" w:fill="B8CCE4"/>
            <w:tcW w:w="1099" w:type="dxa"/>
            <w:vAlign w:val="top"/>
          </w:tcPr>
          <w:p>
            <w:pPr>
              <w:pStyle w:val="TableText"/>
              <w:ind w:left="183"/>
              <w:spacing w:before="298" w:line="178" w:lineRule="auto"/>
              <w:rPr/>
            </w:pPr>
            <w:r>
              <w:rPr>
                <w:spacing w:val="3"/>
              </w:rPr>
              <w:t>603729</w:t>
            </w:r>
          </w:p>
        </w:tc>
        <w:tc>
          <w:tcPr>
            <w:shd w:val="clear" w:fill="B8CCE4"/>
            <w:tcW w:w="1144" w:type="dxa"/>
            <w:vAlign w:val="top"/>
          </w:tcPr>
          <w:p>
            <w:pPr>
              <w:pStyle w:val="TableText"/>
              <w:ind w:left="141"/>
              <w:spacing w:before="283" w:line="189" w:lineRule="auto"/>
              <w:rPr/>
            </w:pPr>
            <w:r>
              <w:rPr>
                <w:spacing w:val="9"/>
              </w:rPr>
              <w:t>龙韵股份</w:t>
            </w:r>
          </w:p>
        </w:tc>
        <w:tc>
          <w:tcPr>
            <w:shd w:val="clear" w:fill="B8CCE4"/>
            <w:tcW w:w="6551" w:type="dxa"/>
            <w:vAlign w:val="top"/>
          </w:tcPr>
          <w:p>
            <w:pPr>
              <w:pStyle w:val="TableText"/>
              <w:ind w:left="98" w:right="104"/>
              <w:spacing w:before="104" w:line="213" w:lineRule="auto"/>
              <w:rPr/>
            </w:pPr>
            <w:r>
              <w:rPr>
                <w:spacing w:val="14"/>
              </w:rPr>
              <w:t>股东与一致行动人在3个月内通过集中竞价合计减持股份</w:t>
            </w:r>
            <w:r>
              <w:rPr>
                <w:spacing w:val="13"/>
              </w:rPr>
              <w:t>超过公司股</w:t>
            </w:r>
            <w:r>
              <w:rPr/>
              <w:t xml:space="preserve"> </w:t>
            </w:r>
            <w:r>
              <w:rPr>
                <w:spacing w:val="7"/>
              </w:rPr>
              <w:t>份总数的</w:t>
            </w:r>
            <w:r>
              <w:rPr>
                <w:b/>
                <w:bCs/>
                <w:spacing w:val="7"/>
              </w:rPr>
              <w:t>1%。</w:t>
            </w:r>
          </w:p>
        </w:tc>
      </w:tr>
      <w:tr>
        <w:trPr>
          <w:trHeight w:val="724" w:hRule="atLeast"/>
        </w:trPr>
        <w:tc>
          <w:tcPr>
            <w:tcW w:w="8794" w:type="dxa"/>
            <w:vAlign w:val="top"/>
            <w:gridSpan w:val="3"/>
          </w:tcPr>
          <w:p>
            <w:pPr>
              <w:pStyle w:val="TableText"/>
              <w:ind w:left="121"/>
              <w:spacing w:before="64" w:line="237" w:lineRule="auto"/>
              <w:rPr/>
            </w:pPr>
            <w:r>
              <w:rPr>
                <w:b/>
                <w:bCs/>
                <w:spacing w:val="9"/>
              </w:rPr>
              <w:t>【行政监管措施】</w:t>
            </w:r>
            <w:r>
              <w:rPr>
                <w:spacing w:val="9"/>
              </w:rPr>
              <w:t>中国证券监督管理委员会上海监管局决定对股东采取责令改正的监管措施</w:t>
            </w:r>
          </w:p>
          <w:p>
            <w:pPr>
              <w:pStyle w:val="TableText"/>
              <w:ind w:left="115"/>
              <w:spacing w:before="213" w:line="97" w:lineRule="exact"/>
              <w:rPr/>
            </w:pPr>
            <w:r>
              <w:rPr>
                <w:position w:val="3"/>
              </w:rPr>
              <w:t>。</w:t>
            </w:r>
          </w:p>
        </w:tc>
      </w:tr>
      <w:tr>
        <w:trPr>
          <w:trHeight w:val="373" w:hRule="atLeast"/>
        </w:trPr>
        <w:tc>
          <w:tcPr>
            <w:shd w:val="clear" w:fill="B8CCE4"/>
            <w:tcW w:w="1099" w:type="dxa"/>
            <w:vAlign w:val="top"/>
          </w:tcPr>
          <w:p>
            <w:pPr>
              <w:pStyle w:val="TableText"/>
              <w:ind w:left="180"/>
              <w:spacing w:before="122" w:line="168" w:lineRule="auto"/>
              <w:rPr/>
            </w:pPr>
            <w:r>
              <w:rPr>
                <w:spacing w:val="3"/>
              </w:rPr>
              <w:t>000676</w:t>
            </w:r>
          </w:p>
        </w:tc>
        <w:tc>
          <w:tcPr>
            <w:shd w:val="clear" w:fill="B8CCE4"/>
            <w:tcW w:w="1144" w:type="dxa"/>
            <w:vAlign w:val="top"/>
          </w:tcPr>
          <w:p>
            <w:pPr>
              <w:pStyle w:val="TableText"/>
              <w:ind w:left="142"/>
              <w:spacing w:before="107" w:line="179" w:lineRule="auto"/>
              <w:rPr/>
            </w:pPr>
            <w:r>
              <w:rPr>
                <w:spacing w:val="8"/>
              </w:rPr>
              <w:t>智度股份</w:t>
            </w:r>
          </w:p>
        </w:tc>
        <w:tc>
          <w:tcPr>
            <w:shd w:val="clear" w:fill="B8CCE4"/>
            <w:tcW w:w="6551" w:type="dxa"/>
            <w:vAlign w:val="top"/>
          </w:tcPr>
          <w:p>
            <w:pPr>
              <w:pStyle w:val="TableText"/>
              <w:ind w:left="111"/>
              <w:spacing w:before="108" w:line="178" w:lineRule="auto"/>
              <w:rPr/>
            </w:pPr>
            <w:r>
              <w:rPr>
                <w:spacing w:val="8"/>
              </w:rPr>
              <w:t>回购金额显著低于回购报告书约定的</w:t>
            </w:r>
            <w:r>
              <w:rPr>
                <w:b/>
                <w:bCs/>
                <w:spacing w:val="8"/>
              </w:rPr>
              <w:t>回购总额下限</w:t>
            </w:r>
            <w:r>
              <w:rPr>
                <w:spacing w:val="8"/>
              </w:rPr>
              <w:t>。</w:t>
            </w:r>
          </w:p>
        </w:tc>
      </w:tr>
    </w:tbl>
    <w:p>
      <w:pPr>
        <w:pStyle w:val="BodyText"/>
        <w:spacing w:line="14" w:lineRule="auto"/>
        <w:rPr>
          <w:sz w:val="2"/>
        </w:rPr>
      </w:pPr>
      <w:r/>
    </w:p>
    <w:p>
      <w:pPr>
        <w:spacing w:line="14" w:lineRule="auto"/>
        <w:sectPr>
          <w:pgSz w:w="11910" w:h="16840"/>
          <w:pgMar w:top="400" w:right="1559" w:bottom="272" w:left="1541" w:header="0" w:footer="0" w:gutter="0"/>
        </w:sectPr>
        <w:rPr>
          <w:sz w:val="2"/>
          <w:szCs w:val="2"/>
        </w:rPr>
      </w:pPr>
    </w:p>
    <w:tbl>
      <w:tblPr>
        <w:tblStyle w:val="TableNormal"/>
        <w:tblW w:w="8794" w:type="dxa"/>
        <w:tblInd w:w="1070"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99"/>
        <w:gridCol w:w="1144"/>
        <w:gridCol w:w="6551"/>
      </w:tblGrid>
      <w:tr>
        <w:trPr>
          <w:trHeight w:val="742" w:hRule="atLeast"/>
        </w:trPr>
        <w:tc>
          <w:tcPr>
            <w:tcW w:w="8794" w:type="dxa"/>
            <w:vAlign w:val="top"/>
            <w:gridSpan w:val="3"/>
            <w:tcBorders>
              <w:top w:val="single" w:color="4F81BD" w:sz="2" w:space="0"/>
            </w:tcBorders>
          </w:tcPr>
          <w:p>
            <w:pPr>
              <w:pStyle w:val="TableText"/>
              <w:ind w:left="104" w:right="104" w:firstLine="17"/>
              <w:spacing w:before="59" w:line="235" w:lineRule="auto"/>
              <w:rPr/>
            </w:pPr>
            <w:r>
              <w:rPr>
                <w:b/>
                <w:bCs/>
                <w:spacing w:val="14"/>
              </w:rPr>
              <w:t>【行政监管措施】</w:t>
            </w:r>
            <w:r>
              <w:rPr>
                <w:spacing w:val="14"/>
              </w:rPr>
              <w:t>中国证券监督管理委员会广东监管局对智度科技股份</w:t>
            </w:r>
            <w:r>
              <w:rPr>
                <w:spacing w:val="13"/>
              </w:rPr>
              <w:t>有限公司采取责令改</w:t>
            </w:r>
            <w:r>
              <w:rPr/>
              <w:t xml:space="preserve"> </w:t>
            </w:r>
            <w:r>
              <w:rPr>
                <w:spacing w:val="8"/>
              </w:rPr>
              <w:t>正的行政监管措施。</w:t>
            </w:r>
          </w:p>
        </w:tc>
      </w:tr>
      <w:tr>
        <w:trPr>
          <w:trHeight w:val="1083" w:hRule="atLeast"/>
        </w:trPr>
        <w:tc>
          <w:tcPr>
            <w:shd w:val="clear" w:fill="B8CCE4"/>
            <w:tcW w:w="1099" w:type="dxa"/>
            <w:vAlign w:val="top"/>
          </w:tcPr>
          <w:p>
            <w:pPr>
              <w:spacing w:line="367" w:lineRule="auto"/>
              <w:rPr>
                <w:rFonts w:ascii="Arial"/>
                <w:sz w:val="21"/>
              </w:rPr>
            </w:pPr>
            <w:r/>
          </w:p>
          <w:p>
            <w:pPr>
              <w:pStyle w:val="TableText"/>
              <w:ind w:left="183"/>
              <w:spacing w:before="86" w:line="179" w:lineRule="auto"/>
              <w:rPr/>
            </w:pPr>
            <w:r>
              <w:rPr>
                <w:spacing w:val="3"/>
              </w:rPr>
              <w:t>601688</w:t>
            </w:r>
          </w:p>
        </w:tc>
        <w:tc>
          <w:tcPr>
            <w:shd w:val="clear" w:fill="B8CCE4"/>
            <w:tcW w:w="1144" w:type="dxa"/>
            <w:vAlign w:val="top"/>
          </w:tcPr>
          <w:p>
            <w:pPr>
              <w:spacing w:line="354" w:lineRule="auto"/>
              <w:rPr>
                <w:rFonts w:ascii="Arial"/>
                <w:sz w:val="21"/>
              </w:rPr>
            </w:pPr>
            <w:r/>
          </w:p>
          <w:p>
            <w:pPr>
              <w:pStyle w:val="TableText"/>
              <w:ind w:left="144"/>
              <w:spacing w:before="86" w:line="189" w:lineRule="auto"/>
              <w:rPr/>
            </w:pPr>
            <w:r>
              <w:rPr>
                <w:spacing w:val="8"/>
              </w:rPr>
              <w:t>华泰证券</w:t>
            </w:r>
          </w:p>
        </w:tc>
        <w:tc>
          <w:tcPr>
            <w:shd w:val="clear" w:fill="B8CCE4"/>
            <w:tcW w:w="6551" w:type="dxa"/>
            <w:vAlign w:val="top"/>
          </w:tcPr>
          <w:p>
            <w:pPr>
              <w:pStyle w:val="TableText"/>
              <w:ind w:left="96" w:right="104" w:firstLine="3"/>
              <w:spacing w:before="83" w:line="221" w:lineRule="auto"/>
              <w:rPr/>
            </w:pPr>
            <w:r>
              <w:rPr>
                <w:spacing w:val="11"/>
              </w:rPr>
              <w:t>部分自营业务合规风控把关不到位；对部分客户适当性管理及督促义</w:t>
            </w:r>
            <w:r>
              <w:rPr/>
              <w:t xml:space="preserve"> </w:t>
            </w:r>
            <w:r>
              <w:rPr>
                <w:spacing w:val="11"/>
              </w:rPr>
              <w:t>务履行不到位；从业人员资质管理不到位；跟投业务内部控制不完善</w:t>
            </w:r>
          </w:p>
          <w:p>
            <w:pPr>
              <w:pStyle w:val="TableText"/>
              <w:ind w:left="109"/>
              <w:spacing w:before="238" w:line="119" w:lineRule="exact"/>
              <w:rPr/>
            </w:pPr>
            <w:r>
              <w:rPr>
                <w:position w:val="3"/>
              </w:rPr>
              <w:t>。</w:t>
            </w:r>
          </w:p>
        </w:tc>
      </w:tr>
      <w:tr>
        <w:trPr>
          <w:trHeight w:val="724" w:hRule="atLeast"/>
        </w:trPr>
        <w:tc>
          <w:tcPr>
            <w:tcW w:w="8794" w:type="dxa"/>
            <w:vAlign w:val="top"/>
            <w:gridSpan w:val="3"/>
          </w:tcPr>
          <w:p>
            <w:pPr>
              <w:pStyle w:val="TableText"/>
              <w:ind w:left="104" w:right="279" w:firstLine="17"/>
              <w:spacing w:before="44" w:line="234" w:lineRule="auto"/>
              <w:rPr/>
            </w:pPr>
            <w:r>
              <w:rPr>
                <w:b/>
                <w:bCs/>
                <w:spacing w:val="9"/>
              </w:rPr>
              <w:t>【行政监管措施】</w:t>
            </w:r>
            <w:r>
              <w:rPr>
                <w:spacing w:val="9"/>
              </w:rPr>
              <w:t>中国证券监督管理委员会江苏监管局决定对华泰证券股份有限公司采取责</w:t>
            </w:r>
            <w:r>
              <w:rPr>
                <w:spacing w:val="16"/>
                <w:w w:val="101"/>
              </w:rPr>
              <w:t xml:space="preserve"> </w:t>
            </w:r>
            <w:r>
              <w:rPr>
                <w:spacing w:val="8"/>
              </w:rPr>
              <w:t>令改正的监管措施。</w:t>
            </w:r>
          </w:p>
        </w:tc>
      </w:tr>
      <w:tr>
        <w:trPr>
          <w:trHeight w:val="1801" w:hRule="atLeast"/>
        </w:trPr>
        <w:tc>
          <w:tcPr>
            <w:shd w:val="clear" w:fill="B8CCE4"/>
            <w:tcW w:w="1099"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86"/>
              <w:spacing w:before="86" w:line="178" w:lineRule="auto"/>
              <w:rPr/>
            </w:pPr>
            <w:r>
              <w:rPr>
                <w:spacing w:val="3"/>
              </w:rPr>
              <w:t>300495</w:t>
            </w:r>
          </w:p>
        </w:tc>
        <w:tc>
          <w:tcPr>
            <w:shd w:val="clear" w:fill="B8CCE4"/>
            <w:tcW w:w="1144" w:type="dxa"/>
            <w:vAlign w:val="top"/>
          </w:tcPr>
          <w:p>
            <w:pPr>
              <w:spacing w:line="358" w:lineRule="auto"/>
              <w:rPr>
                <w:rFonts w:ascii="Arial"/>
                <w:sz w:val="21"/>
              </w:rPr>
            </w:pPr>
            <w:r/>
          </w:p>
          <w:p>
            <w:pPr>
              <w:spacing w:line="359" w:lineRule="auto"/>
              <w:rPr>
                <w:rFonts w:ascii="Arial"/>
                <w:sz w:val="21"/>
              </w:rPr>
            </w:pPr>
            <w:r/>
          </w:p>
          <w:p>
            <w:pPr>
              <w:pStyle w:val="TableText"/>
              <w:ind w:left="189"/>
              <w:spacing w:before="85" w:line="190" w:lineRule="auto"/>
              <w:rPr/>
            </w:pPr>
            <w:r>
              <w:rPr>
                <w:spacing w:val="8"/>
              </w:rPr>
              <w:t>*</w:t>
            </w:r>
            <w:r>
              <w:rPr/>
              <w:t>ST</w:t>
            </w:r>
            <w:r>
              <w:rPr>
                <w:spacing w:val="8"/>
              </w:rPr>
              <w:t>美尚</w:t>
            </w:r>
          </w:p>
        </w:tc>
        <w:tc>
          <w:tcPr>
            <w:shd w:val="clear" w:fill="B8CCE4"/>
            <w:tcW w:w="6551" w:type="dxa"/>
            <w:vAlign w:val="top"/>
          </w:tcPr>
          <w:p>
            <w:pPr>
              <w:pStyle w:val="TableText"/>
              <w:ind w:left="97" w:right="104" w:firstLine="2"/>
              <w:spacing w:before="89" w:line="238" w:lineRule="auto"/>
              <w:rPr/>
            </w:pPr>
            <w:r>
              <w:rPr>
                <w:spacing w:val="15"/>
              </w:rPr>
              <w:t>财务报表</w:t>
            </w:r>
            <w:r>
              <w:rPr>
                <w:b/>
                <w:bCs/>
                <w:spacing w:val="15"/>
              </w:rPr>
              <w:t>合并范围</w:t>
            </w:r>
            <w:r>
              <w:rPr>
                <w:spacing w:val="15"/>
              </w:rPr>
              <w:t>不完整；</w:t>
            </w:r>
            <w:r>
              <w:rPr>
                <w:spacing w:val="-18"/>
              </w:rPr>
              <w:t xml:space="preserve"> </w:t>
            </w:r>
            <w:r>
              <w:rPr>
                <w:spacing w:val="15"/>
              </w:rPr>
              <w:t>未按规定评估</w:t>
            </w:r>
            <w:r>
              <w:rPr>
                <w:b/>
                <w:bCs/>
                <w:spacing w:val="15"/>
              </w:rPr>
              <w:t>会计差错更正</w:t>
            </w:r>
            <w:r>
              <w:rPr>
                <w:spacing w:val="15"/>
              </w:rPr>
              <w:t>事项影响； </w:t>
            </w:r>
            <w:r>
              <w:rPr>
                <w:spacing w:val="14"/>
              </w:rPr>
              <w:t>2022年半年报</w:t>
            </w:r>
            <w:r>
              <w:rPr>
                <w:b/>
                <w:bCs/>
                <w:spacing w:val="14"/>
              </w:rPr>
              <w:t>投资收益</w:t>
            </w:r>
            <w:r>
              <w:rPr>
                <w:spacing w:val="14"/>
              </w:rPr>
              <w:t>核算不准确；</w:t>
            </w:r>
            <w:r>
              <w:rPr>
                <w:spacing w:val="-21"/>
              </w:rPr>
              <w:t xml:space="preserve"> </w:t>
            </w:r>
            <w:r>
              <w:rPr>
                <w:spacing w:val="14"/>
              </w:rPr>
              <w:t>固定资产等</w:t>
            </w:r>
            <w:r>
              <w:rPr>
                <w:b/>
                <w:bCs/>
                <w:spacing w:val="13"/>
              </w:rPr>
              <w:t>长期资产减值计提</w:t>
            </w:r>
            <w:r>
              <w:rPr>
                <w:b/>
                <w:bCs/>
              </w:rPr>
              <w:t xml:space="preserve"> </w:t>
            </w:r>
            <w:r>
              <w:rPr>
                <w:spacing w:val="11"/>
              </w:rPr>
              <w:t>不谨慎；</w:t>
            </w:r>
            <w:r>
              <w:rPr>
                <w:b/>
                <w:bCs/>
                <w:spacing w:val="11"/>
              </w:rPr>
              <w:t>债务重组损失</w:t>
            </w:r>
            <w:r>
              <w:rPr>
                <w:spacing w:val="11"/>
              </w:rPr>
              <w:t>计提不及时；</w:t>
            </w:r>
            <w:r>
              <w:rPr>
                <w:b/>
                <w:bCs/>
                <w:spacing w:val="11"/>
              </w:rPr>
              <w:t>会计基础</w:t>
            </w:r>
            <w:r>
              <w:rPr>
                <w:spacing w:val="11"/>
              </w:rPr>
              <w:t>工作薄弱；未及时披露</w:t>
            </w:r>
            <w:r>
              <w:rPr>
                <w:spacing w:val="3"/>
              </w:rPr>
              <w:t xml:space="preserve"> </w:t>
            </w:r>
            <w:r>
              <w:rPr>
                <w:b/>
                <w:bCs/>
                <w:spacing w:val="11"/>
              </w:rPr>
              <w:t>重大诉讼</w:t>
            </w:r>
            <w:r>
              <w:rPr>
                <w:spacing w:val="11"/>
              </w:rPr>
              <w:t>事项；未及时披露</w:t>
            </w:r>
            <w:r>
              <w:rPr>
                <w:b/>
                <w:bCs/>
                <w:spacing w:val="11"/>
              </w:rPr>
              <w:t>控股股东行政处罚</w:t>
            </w:r>
            <w:r>
              <w:rPr>
                <w:spacing w:val="11"/>
              </w:rPr>
              <w:t>信息；未按规定披露相</w:t>
            </w:r>
            <w:r>
              <w:rPr>
                <w:spacing w:val="3"/>
              </w:rPr>
              <w:t xml:space="preserve"> </w:t>
            </w:r>
            <w:r>
              <w:rPr>
                <w:spacing w:val="7"/>
              </w:rPr>
              <w:t>关</w:t>
            </w:r>
            <w:r>
              <w:rPr>
                <w:b/>
                <w:bCs/>
                <w:spacing w:val="7"/>
              </w:rPr>
              <w:t>关联交易。</w:t>
            </w:r>
          </w:p>
        </w:tc>
      </w:tr>
      <w:tr>
        <w:trPr>
          <w:trHeight w:val="732" w:hRule="atLeast"/>
        </w:trPr>
        <w:tc>
          <w:tcPr>
            <w:tcW w:w="8794" w:type="dxa"/>
            <w:vAlign w:val="top"/>
            <w:gridSpan w:val="3"/>
          </w:tcPr>
          <w:p>
            <w:pPr>
              <w:pStyle w:val="TableText"/>
              <w:ind w:left="104" w:right="279" w:firstLine="17"/>
              <w:spacing w:before="49" w:line="235" w:lineRule="auto"/>
              <w:rPr/>
            </w:pPr>
            <w:r>
              <w:rPr>
                <w:b/>
                <w:bCs/>
                <w:spacing w:val="9"/>
              </w:rPr>
              <w:t>【行政监管措施】</w:t>
            </w:r>
            <w:r>
              <w:rPr>
                <w:spacing w:val="9"/>
              </w:rPr>
              <w:t>中国证券监督管理委员会深圳监管局决定对美尚生态景观股份有限公司采</w:t>
            </w:r>
            <w:r>
              <w:rPr>
                <w:spacing w:val="16"/>
                <w:w w:val="101"/>
              </w:rPr>
              <w:t xml:space="preserve"> </w:t>
            </w:r>
            <w:r>
              <w:rPr>
                <w:spacing w:val="8"/>
              </w:rPr>
              <w:t>取责令改正的监管措施。</w:t>
            </w:r>
          </w:p>
        </w:tc>
      </w:tr>
    </w:tbl>
    <w:p>
      <w:pPr>
        <w:pStyle w:val="BodyText"/>
        <w:spacing w:line="344" w:lineRule="auto"/>
        <w:rPr/>
      </w:pPr>
      <w:r/>
    </w:p>
    <w:p>
      <w:pPr>
        <w:pStyle w:val="BodyText"/>
        <w:spacing w:line="345"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9"/>
        </w:rPr>
        <w:t>（  3</w:t>
      </w:r>
      <w:r>
        <w:rPr>
          <w:rFonts w:ascii="Microsoft YaHei" w:hAnsi="Microsoft YaHei" w:eastAsia="Microsoft YaHei" w:cs="Microsoft YaHei"/>
          <w:sz w:val="24"/>
          <w:szCs w:val="24"/>
          <w:b/>
          <w:bCs/>
          <w:color w:val="333333"/>
          <w:spacing w:val="69"/>
        </w:rPr>
        <w:t xml:space="preserve"> </w:t>
      </w:r>
      <w:r>
        <w:rPr>
          <w:rFonts w:ascii="Microsoft YaHei" w:hAnsi="Microsoft YaHei" w:eastAsia="Microsoft YaHei" w:cs="Microsoft YaHei"/>
          <w:sz w:val="24"/>
          <w:szCs w:val="24"/>
          <w:b/>
          <w:bCs/>
          <w:color w:val="333333"/>
          <w:spacing w:val="-9"/>
        </w:rPr>
        <w:t>）立案调查</w:t>
      </w:r>
    </w:p>
    <w:p>
      <w:pPr>
        <w:spacing w:before="190"/>
        <w:rPr/>
      </w:pPr>
      <w:r/>
    </w:p>
    <w:tbl>
      <w:tblPr>
        <w:tblStyle w:val="TableNormal"/>
        <w:tblW w:w="8863" w:type="dxa"/>
        <w:tblInd w:w="103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6306"/>
      </w:tblGrid>
      <w:tr>
        <w:trPr>
          <w:trHeight w:val="386" w:hRule="atLeast"/>
        </w:trPr>
        <w:tc>
          <w:tcPr>
            <w:shd w:val="clear" w:fill="4F81BD"/>
            <w:tcW w:w="1214" w:type="dxa"/>
            <w:vAlign w:val="top"/>
            <w:tcBorders>
              <w:bottom w:val="single" w:color="4F81BD" w:sz="2" w:space="0"/>
            </w:tcBorders>
          </w:tcPr>
          <w:p>
            <w:pPr>
              <w:pStyle w:val="TableText"/>
              <w:ind w:left="180"/>
              <w:spacing w:before="110" w:line="186"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10" w:line="186" w:lineRule="auto"/>
              <w:rPr/>
            </w:pPr>
            <w:r>
              <w:rPr>
                <w:b/>
                <w:bCs/>
                <w:color w:val="FFFFFF"/>
                <w:spacing w:val="8"/>
              </w:rPr>
              <w:t>公司简称</w:t>
            </w:r>
          </w:p>
        </w:tc>
        <w:tc>
          <w:tcPr>
            <w:shd w:val="clear" w:fill="4F81BD"/>
            <w:tcW w:w="6306" w:type="dxa"/>
            <w:vAlign w:val="top"/>
            <w:tcBorders>
              <w:bottom w:val="single" w:color="4F81BD" w:sz="2" w:space="0"/>
            </w:tcBorders>
          </w:tcPr>
          <w:p>
            <w:pPr>
              <w:pStyle w:val="TableText"/>
              <w:ind w:left="2725"/>
              <w:spacing w:before="110" w:line="186" w:lineRule="auto"/>
              <w:rPr/>
            </w:pPr>
            <w:r>
              <w:rPr>
                <w:b/>
                <w:bCs/>
                <w:color w:val="FFFFFF"/>
                <w:spacing w:val="8"/>
              </w:rPr>
              <w:t>违规行为</w:t>
            </w:r>
          </w:p>
        </w:tc>
      </w:tr>
      <w:tr>
        <w:trPr>
          <w:trHeight w:val="1445" w:hRule="atLeast"/>
        </w:trPr>
        <w:tc>
          <w:tcPr>
            <w:shd w:val="clear" w:fill="B8CCE4"/>
            <w:tcW w:w="1214" w:type="dxa"/>
            <w:vAlign w:val="top"/>
            <w:tcBorders>
              <w:top w:val="single" w:color="4F81BD" w:sz="2" w:space="0"/>
            </w:tcBorders>
          </w:tcPr>
          <w:p>
            <w:pPr>
              <w:spacing w:line="276" w:lineRule="auto"/>
              <w:rPr>
                <w:rFonts w:ascii="Arial"/>
                <w:sz w:val="21"/>
              </w:rPr>
            </w:pPr>
            <w:r/>
          </w:p>
          <w:p>
            <w:pPr>
              <w:spacing w:line="276" w:lineRule="auto"/>
              <w:rPr>
                <w:rFonts w:ascii="Arial"/>
                <w:sz w:val="21"/>
              </w:rPr>
            </w:pPr>
            <w:r/>
          </w:p>
          <w:p>
            <w:pPr>
              <w:pStyle w:val="TableText"/>
              <w:ind w:left="241"/>
              <w:spacing w:before="86" w:line="179" w:lineRule="auto"/>
              <w:rPr/>
            </w:pPr>
            <w:r>
              <w:rPr>
                <w:spacing w:val="3"/>
              </w:rPr>
              <w:t>601555</w:t>
            </w:r>
          </w:p>
        </w:tc>
        <w:tc>
          <w:tcPr>
            <w:shd w:val="clear" w:fill="B8CCE4"/>
            <w:tcW w:w="1343" w:type="dxa"/>
            <w:vAlign w:val="top"/>
            <w:tcBorders>
              <w:top w:val="single" w:color="4F81BD" w:sz="2" w:space="0"/>
            </w:tcBorders>
          </w:tcPr>
          <w:p>
            <w:pPr>
              <w:spacing w:line="269" w:lineRule="auto"/>
              <w:rPr>
                <w:rFonts w:ascii="Arial"/>
                <w:sz w:val="21"/>
              </w:rPr>
            </w:pPr>
            <w:r/>
          </w:p>
          <w:p>
            <w:pPr>
              <w:spacing w:line="270" w:lineRule="auto"/>
              <w:rPr>
                <w:rFonts w:ascii="Arial"/>
                <w:sz w:val="21"/>
              </w:rPr>
            </w:pPr>
            <w:r/>
          </w:p>
          <w:p>
            <w:pPr>
              <w:pStyle w:val="TableText"/>
              <w:ind w:left="241"/>
              <w:spacing w:before="86" w:line="189" w:lineRule="auto"/>
              <w:rPr/>
            </w:pPr>
            <w:r>
              <w:rPr>
                <w:spacing w:val="8"/>
              </w:rPr>
              <w:t>东吴证券</w:t>
            </w:r>
          </w:p>
        </w:tc>
        <w:tc>
          <w:tcPr>
            <w:shd w:val="clear" w:fill="B8CCE4"/>
            <w:tcW w:w="6306" w:type="dxa"/>
            <w:vAlign w:val="top"/>
            <w:tcBorders>
              <w:top w:val="single" w:color="4F81BD" w:sz="2" w:space="0"/>
            </w:tcBorders>
          </w:tcPr>
          <w:p>
            <w:pPr>
              <w:pStyle w:val="TableText"/>
              <w:ind w:left="98" w:right="105" w:firstLine="15"/>
              <w:spacing w:before="90" w:line="235" w:lineRule="auto"/>
              <w:jc w:val="both"/>
              <w:rPr/>
            </w:pPr>
            <w:r>
              <w:rPr>
                <w:spacing w:val="9"/>
              </w:rPr>
              <w:t>因东吴证券股份有限公司</w:t>
            </w:r>
            <w:r>
              <w:rPr>
                <w:b/>
                <w:bCs/>
                <w:spacing w:val="9"/>
              </w:rPr>
              <w:t>涉嫌国美通讯、紫鑫药业非公开发行股票 </w:t>
            </w:r>
            <w:r>
              <w:rPr>
                <w:b/>
                <w:bCs/>
                <w:spacing w:val="9"/>
              </w:rPr>
              <w:t>保荐业务未勤勉尽责</w:t>
            </w:r>
            <w:r>
              <w:rPr>
                <w:b/>
                <w:bCs/>
                <w:spacing w:val="-25"/>
              </w:rPr>
              <w:t xml:space="preserve"> </w:t>
            </w:r>
            <w:r>
              <w:rPr>
                <w:spacing w:val="9"/>
              </w:rPr>
              <w:t>，根据《中华人民共和</w:t>
            </w:r>
            <w:r>
              <w:rPr>
                <w:spacing w:val="8"/>
              </w:rPr>
              <w:t>国证券法》《中华人民</w:t>
            </w:r>
            <w:r>
              <w:rPr/>
              <w:t xml:space="preserve"> </w:t>
            </w:r>
            <w:r>
              <w:rPr>
                <w:spacing w:val="8"/>
              </w:rPr>
              <w:t>共和国行政处罚法》等法律法规</w:t>
            </w:r>
            <w:r>
              <w:rPr>
                <w:spacing w:val="-25"/>
              </w:rPr>
              <w:t xml:space="preserve"> </w:t>
            </w:r>
            <w:r>
              <w:rPr>
                <w:spacing w:val="8"/>
              </w:rPr>
              <w:t>，</w:t>
            </w:r>
            <w:r>
              <w:rPr>
                <w:spacing w:val="-36"/>
              </w:rPr>
              <w:t xml:space="preserve"> </w:t>
            </w:r>
            <w:r>
              <w:rPr>
                <w:spacing w:val="8"/>
              </w:rPr>
              <w:t>中国证监会决定对东吴</w:t>
            </w:r>
            <w:r>
              <w:rPr>
                <w:spacing w:val="7"/>
              </w:rPr>
              <w:t>证券股份</w:t>
            </w:r>
            <w:r>
              <w:rPr/>
              <w:t xml:space="preserve"> </w:t>
            </w:r>
            <w:r>
              <w:rPr>
                <w:spacing w:val="7"/>
              </w:rPr>
              <w:t>有限公司立案。</w:t>
            </w:r>
          </w:p>
        </w:tc>
      </w:tr>
      <w:tr>
        <w:trPr>
          <w:trHeight w:val="1082" w:hRule="atLeast"/>
        </w:trPr>
        <w:tc>
          <w:tcPr>
            <w:tcW w:w="1214" w:type="dxa"/>
            <w:vAlign w:val="top"/>
          </w:tcPr>
          <w:p>
            <w:pPr>
              <w:spacing w:line="373" w:lineRule="auto"/>
              <w:rPr>
                <w:rFonts w:ascii="Arial"/>
                <w:sz w:val="21"/>
              </w:rPr>
            </w:pPr>
            <w:r/>
          </w:p>
          <w:p>
            <w:pPr>
              <w:pStyle w:val="TableText"/>
              <w:ind w:left="238"/>
              <w:spacing w:before="85" w:line="179" w:lineRule="auto"/>
              <w:rPr/>
            </w:pPr>
            <w:r>
              <w:rPr>
                <w:spacing w:val="3"/>
              </w:rPr>
              <w:t>002131</w:t>
            </w:r>
          </w:p>
        </w:tc>
        <w:tc>
          <w:tcPr>
            <w:tcW w:w="1343" w:type="dxa"/>
            <w:vAlign w:val="top"/>
          </w:tcPr>
          <w:p>
            <w:pPr>
              <w:spacing w:line="361" w:lineRule="auto"/>
              <w:rPr>
                <w:rFonts w:ascii="Arial"/>
                <w:sz w:val="21"/>
              </w:rPr>
            </w:pPr>
            <w:r/>
          </w:p>
          <w:p>
            <w:pPr>
              <w:pStyle w:val="TableText"/>
              <w:ind w:left="242"/>
              <w:spacing w:before="86" w:line="188" w:lineRule="auto"/>
              <w:rPr/>
            </w:pPr>
            <w:r>
              <w:rPr>
                <w:spacing w:val="8"/>
              </w:rPr>
              <w:t>利欧股份</w:t>
            </w:r>
          </w:p>
        </w:tc>
        <w:tc>
          <w:tcPr>
            <w:tcW w:w="6306" w:type="dxa"/>
            <w:vAlign w:val="top"/>
          </w:tcPr>
          <w:p>
            <w:pPr>
              <w:pStyle w:val="TableText"/>
              <w:ind w:left="99" w:right="105" w:firstLine="1"/>
              <w:spacing w:before="51" w:line="238" w:lineRule="auto"/>
              <w:jc w:val="both"/>
              <w:rPr/>
            </w:pPr>
            <w:r>
              <w:rPr>
                <w:spacing w:val="8"/>
              </w:rPr>
              <w:t>董事长及董事因</w:t>
            </w:r>
            <w:r>
              <w:rPr>
                <w:b/>
                <w:bCs/>
                <w:spacing w:val="8"/>
              </w:rPr>
              <w:t>涉嫌短线交易“利欧股份”股票</w:t>
            </w:r>
            <w:r>
              <w:rPr>
                <w:b/>
                <w:bCs/>
                <w:spacing w:val="-9"/>
              </w:rPr>
              <w:t xml:space="preserve"> </w:t>
            </w:r>
            <w:r>
              <w:rPr>
                <w:spacing w:val="8"/>
              </w:rPr>
              <w:t>，根据《中华人民</w:t>
            </w:r>
            <w:r>
              <w:rPr/>
              <w:t xml:space="preserve"> </w:t>
            </w:r>
            <w:r>
              <w:rPr>
                <w:spacing w:val="8"/>
              </w:rPr>
              <w:t>共和国证券法》《中华人民共和国行政处罚法》等法律</w:t>
            </w:r>
            <w:r>
              <w:rPr>
                <w:spacing w:val="7"/>
              </w:rPr>
              <w:t>法规</w:t>
            </w:r>
            <w:r>
              <w:rPr>
                <w:spacing w:val="-25"/>
              </w:rPr>
              <w:t xml:space="preserve"> </w:t>
            </w:r>
            <w:r>
              <w:rPr>
                <w:spacing w:val="7"/>
              </w:rPr>
              <w:t>，</w:t>
            </w:r>
            <w:r>
              <w:rPr>
                <w:spacing w:val="-36"/>
              </w:rPr>
              <w:t xml:space="preserve"> </w:t>
            </w:r>
            <w:r>
              <w:rPr>
                <w:spacing w:val="7"/>
              </w:rPr>
              <w:t>中国</w:t>
            </w:r>
            <w:r>
              <w:rPr/>
              <w:t xml:space="preserve"> </w:t>
            </w:r>
            <w:r>
              <w:rPr>
                <w:spacing w:val="8"/>
              </w:rPr>
              <w:t>证监会决定对其立案。</w:t>
            </w:r>
          </w:p>
        </w:tc>
      </w:tr>
      <w:tr>
        <w:trPr>
          <w:trHeight w:val="1092" w:hRule="atLeast"/>
        </w:trPr>
        <w:tc>
          <w:tcPr>
            <w:shd w:val="clear" w:fill="B8CCE4"/>
            <w:tcW w:w="1214" w:type="dxa"/>
            <w:vAlign w:val="top"/>
          </w:tcPr>
          <w:p>
            <w:pPr>
              <w:spacing w:line="379" w:lineRule="auto"/>
              <w:rPr>
                <w:rFonts w:ascii="Arial"/>
                <w:sz w:val="21"/>
              </w:rPr>
            </w:pPr>
            <w:r/>
          </w:p>
          <w:p>
            <w:pPr>
              <w:pStyle w:val="TableText"/>
              <w:ind w:left="238"/>
              <w:spacing w:before="85" w:line="178" w:lineRule="auto"/>
              <w:rPr/>
            </w:pPr>
            <w:r>
              <w:rPr>
                <w:spacing w:val="3"/>
              </w:rPr>
              <w:t>002808</w:t>
            </w:r>
          </w:p>
        </w:tc>
        <w:tc>
          <w:tcPr>
            <w:shd w:val="clear" w:fill="B8CCE4"/>
            <w:tcW w:w="1343" w:type="dxa"/>
            <w:vAlign w:val="top"/>
          </w:tcPr>
          <w:p>
            <w:pPr>
              <w:spacing w:line="367" w:lineRule="auto"/>
              <w:rPr>
                <w:rFonts w:ascii="Arial"/>
                <w:sz w:val="21"/>
              </w:rPr>
            </w:pPr>
            <w:r/>
          </w:p>
          <w:p>
            <w:pPr>
              <w:pStyle w:val="TableText"/>
              <w:ind w:left="341"/>
              <w:spacing w:before="86" w:line="187" w:lineRule="auto"/>
              <w:rPr/>
            </w:pPr>
            <w:r>
              <w:rPr/>
              <w:t>ST</w:t>
            </w:r>
            <w:r>
              <w:rPr>
                <w:spacing w:val="7"/>
              </w:rPr>
              <w:t>恒久</w:t>
            </w:r>
          </w:p>
        </w:tc>
        <w:tc>
          <w:tcPr>
            <w:shd w:val="clear" w:fill="B8CCE4"/>
            <w:tcW w:w="6306" w:type="dxa"/>
            <w:vAlign w:val="top"/>
          </w:tcPr>
          <w:p>
            <w:pPr>
              <w:pStyle w:val="TableText"/>
              <w:ind w:left="99" w:right="105" w:firstLine="14"/>
              <w:spacing w:before="52"/>
              <w:jc w:val="both"/>
              <w:rPr/>
            </w:pPr>
            <w:r>
              <w:rPr>
                <w:spacing w:val="8"/>
              </w:rPr>
              <w:t>因</w:t>
            </w:r>
            <w:r>
              <w:rPr>
                <w:b/>
                <w:bCs/>
                <w:spacing w:val="8"/>
              </w:rPr>
              <w:t>涉嫌信息披露违法违规</w:t>
            </w:r>
            <w:r>
              <w:rPr>
                <w:b/>
                <w:bCs/>
                <w:spacing w:val="-21"/>
              </w:rPr>
              <w:t xml:space="preserve"> </w:t>
            </w:r>
            <w:r>
              <w:rPr>
                <w:spacing w:val="8"/>
              </w:rPr>
              <w:t>，根据《中华人民共和国证券法》《中华</w:t>
            </w:r>
            <w:r>
              <w:rPr/>
              <w:t xml:space="preserve"> </w:t>
            </w:r>
            <w:r>
              <w:rPr>
                <w:spacing w:val="8"/>
              </w:rPr>
              <w:t>人民共和国行政处罚法》等法律法规</w:t>
            </w:r>
            <w:r>
              <w:rPr>
                <w:spacing w:val="-26"/>
              </w:rPr>
              <w:t xml:space="preserve"> </w:t>
            </w:r>
            <w:r>
              <w:rPr>
                <w:spacing w:val="8"/>
              </w:rPr>
              <w:t>，</w:t>
            </w:r>
            <w:r>
              <w:rPr>
                <w:spacing w:val="-36"/>
              </w:rPr>
              <w:t xml:space="preserve"> </w:t>
            </w:r>
            <w:r>
              <w:rPr>
                <w:spacing w:val="8"/>
              </w:rPr>
              <w:t>中国证券监督管理</w:t>
            </w:r>
            <w:r>
              <w:rPr>
                <w:spacing w:val="7"/>
              </w:rPr>
              <w:t>委员会决</w:t>
            </w:r>
            <w:r>
              <w:rPr/>
              <w:t xml:space="preserve"> </w:t>
            </w:r>
            <w:r>
              <w:rPr>
                <w:spacing w:val="8"/>
              </w:rPr>
              <w:t>定对实际控制人、控股股东立案。</w:t>
            </w:r>
          </w:p>
        </w:tc>
      </w:tr>
    </w:tbl>
    <w:p>
      <w:pPr>
        <w:pStyle w:val="BodyText"/>
        <w:rPr/>
      </w:pPr>
      <w:r/>
    </w:p>
    <w:p>
      <w:pPr>
        <w:sectPr>
          <w:pgSz w:w="11910" w:h="16840"/>
          <w:pgMar w:top="400" w:right="1524" w:bottom="400" w:left="478"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9"/>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4" w:firstLine="482"/>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2024年4月15日-4月21日</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5"/>
        </w:rPr>
        <w:t>，上交所公司监管部门作</w:t>
      </w:r>
      <w:r>
        <w:rPr>
          <w:rFonts w:ascii="Microsoft YaHei" w:hAnsi="Microsoft YaHei" w:eastAsia="Microsoft YaHei" w:cs="Microsoft YaHei"/>
          <w:sz w:val="24"/>
          <w:szCs w:val="24"/>
          <w:spacing w:val="-6"/>
        </w:rPr>
        <w:t>出6份监管警示函，对3宗行为予以纪律处分。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同时，加大信息披露和股价异常的联动监管</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5"/>
        </w:rPr>
        <w:t>，针对</w:t>
      </w:r>
      <w:r>
        <w:rPr>
          <w:rFonts w:ascii="Microsoft YaHei" w:hAnsi="Microsoft YaHei" w:eastAsia="Microsoft YaHei" w:cs="Microsoft YaHei"/>
          <w:sz w:val="24"/>
          <w:szCs w:val="24"/>
          <w:spacing w:val="-6"/>
        </w:rPr>
        <w:t>公司披露敏感信息或股价发生明显异常的</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6"/>
        </w:rPr>
        <w:t>，提请启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动内幕交易、异常交易核查5单。</w:t>
      </w:r>
    </w:p>
    <w:p>
      <w:pPr>
        <w:ind w:firstLine="1606"/>
        <w:spacing w:before="90" w:line="3448" w:lineRule="exact"/>
        <w:rPr/>
      </w:pPr>
      <w:r>
        <w:rPr>
          <w:position w:val="-68"/>
        </w:rPr>
        <w:drawing>
          <wp:inline distT="0" distB="0" distL="0" distR="0">
            <wp:extent cx="5039994" cy="2189480"/>
            <wp:effectExtent l="0" t="0" r="0" b="0"/>
            <wp:docPr id="30" name="IM 30"/>
            <wp:cNvGraphicFramePr/>
            <a:graphic>
              <a:graphicData uri="http://schemas.openxmlformats.org/drawingml/2006/picture">
                <pic:pic>
                  <pic:nvPicPr>
                    <pic:cNvPr id="30" name="IM 30"/>
                    <pic:cNvPicPr/>
                  </pic:nvPicPr>
                  <pic:blipFill>
                    <a:blip r:embed="rId20"/>
                    <a:stretch>
                      <a:fillRect/>
                    </a:stretch>
                  </pic:blipFill>
                  <pic:spPr>
                    <a:xfrm rot="0">
                      <a:off x="0" y="0"/>
                      <a:ext cx="5039994" cy="2189480"/>
                    </a:xfrm>
                    <a:prstGeom prst="rect">
                      <a:avLst/>
                    </a:prstGeom>
                  </pic:spPr>
                </pic:pic>
              </a:graphicData>
            </a:graphic>
          </wp:inline>
        </w:drawing>
      </w:r>
    </w:p>
    <w:p>
      <w:pPr>
        <w:ind w:left="43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7"/>
        </w:rPr>
        <w:t>（  1  ）监管措施统计</w:t>
      </w:r>
    </w:p>
    <w:p>
      <w:pPr>
        <w:spacing w:before="2"/>
        <w:rPr/>
      </w:pPr>
      <w:r/>
    </w:p>
    <w:p>
      <w:pPr>
        <w:spacing w:before="2"/>
        <w:rPr/>
      </w:pPr>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9" w:hRule="atLeast"/>
        </w:trPr>
        <w:tc>
          <w:tcPr>
            <w:shd w:val="clear" w:fill="C0504D"/>
            <w:tcW w:w="1276" w:type="dxa"/>
            <w:vAlign w:val="top"/>
            <w:tcBorders>
              <w:bottom w:val="single" w:color="C0504D"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2"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6"/>
              <w:spacing w:before="94"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4"/>
              <w:spacing w:before="92" w:line="189" w:lineRule="auto"/>
              <w:rPr/>
            </w:pPr>
            <w:r>
              <w:rPr>
                <w:b/>
                <w:bCs/>
                <w:color w:val="FFFFFF"/>
                <w:spacing w:val="8"/>
              </w:rPr>
              <w:t>违规类型</w:t>
            </w:r>
          </w:p>
        </w:tc>
      </w:tr>
      <w:tr>
        <w:trPr>
          <w:trHeight w:val="1438" w:hRule="atLeast"/>
        </w:trPr>
        <w:tc>
          <w:tcPr>
            <w:shd w:val="clear" w:fill="F2DCDC"/>
            <w:tcW w:w="1276" w:type="dxa"/>
            <w:vAlign w:val="top"/>
            <w:tcBorders>
              <w:top w:val="single" w:color="C0504D" w:sz="10" w:space="0"/>
            </w:tcBorders>
          </w:tcPr>
          <w:p>
            <w:pPr>
              <w:pStyle w:val="TableText"/>
              <w:ind w:left="270"/>
              <w:spacing w:before="90" w:line="179" w:lineRule="auto"/>
              <w:rPr/>
            </w:pPr>
            <w:r>
              <w:rPr>
                <w:spacing w:val="3"/>
              </w:rPr>
              <w:t>603718</w:t>
            </w:r>
          </w:p>
        </w:tc>
        <w:tc>
          <w:tcPr>
            <w:shd w:val="clear" w:fill="F2DCDC"/>
            <w:tcW w:w="1215" w:type="dxa"/>
            <w:vAlign w:val="top"/>
            <w:tcBorders>
              <w:top w:val="single" w:color="C0504D" w:sz="10" w:space="0"/>
            </w:tcBorders>
          </w:tcPr>
          <w:p>
            <w:pPr>
              <w:pStyle w:val="TableText"/>
              <w:ind w:left="178"/>
              <w:spacing w:before="77" w:line="189" w:lineRule="auto"/>
              <w:rPr/>
            </w:pPr>
            <w:r>
              <w:rPr>
                <w:spacing w:val="8"/>
              </w:rPr>
              <w:t>海利生物</w:t>
            </w:r>
          </w:p>
        </w:tc>
        <w:tc>
          <w:tcPr>
            <w:shd w:val="clear" w:fill="F2DCDC"/>
            <w:tcW w:w="1324" w:type="dxa"/>
            <w:vAlign w:val="top"/>
            <w:tcBorders>
              <w:top w:val="single" w:color="C0504D" w:sz="10" w:space="0"/>
            </w:tcBorders>
          </w:tcPr>
          <w:p>
            <w:pPr>
              <w:pStyle w:val="TableText"/>
              <w:ind w:left="236"/>
              <w:spacing w:before="77" w:line="189" w:lineRule="auto"/>
              <w:rPr/>
            </w:pPr>
            <w:r>
              <w:rPr>
                <w:spacing w:val="8"/>
              </w:rPr>
              <w:t>监管警示</w:t>
            </w:r>
          </w:p>
        </w:tc>
        <w:tc>
          <w:tcPr>
            <w:shd w:val="clear" w:fill="F2DCDC"/>
            <w:tcW w:w="5004" w:type="dxa"/>
            <w:vAlign w:val="top"/>
            <w:tcBorders>
              <w:top w:val="single" w:color="C0504D" w:sz="10" w:space="0"/>
            </w:tcBorders>
          </w:tcPr>
          <w:p>
            <w:pPr>
              <w:pStyle w:val="TableText"/>
              <w:ind w:left="2" w:right="87" w:firstLine="9"/>
              <w:spacing w:before="78" w:line="236" w:lineRule="auto"/>
              <w:jc w:val="both"/>
              <w:rPr/>
            </w:pPr>
            <w:r>
              <w:rPr>
                <w:spacing w:val="7"/>
              </w:rPr>
              <w:t>2021年半年报中</w:t>
            </w:r>
            <w:r>
              <w:rPr>
                <w:spacing w:val="-16"/>
              </w:rPr>
              <w:t xml:space="preserve"> </w:t>
            </w:r>
            <w:r>
              <w:rPr>
                <w:spacing w:val="7"/>
              </w:rPr>
              <w:t>，披露财务费用</w:t>
            </w:r>
            <w:r>
              <w:rPr>
                <w:b/>
                <w:bCs/>
                <w:spacing w:val="7"/>
              </w:rPr>
              <w:t>少计关联方借款利息</w:t>
            </w:r>
            <w:r>
              <w:rPr>
                <w:b/>
                <w:bCs/>
              </w:rPr>
              <w:t xml:space="preserve"> </w:t>
            </w:r>
            <w:r>
              <w:rPr>
                <w:spacing w:val="7"/>
              </w:rPr>
              <w:t>;</w:t>
            </w:r>
            <w:r>
              <w:rPr>
                <w:spacing w:val="27"/>
                <w:w w:val="101"/>
              </w:rPr>
              <w:t xml:space="preserve">  </w:t>
            </w:r>
            <w:r>
              <w:rPr>
                <w:spacing w:val="7"/>
              </w:rPr>
              <w:t>2021年三季报中</w:t>
            </w:r>
            <w:r>
              <w:rPr>
                <w:spacing w:val="-28"/>
              </w:rPr>
              <w:t xml:space="preserve"> </w:t>
            </w:r>
            <w:r>
              <w:rPr>
                <w:spacing w:val="7"/>
              </w:rPr>
              <w:t>，公司披露财务费用</w:t>
            </w:r>
            <w:r>
              <w:rPr>
                <w:b/>
                <w:bCs/>
                <w:spacing w:val="7"/>
              </w:rPr>
              <w:t>少计关联方借</w:t>
            </w:r>
            <w:r>
              <w:rPr>
                <w:b/>
                <w:bCs/>
              </w:rPr>
              <w:t xml:space="preserve"> </w:t>
            </w:r>
            <w:r>
              <w:rPr>
                <w:b/>
                <w:bCs/>
                <w:spacing w:val="7"/>
              </w:rPr>
              <w:t>款利息</w:t>
            </w:r>
            <w:r>
              <w:rPr>
                <w:spacing w:val="7"/>
              </w:rPr>
              <w:t>；</w:t>
            </w:r>
            <w:r>
              <w:rPr>
                <w:spacing w:val="-37"/>
              </w:rPr>
              <w:t xml:space="preserve"> </w:t>
            </w:r>
            <w:r>
              <w:rPr>
                <w:spacing w:val="7"/>
              </w:rPr>
              <w:t>2022年一季报中</w:t>
            </w:r>
            <w:r>
              <w:rPr>
                <w:spacing w:val="-28"/>
              </w:rPr>
              <w:t xml:space="preserve"> </w:t>
            </w:r>
            <w:r>
              <w:rPr>
                <w:spacing w:val="7"/>
              </w:rPr>
              <w:t>，公司披露财务费用</w:t>
            </w:r>
            <w:r>
              <w:rPr>
                <w:b/>
                <w:bCs/>
                <w:spacing w:val="7"/>
              </w:rPr>
              <w:t>少计关</w:t>
            </w:r>
            <w:r>
              <w:rPr>
                <w:b/>
                <w:bCs/>
              </w:rPr>
              <w:t xml:space="preserve"> </w:t>
            </w:r>
            <w:r>
              <w:rPr>
                <w:b/>
                <w:bCs/>
                <w:spacing w:val="7"/>
              </w:rPr>
              <w:t>联方借款利息。</w:t>
            </w:r>
          </w:p>
        </w:tc>
      </w:tr>
      <w:tr>
        <w:trPr>
          <w:trHeight w:val="725" w:hRule="atLeast"/>
        </w:trPr>
        <w:tc>
          <w:tcPr>
            <w:tcW w:w="1276" w:type="dxa"/>
            <w:vAlign w:val="top"/>
          </w:tcPr>
          <w:p>
            <w:pPr>
              <w:pStyle w:val="TableText"/>
              <w:ind w:left="270"/>
              <w:spacing w:before="100" w:line="178" w:lineRule="auto"/>
              <w:rPr/>
            </w:pPr>
            <w:r>
              <w:rPr>
                <w:spacing w:val="3"/>
              </w:rPr>
              <w:t>605588</w:t>
            </w:r>
          </w:p>
        </w:tc>
        <w:tc>
          <w:tcPr>
            <w:tcW w:w="1215" w:type="dxa"/>
            <w:vAlign w:val="top"/>
          </w:tcPr>
          <w:p>
            <w:pPr>
              <w:pStyle w:val="TableText"/>
              <w:ind w:left="179"/>
              <w:spacing w:before="87" w:line="188" w:lineRule="auto"/>
              <w:rPr/>
            </w:pPr>
            <w:r>
              <w:rPr>
                <w:spacing w:val="8"/>
              </w:rPr>
              <w:t>冠石科技</w:t>
            </w:r>
          </w:p>
        </w:tc>
        <w:tc>
          <w:tcPr>
            <w:tcW w:w="1324" w:type="dxa"/>
            <w:vAlign w:val="top"/>
          </w:tcPr>
          <w:p>
            <w:pPr>
              <w:pStyle w:val="TableText"/>
              <w:ind w:left="236"/>
              <w:spacing w:before="86" w:line="189" w:lineRule="auto"/>
              <w:rPr/>
            </w:pPr>
            <w:r>
              <w:rPr>
                <w:spacing w:val="8"/>
              </w:rPr>
              <w:t>监管警示</w:t>
            </w:r>
          </w:p>
        </w:tc>
        <w:tc>
          <w:tcPr>
            <w:tcW w:w="5004" w:type="dxa"/>
            <w:vAlign w:val="top"/>
          </w:tcPr>
          <w:p>
            <w:pPr>
              <w:pStyle w:val="TableText"/>
              <w:ind w:left="5" w:right="87" w:hanging="3"/>
              <w:spacing w:before="85" w:line="220" w:lineRule="auto"/>
              <w:rPr/>
            </w:pPr>
            <w:r>
              <w:rPr>
                <w:spacing w:val="9"/>
              </w:rPr>
              <w:t>公司2022年第一季度报告、半年度报告和第三季度报</w:t>
            </w:r>
            <w:r>
              <w:rPr>
                <w:spacing w:val="3"/>
              </w:rPr>
              <w:t xml:space="preserve"> </w:t>
            </w:r>
            <w:r>
              <w:rPr>
                <w:spacing w:val="8"/>
              </w:rPr>
              <w:t>告</w:t>
            </w:r>
            <w:r>
              <w:rPr>
                <w:b/>
                <w:bCs/>
                <w:spacing w:val="8"/>
              </w:rPr>
              <w:t>财务报告信息披露不准确。</w:t>
            </w:r>
          </w:p>
        </w:tc>
      </w:tr>
      <w:tr>
        <w:trPr>
          <w:trHeight w:val="724" w:hRule="atLeast"/>
        </w:trPr>
        <w:tc>
          <w:tcPr>
            <w:shd w:val="clear" w:fill="F2DCDC"/>
            <w:tcW w:w="1276" w:type="dxa"/>
            <w:vAlign w:val="top"/>
          </w:tcPr>
          <w:p>
            <w:pPr>
              <w:pStyle w:val="TableText"/>
              <w:ind w:left="270"/>
              <w:spacing w:before="100" w:line="178" w:lineRule="auto"/>
              <w:rPr/>
            </w:pPr>
            <w:r>
              <w:rPr>
                <w:spacing w:val="3"/>
              </w:rPr>
              <w:t>603773</w:t>
            </w:r>
          </w:p>
        </w:tc>
        <w:tc>
          <w:tcPr>
            <w:shd w:val="clear" w:fill="F2DCDC"/>
            <w:tcW w:w="1215" w:type="dxa"/>
            <w:vAlign w:val="top"/>
          </w:tcPr>
          <w:p>
            <w:pPr>
              <w:pStyle w:val="TableText"/>
              <w:ind w:left="178"/>
              <w:spacing w:before="85" w:line="189" w:lineRule="auto"/>
              <w:rPr/>
            </w:pPr>
            <w:r>
              <w:rPr>
                <w:spacing w:val="8"/>
              </w:rPr>
              <w:t>沃格光电</w:t>
            </w:r>
          </w:p>
        </w:tc>
        <w:tc>
          <w:tcPr>
            <w:shd w:val="clear" w:fill="F2DCDC"/>
            <w:tcW w:w="1324" w:type="dxa"/>
            <w:vAlign w:val="top"/>
          </w:tcPr>
          <w:p>
            <w:pPr>
              <w:pStyle w:val="TableText"/>
              <w:ind w:left="236"/>
              <w:spacing w:before="85" w:line="189" w:lineRule="auto"/>
              <w:rPr/>
            </w:pPr>
            <w:r>
              <w:rPr>
                <w:spacing w:val="8"/>
              </w:rPr>
              <w:t>监管警示</w:t>
            </w:r>
          </w:p>
        </w:tc>
        <w:tc>
          <w:tcPr>
            <w:shd w:val="clear" w:fill="F2DCDC"/>
            <w:tcW w:w="5004" w:type="dxa"/>
            <w:vAlign w:val="top"/>
          </w:tcPr>
          <w:p>
            <w:pPr>
              <w:pStyle w:val="TableText"/>
              <w:ind w:left="1" w:right="159" w:firstLine="1"/>
              <w:spacing w:before="84" w:line="220" w:lineRule="auto"/>
              <w:rPr/>
            </w:pPr>
            <w:r>
              <w:rPr>
                <w:spacing w:val="9"/>
              </w:rPr>
              <w:t>未披露</w:t>
            </w:r>
            <w:r>
              <w:rPr>
                <w:b/>
                <w:bCs/>
                <w:spacing w:val="9"/>
              </w:rPr>
              <w:t>融资贸易业务</w:t>
            </w:r>
            <w:r>
              <w:rPr>
                <w:spacing w:val="9"/>
              </w:rPr>
              <w:t>情况；相关融资贸易业务的</w:t>
            </w:r>
            <w:r>
              <w:rPr>
                <w:b/>
                <w:bCs/>
                <w:spacing w:val="9"/>
              </w:rPr>
              <w:t>账务</w:t>
            </w:r>
            <w:r>
              <w:rPr>
                <w:b/>
                <w:bCs/>
                <w:spacing w:val="18"/>
              </w:rPr>
              <w:t xml:space="preserve"> </w:t>
            </w:r>
            <w:r>
              <w:rPr>
                <w:b/>
                <w:bCs/>
                <w:spacing w:val="7"/>
              </w:rPr>
              <w:t>处理不规范。</w:t>
            </w:r>
          </w:p>
        </w:tc>
      </w:tr>
      <w:tr>
        <w:trPr>
          <w:trHeight w:val="364" w:hRule="atLeast"/>
        </w:trPr>
        <w:tc>
          <w:tcPr>
            <w:tcW w:w="1276" w:type="dxa"/>
            <w:vAlign w:val="top"/>
          </w:tcPr>
          <w:p>
            <w:pPr>
              <w:pStyle w:val="TableText"/>
              <w:ind w:left="270"/>
              <w:spacing w:before="98" w:line="179" w:lineRule="auto"/>
              <w:rPr/>
            </w:pPr>
            <w:r>
              <w:rPr>
                <w:spacing w:val="3"/>
              </w:rPr>
              <w:t>603718</w:t>
            </w:r>
          </w:p>
        </w:tc>
        <w:tc>
          <w:tcPr>
            <w:tcW w:w="1215" w:type="dxa"/>
            <w:vAlign w:val="top"/>
          </w:tcPr>
          <w:p>
            <w:pPr>
              <w:pStyle w:val="TableText"/>
              <w:ind w:left="178"/>
              <w:spacing w:before="85" w:line="188" w:lineRule="auto"/>
              <w:rPr/>
            </w:pPr>
            <w:r>
              <w:rPr>
                <w:spacing w:val="8"/>
              </w:rPr>
              <w:t>海利生物</w:t>
            </w:r>
          </w:p>
        </w:tc>
        <w:tc>
          <w:tcPr>
            <w:tcW w:w="1324" w:type="dxa"/>
            <w:vAlign w:val="top"/>
          </w:tcPr>
          <w:p>
            <w:pPr>
              <w:pStyle w:val="TableText"/>
              <w:ind w:left="234"/>
              <w:spacing w:before="86" w:line="187" w:lineRule="auto"/>
              <w:rPr/>
            </w:pPr>
            <w:r>
              <w:rPr>
                <w:spacing w:val="8"/>
              </w:rPr>
              <w:t>通报批评</w:t>
            </w:r>
          </w:p>
        </w:tc>
        <w:tc>
          <w:tcPr>
            <w:tcW w:w="5004" w:type="dxa"/>
            <w:vAlign w:val="top"/>
          </w:tcPr>
          <w:p>
            <w:pPr>
              <w:pStyle w:val="TableText"/>
              <w:ind w:left="2"/>
              <w:spacing w:before="85" w:line="188" w:lineRule="auto"/>
              <w:rPr/>
            </w:pPr>
            <w:r>
              <w:rPr>
                <w:spacing w:val="9"/>
              </w:rPr>
              <w:t>公司多期定期报告披露的</w:t>
            </w:r>
            <w:r>
              <w:rPr>
                <w:b/>
                <w:bCs/>
                <w:spacing w:val="9"/>
              </w:rPr>
              <w:t>财务数据</w:t>
            </w:r>
            <w:r>
              <w:rPr>
                <w:spacing w:val="9"/>
              </w:rPr>
              <w:t>披露不准确。</w:t>
            </w:r>
          </w:p>
        </w:tc>
      </w:tr>
      <w:tr>
        <w:trPr>
          <w:trHeight w:val="725" w:hRule="atLeast"/>
        </w:trPr>
        <w:tc>
          <w:tcPr>
            <w:shd w:val="clear" w:fill="F2DCDC"/>
            <w:tcW w:w="1276" w:type="dxa"/>
            <w:vAlign w:val="top"/>
          </w:tcPr>
          <w:p>
            <w:pPr>
              <w:pStyle w:val="TableText"/>
              <w:ind w:left="270"/>
              <w:spacing w:before="102" w:line="178" w:lineRule="auto"/>
              <w:rPr/>
            </w:pPr>
            <w:r>
              <w:rPr>
                <w:spacing w:val="3"/>
              </w:rPr>
              <w:t>600748</w:t>
            </w:r>
          </w:p>
        </w:tc>
        <w:tc>
          <w:tcPr>
            <w:shd w:val="clear" w:fill="F2DCDC"/>
            <w:tcW w:w="1215" w:type="dxa"/>
            <w:vAlign w:val="top"/>
          </w:tcPr>
          <w:p>
            <w:pPr>
              <w:pStyle w:val="TableText"/>
              <w:ind w:left="180"/>
              <w:spacing w:before="88" w:line="189" w:lineRule="auto"/>
              <w:rPr/>
            </w:pPr>
            <w:r>
              <w:rPr>
                <w:spacing w:val="8"/>
              </w:rPr>
              <w:t>上实发展</w:t>
            </w:r>
          </w:p>
        </w:tc>
        <w:tc>
          <w:tcPr>
            <w:shd w:val="clear" w:fill="F2DCDC"/>
            <w:tcW w:w="1324" w:type="dxa"/>
            <w:vAlign w:val="top"/>
          </w:tcPr>
          <w:p>
            <w:pPr>
              <w:pStyle w:val="TableText"/>
              <w:ind w:left="234"/>
              <w:spacing w:before="90" w:line="187" w:lineRule="auto"/>
              <w:rPr/>
            </w:pPr>
            <w:r>
              <w:rPr>
                <w:spacing w:val="8"/>
              </w:rPr>
              <w:t>公开谴责</w:t>
            </w:r>
          </w:p>
        </w:tc>
        <w:tc>
          <w:tcPr>
            <w:shd w:val="clear" w:fill="F2DCDC"/>
            <w:tcW w:w="5004" w:type="dxa"/>
            <w:vAlign w:val="top"/>
          </w:tcPr>
          <w:p>
            <w:pPr>
              <w:pStyle w:val="TableText"/>
              <w:ind w:left="3" w:right="57"/>
              <w:spacing w:before="85" w:line="220" w:lineRule="auto"/>
              <w:rPr/>
            </w:pPr>
            <w:r>
              <w:rPr>
                <w:spacing w:val="9"/>
              </w:rPr>
              <w:t>未及时披露</w:t>
            </w:r>
            <w:r>
              <w:rPr>
                <w:b/>
                <w:bCs/>
                <w:spacing w:val="9"/>
              </w:rPr>
              <w:t>预计经营业绩发生亏损</w:t>
            </w:r>
            <w:r>
              <w:rPr>
                <w:spacing w:val="9"/>
              </w:rPr>
              <w:t>；未及时披露</w:t>
            </w:r>
            <w:r>
              <w:rPr>
                <w:b/>
                <w:bCs/>
                <w:spacing w:val="9"/>
              </w:rPr>
              <w:t>订立  </w:t>
            </w:r>
            <w:r>
              <w:rPr>
                <w:b/>
                <w:bCs/>
                <w:spacing w:val="6"/>
              </w:rPr>
              <w:t>重要合同</w:t>
            </w:r>
            <w:r>
              <w:rPr>
                <w:spacing w:val="6"/>
              </w:rPr>
              <w:t>；</w:t>
            </w:r>
            <w:r>
              <w:rPr>
                <w:spacing w:val="-34"/>
              </w:rPr>
              <w:t xml:space="preserve"> </w:t>
            </w:r>
            <w:r>
              <w:rPr>
                <w:spacing w:val="6"/>
              </w:rPr>
              <w:t>2016年至2021年年度报告存在</w:t>
            </w:r>
            <w:r>
              <w:rPr>
                <w:b/>
                <w:bCs/>
                <w:spacing w:val="6"/>
              </w:rPr>
              <w:t>虚假记载</w:t>
            </w:r>
            <w:r>
              <w:rPr>
                <w:spacing w:val="6"/>
              </w:rPr>
              <w:t>。</w:t>
            </w:r>
          </w:p>
        </w:tc>
      </w:tr>
      <w:tr>
        <w:trPr>
          <w:trHeight w:val="724" w:hRule="atLeast"/>
        </w:trPr>
        <w:tc>
          <w:tcPr>
            <w:tcW w:w="1276" w:type="dxa"/>
            <w:vAlign w:val="top"/>
          </w:tcPr>
          <w:p>
            <w:pPr>
              <w:pStyle w:val="TableText"/>
              <w:ind w:left="270"/>
              <w:spacing w:before="104" w:line="178" w:lineRule="auto"/>
              <w:rPr/>
            </w:pPr>
            <w:r>
              <w:rPr>
                <w:spacing w:val="3"/>
              </w:rPr>
              <w:t>600868</w:t>
            </w:r>
          </w:p>
        </w:tc>
        <w:tc>
          <w:tcPr>
            <w:tcW w:w="1215" w:type="dxa"/>
            <w:vAlign w:val="top"/>
          </w:tcPr>
          <w:p>
            <w:pPr>
              <w:pStyle w:val="TableText"/>
              <w:ind w:left="177"/>
              <w:spacing w:before="89" w:line="189" w:lineRule="auto"/>
              <w:rPr/>
            </w:pPr>
            <w:r>
              <w:rPr>
                <w:spacing w:val="8"/>
              </w:rPr>
              <w:t>梅雁吉祥</w:t>
            </w:r>
          </w:p>
        </w:tc>
        <w:tc>
          <w:tcPr>
            <w:tcW w:w="1324" w:type="dxa"/>
            <w:vAlign w:val="top"/>
          </w:tcPr>
          <w:p>
            <w:pPr>
              <w:pStyle w:val="TableText"/>
              <w:ind w:left="236"/>
              <w:spacing w:before="89" w:line="189" w:lineRule="auto"/>
              <w:rPr/>
            </w:pPr>
            <w:r>
              <w:rPr>
                <w:spacing w:val="8"/>
              </w:rPr>
              <w:t>监管警示</w:t>
            </w:r>
          </w:p>
        </w:tc>
        <w:tc>
          <w:tcPr>
            <w:tcW w:w="5004" w:type="dxa"/>
            <w:vAlign w:val="top"/>
          </w:tcPr>
          <w:p>
            <w:pPr>
              <w:pStyle w:val="TableText"/>
              <w:ind w:left="3" w:right="159"/>
              <w:spacing w:before="87" w:line="219" w:lineRule="auto"/>
              <w:rPr/>
            </w:pPr>
            <w:r>
              <w:rPr>
                <w:b/>
                <w:bCs/>
                <w:spacing w:val="9"/>
              </w:rPr>
              <w:t>关联交易</w:t>
            </w:r>
            <w:r>
              <w:rPr>
                <w:spacing w:val="9"/>
              </w:rPr>
              <w:t>未及时履行审议程序和披露义务；</w:t>
            </w:r>
            <w:r>
              <w:rPr>
                <w:b/>
                <w:bCs/>
                <w:spacing w:val="9"/>
              </w:rPr>
              <w:t>定期报告</w:t>
            </w:r>
            <w:r>
              <w:rPr>
                <w:b/>
                <w:bCs/>
                <w:spacing w:val="17"/>
                <w:w w:val="101"/>
              </w:rPr>
              <w:t xml:space="preserve"> </w:t>
            </w:r>
            <w:r>
              <w:rPr>
                <w:spacing w:val="7"/>
              </w:rPr>
              <w:t>披露不准确</w:t>
            </w:r>
            <w:r>
              <w:rPr>
                <w:spacing w:val="52"/>
              </w:rPr>
              <w:t xml:space="preserve"> </w:t>
            </w:r>
            <w:r>
              <w:rPr>
                <w:spacing w:val="7"/>
              </w:rPr>
              <w:t>。</w:t>
            </w:r>
          </w:p>
        </w:tc>
      </w:tr>
      <w:tr>
        <w:trPr>
          <w:trHeight w:val="724" w:hRule="atLeast"/>
        </w:trPr>
        <w:tc>
          <w:tcPr>
            <w:shd w:val="clear" w:fill="F2DCDC"/>
            <w:tcW w:w="1276" w:type="dxa"/>
            <w:vAlign w:val="top"/>
          </w:tcPr>
          <w:p>
            <w:pPr>
              <w:pStyle w:val="TableText"/>
              <w:ind w:left="270"/>
              <w:spacing w:before="103" w:line="179" w:lineRule="auto"/>
              <w:rPr/>
            </w:pPr>
            <w:r>
              <w:rPr>
                <w:spacing w:val="3"/>
              </w:rPr>
              <w:t>600173</w:t>
            </w:r>
          </w:p>
        </w:tc>
        <w:tc>
          <w:tcPr>
            <w:shd w:val="clear" w:fill="F2DCDC"/>
            <w:tcW w:w="1215" w:type="dxa"/>
            <w:vAlign w:val="top"/>
          </w:tcPr>
          <w:p>
            <w:pPr>
              <w:pStyle w:val="TableText"/>
              <w:ind w:left="188"/>
              <w:spacing w:before="89" w:line="189" w:lineRule="auto"/>
              <w:rPr/>
            </w:pPr>
            <w:r>
              <w:rPr>
                <w:spacing w:val="6"/>
              </w:rPr>
              <w:t>卧龙地产</w:t>
            </w:r>
          </w:p>
        </w:tc>
        <w:tc>
          <w:tcPr>
            <w:shd w:val="clear" w:fill="F2DCDC"/>
            <w:tcW w:w="1324" w:type="dxa"/>
            <w:vAlign w:val="top"/>
          </w:tcPr>
          <w:p>
            <w:pPr>
              <w:pStyle w:val="TableText"/>
              <w:ind w:left="236"/>
              <w:spacing w:before="89" w:line="189" w:lineRule="auto"/>
              <w:rPr/>
            </w:pPr>
            <w:r>
              <w:rPr>
                <w:spacing w:val="8"/>
              </w:rPr>
              <w:t>监管警示</w:t>
            </w:r>
          </w:p>
        </w:tc>
        <w:tc>
          <w:tcPr>
            <w:shd w:val="clear" w:fill="F2DCDC"/>
            <w:tcW w:w="5004" w:type="dxa"/>
            <w:vAlign w:val="top"/>
          </w:tcPr>
          <w:p>
            <w:pPr>
              <w:pStyle w:val="TableText"/>
              <w:ind w:left="2" w:right="159" w:firstLine="1"/>
              <w:spacing w:before="87" w:line="219" w:lineRule="auto"/>
              <w:rPr/>
            </w:pPr>
            <w:r>
              <w:rPr>
                <w:spacing w:val="9"/>
              </w:rPr>
              <w:t>未按规定</w:t>
            </w:r>
            <w:r>
              <w:rPr>
                <w:b/>
                <w:bCs/>
                <w:spacing w:val="9"/>
              </w:rPr>
              <w:t>确认收入</w:t>
            </w:r>
            <w:r>
              <w:rPr>
                <w:spacing w:val="9"/>
              </w:rPr>
              <w:t>；</w:t>
            </w:r>
            <w:r>
              <w:rPr>
                <w:b/>
                <w:bCs/>
                <w:spacing w:val="9"/>
              </w:rPr>
              <w:t>长期股权投资减值准备</w:t>
            </w:r>
            <w:r>
              <w:rPr>
                <w:spacing w:val="9"/>
              </w:rPr>
              <w:t>计提不充</w:t>
            </w:r>
            <w:r>
              <w:rPr>
                <w:spacing w:val="18"/>
              </w:rPr>
              <w:t xml:space="preserve"> </w:t>
            </w:r>
            <w:r>
              <w:rPr>
                <w:spacing w:val="9"/>
              </w:rPr>
              <w:t>分；</w:t>
            </w:r>
            <w:r>
              <w:rPr>
                <w:b/>
                <w:bCs/>
                <w:spacing w:val="9"/>
              </w:rPr>
              <w:t>存货余额</w:t>
            </w:r>
            <w:r>
              <w:rPr>
                <w:spacing w:val="9"/>
              </w:rPr>
              <w:t>披露不准确；</w:t>
            </w:r>
            <w:r>
              <w:rPr>
                <w:b/>
                <w:bCs/>
                <w:spacing w:val="9"/>
              </w:rPr>
              <w:t>关联交易</w:t>
            </w:r>
            <w:r>
              <w:rPr>
                <w:spacing w:val="9"/>
              </w:rPr>
              <w:t>未披露。</w:t>
            </w:r>
          </w:p>
        </w:tc>
      </w:tr>
      <w:tr>
        <w:trPr>
          <w:trHeight w:val="364" w:hRule="atLeast"/>
        </w:trPr>
        <w:tc>
          <w:tcPr>
            <w:tcW w:w="1276" w:type="dxa"/>
            <w:vAlign w:val="top"/>
          </w:tcPr>
          <w:p>
            <w:pPr>
              <w:pStyle w:val="TableText"/>
              <w:ind w:left="270"/>
              <w:spacing w:before="106" w:line="173" w:lineRule="auto"/>
              <w:rPr/>
            </w:pPr>
            <w:r>
              <w:rPr>
                <w:spacing w:val="3"/>
              </w:rPr>
              <w:t>603565</w:t>
            </w:r>
          </w:p>
        </w:tc>
        <w:tc>
          <w:tcPr>
            <w:tcW w:w="1215" w:type="dxa"/>
            <w:vAlign w:val="top"/>
          </w:tcPr>
          <w:p>
            <w:pPr>
              <w:pStyle w:val="TableText"/>
              <w:ind w:left="192"/>
              <w:spacing w:before="89" w:line="185" w:lineRule="auto"/>
              <w:rPr/>
            </w:pPr>
            <w:r>
              <w:rPr>
                <w:spacing w:val="5"/>
              </w:rPr>
              <w:t>中谷物流</w:t>
            </w:r>
          </w:p>
        </w:tc>
        <w:tc>
          <w:tcPr>
            <w:tcW w:w="1324" w:type="dxa"/>
            <w:vAlign w:val="top"/>
          </w:tcPr>
          <w:p>
            <w:pPr>
              <w:pStyle w:val="TableText"/>
              <w:ind w:left="236"/>
              <w:spacing w:before="92" w:line="183" w:lineRule="auto"/>
              <w:rPr/>
            </w:pPr>
            <w:r>
              <w:rPr>
                <w:spacing w:val="8"/>
              </w:rPr>
              <w:t>监管警示</w:t>
            </w:r>
          </w:p>
        </w:tc>
        <w:tc>
          <w:tcPr>
            <w:tcW w:w="5004" w:type="dxa"/>
            <w:vAlign w:val="top"/>
          </w:tcPr>
          <w:p>
            <w:pPr>
              <w:pStyle w:val="TableText"/>
              <w:ind w:left="2"/>
              <w:spacing w:before="92" w:line="183" w:lineRule="auto"/>
              <w:rPr/>
            </w:pPr>
            <w:r>
              <w:rPr>
                <w:spacing w:val="9"/>
              </w:rPr>
              <w:t>公司</w:t>
            </w:r>
            <w:r>
              <w:rPr>
                <w:b/>
                <w:bCs/>
                <w:spacing w:val="9"/>
              </w:rPr>
              <w:t>募集资金管理和使用</w:t>
            </w:r>
            <w:r>
              <w:rPr>
                <w:spacing w:val="9"/>
              </w:rPr>
              <w:t>不规范。</w:t>
            </w:r>
          </w:p>
        </w:tc>
      </w:tr>
      <w:tr>
        <w:trPr>
          <w:trHeight w:val="2172" w:hRule="atLeast"/>
        </w:trPr>
        <w:tc>
          <w:tcPr>
            <w:shd w:val="clear" w:fill="F2DCDC"/>
            <w:tcW w:w="1276" w:type="dxa"/>
            <w:vAlign w:val="top"/>
          </w:tcPr>
          <w:p>
            <w:pPr>
              <w:pStyle w:val="TableText"/>
              <w:ind w:left="270"/>
              <w:spacing w:before="105" w:line="179" w:lineRule="auto"/>
              <w:rPr/>
            </w:pPr>
            <w:r>
              <w:rPr>
                <w:spacing w:val="3"/>
              </w:rPr>
              <w:t>600771</w:t>
            </w:r>
          </w:p>
        </w:tc>
        <w:tc>
          <w:tcPr>
            <w:shd w:val="clear" w:fill="F2DCDC"/>
            <w:tcW w:w="1215" w:type="dxa"/>
            <w:vAlign w:val="top"/>
          </w:tcPr>
          <w:p>
            <w:pPr>
              <w:pStyle w:val="TableText"/>
              <w:ind w:left="283"/>
              <w:spacing w:before="92" w:line="189" w:lineRule="auto"/>
              <w:rPr/>
            </w:pPr>
            <w:r>
              <w:rPr>
                <w:spacing w:val="8"/>
              </w:rPr>
              <w:t>广誉远</w:t>
            </w:r>
          </w:p>
        </w:tc>
        <w:tc>
          <w:tcPr>
            <w:shd w:val="clear" w:fill="F2DCDC"/>
            <w:tcW w:w="1324" w:type="dxa"/>
            <w:vAlign w:val="top"/>
          </w:tcPr>
          <w:p>
            <w:pPr>
              <w:pStyle w:val="TableText"/>
              <w:ind w:left="26"/>
              <w:spacing w:before="92" w:line="189" w:lineRule="auto"/>
              <w:rPr/>
            </w:pPr>
            <w:r>
              <w:rPr>
                <w:spacing w:val="9"/>
              </w:rPr>
              <w:t>公开认定一定</w:t>
            </w:r>
          </w:p>
          <w:p>
            <w:pPr>
              <w:pStyle w:val="TableText"/>
              <w:ind w:left="26"/>
              <w:spacing w:before="92" w:line="187" w:lineRule="auto"/>
              <w:rPr/>
            </w:pPr>
            <w:r>
              <w:rPr>
                <w:spacing w:val="9"/>
              </w:rPr>
              <w:t>期限内不适合</w:t>
            </w:r>
          </w:p>
          <w:p>
            <w:pPr>
              <w:pStyle w:val="TableText"/>
              <w:ind w:left="27"/>
              <w:spacing w:before="88" w:line="190" w:lineRule="auto"/>
              <w:rPr/>
            </w:pPr>
            <w:r>
              <w:rPr>
                <w:spacing w:val="8"/>
              </w:rPr>
              <w:t>担任上市公司</w:t>
            </w:r>
          </w:p>
          <w:p>
            <w:pPr>
              <w:pStyle w:val="TableText"/>
              <w:ind w:left="27"/>
              <w:spacing w:before="89" w:line="189" w:lineRule="auto"/>
              <w:rPr/>
            </w:pPr>
            <w:r>
              <w:rPr>
                <w:spacing w:val="8"/>
              </w:rPr>
              <w:t>董事、监事和</w:t>
            </w:r>
          </w:p>
          <w:p>
            <w:pPr>
              <w:pStyle w:val="TableText"/>
              <w:ind w:left="27"/>
              <w:spacing w:before="88" w:line="190" w:lineRule="auto"/>
              <w:rPr/>
            </w:pPr>
            <w:r>
              <w:rPr>
                <w:spacing w:val="8"/>
              </w:rPr>
              <w:t>高级管理人员</w:t>
            </w:r>
          </w:p>
          <w:p>
            <w:pPr>
              <w:pStyle w:val="TableText"/>
              <w:ind w:left="139"/>
              <w:spacing w:before="92" w:line="187" w:lineRule="auto"/>
              <w:rPr/>
            </w:pPr>
            <w:r>
              <w:rPr>
                <w:spacing w:val="7"/>
              </w:rPr>
              <w:t>、公开谴责</w:t>
            </w:r>
          </w:p>
        </w:tc>
        <w:tc>
          <w:tcPr>
            <w:shd w:val="clear" w:fill="F2DCDC"/>
            <w:tcW w:w="5004" w:type="dxa"/>
            <w:vAlign w:val="top"/>
          </w:tcPr>
          <w:p>
            <w:pPr>
              <w:pStyle w:val="TableText"/>
              <w:ind w:left="4" w:right="152" w:firstLine="7"/>
              <w:spacing w:before="90" w:line="221" w:lineRule="auto"/>
              <w:rPr/>
            </w:pPr>
            <w:r>
              <w:rPr>
                <w:spacing w:val="7"/>
              </w:rPr>
              <w:t>2016年至2022年年度报告、</w:t>
            </w:r>
            <w:r>
              <w:rPr>
                <w:spacing w:val="-36"/>
              </w:rPr>
              <w:t xml:space="preserve"> </w:t>
            </w:r>
            <w:r>
              <w:rPr>
                <w:spacing w:val="7"/>
              </w:rPr>
              <w:t>2023年半年报</w:t>
            </w:r>
            <w:r>
              <w:rPr>
                <w:spacing w:val="6"/>
              </w:rPr>
              <w:t>存在</w:t>
            </w:r>
            <w:r>
              <w:rPr>
                <w:b/>
                <w:bCs/>
                <w:spacing w:val="6"/>
              </w:rPr>
              <w:t>虚假</w:t>
            </w:r>
            <w:r>
              <w:rPr>
                <w:b/>
                <w:bCs/>
              </w:rPr>
              <w:t xml:space="preserve"> </w:t>
            </w:r>
            <w:r>
              <w:rPr>
                <w:b/>
                <w:bCs/>
                <w:spacing w:val="4"/>
              </w:rPr>
              <w:t>记载。</w:t>
            </w:r>
          </w:p>
        </w:tc>
      </w:tr>
    </w:tbl>
    <w:p>
      <w:pPr>
        <w:pStyle w:val="BodyText"/>
        <w:spacing w:line="219" w:lineRule="exact"/>
        <w:rPr>
          <w:sz w:val="19"/>
        </w:rPr>
      </w:pPr>
      <w:r/>
    </w:p>
    <w:p>
      <w:pPr>
        <w:spacing w:line="219" w:lineRule="exact"/>
        <w:sectPr>
          <w:pgSz w:w="11910" w:h="16840"/>
          <w:pgMar w:top="374" w:right="575" w:bottom="400" w:left="463" w:header="0" w:footer="0" w:gutter="0"/>
        </w:sectPr>
        <w:rPr>
          <w:sz w:val="19"/>
          <w:szCs w:val="19"/>
        </w:rPr>
      </w:pPr>
    </w:p>
    <w:p>
      <w:pPr>
        <w:ind w:left="6"/>
        <w:spacing w:before="26"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rPr>
        <w:t>（</w:t>
      </w:r>
      <w:r>
        <w:rPr>
          <w:rFonts w:ascii="Microsoft YaHei" w:hAnsi="Microsoft YaHei" w:eastAsia="Microsoft YaHei" w:cs="Microsoft YaHei"/>
          <w:sz w:val="24"/>
          <w:szCs w:val="24"/>
          <w:b/>
          <w:bCs/>
          <w:color w:val="333333"/>
          <w:spacing w:val="66"/>
          <w:w w:val="101"/>
        </w:rPr>
        <w:t xml:space="preserve"> </w:t>
      </w:r>
      <w:r>
        <w:rPr>
          <w:rFonts w:ascii="Microsoft YaHei" w:hAnsi="Microsoft YaHei" w:eastAsia="Microsoft YaHei" w:cs="Microsoft YaHei"/>
          <w:sz w:val="24"/>
          <w:szCs w:val="24"/>
          <w:b/>
          <w:bCs/>
          <w:color w:val="333333"/>
          <w:spacing w:val="-10"/>
        </w:rPr>
        <w:t>2</w:t>
      </w:r>
      <w:r>
        <w:rPr>
          <w:rFonts w:ascii="Microsoft YaHei" w:hAnsi="Microsoft YaHei" w:eastAsia="Microsoft YaHei" w:cs="Microsoft YaHei"/>
          <w:sz w:val="24"/>
          <w:szCs w:val="24"/>
          <w:b/>
          <w:bCs/>
          <w:color w:val="333333"/>
          <w:spacing w:val="62"/>
          <w:w w:val="101"/>
        </w:rPr>
        <w:t xml:space="preserve"> </w:t>
      </w:r>
      <w:r>
        <w:rPr>
          <w:rFonts w:ascii="Microsoft YaHei" w:hAnsi="Microsoft YaHei" w:eastAsia="Microsoft YaHei" w:cs="Microsoft YaHei"/>
          <w:sz w:val="24"/>
          <w:szCs w:val="24"/>
          <w:b/>
          <w:bCs/>
          <w:color w:val="333333"/>
          <w:spacing w:val="-10"/>
        </w:rPr>
        <w:t>）函件统计</w:t>
      </w:r>
    </w:p>
    <w:p>
      <w:pPr>
        <w:ind w:left="647"/>
        <w:spacing w:before="291"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2024年4月15日-4月21日</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4"/>
        </w:rPr>
        <w:t>，上交所</w:t>
      </w:r>
      <w:r>
        <w:rPr>
          <w:rFonts w:ascii="Microsoft YaHei" w:hAnsi="Microsoft YaHei" w:eastAsia="Microsoft YaHei" w:cs="Microsoft YaHei"/>
          <w:sz w:val="22"/>
          <w:szCs w:val="22"/>
          <w:spacing w:val="-5"/>
        </w:rPr>
        <w:t>发出1份监管问询函。</w:t>
      </w:r>
    </w:p>
    <w:p>
      <w:pPr>
        <w:spacing w:before="26"/>
        <w:rPr/>
      </w:pPr>
      <w:r/>
    </w:p>
    <w:p>
      <w:pPr>
        <w:spacing w:before="25"/>
        <w:rPr/>
      </w:pPr>
      <w:r/>
    </w:p>
    <w:tbl>
      <w:tblPr>
        <w:tblStyle w:val="TableNormal"/>
        <w:tblW w:w="8837" w:type="dxa"/>
        <w:tblInd w:w="778"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2" w:hRule="atLeast"/>
        </w:trPr>
        <w:tc>
          <w:tcPr>
            <w:shd w:val="clear" w:fill="C0504D"/>
            <w:tcW w:w="1276" w:type="dxa"/>
            <w:vAlign w:val="top"/>
            <w:tcBorders>
              <w:bottom w:val="single" w:color="C0504D"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1"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6"/>
              <w:spacing w:before="92" w:line="188" w:lineRule="auto"/>
              <w:rPr/>
            </w:pPr>
            <w:r>
              <w:rPr>
                <w:b/>
                <w:bCs/>
                <w:color w:val="FFFFFF"/>
                <w:spacing w:val="5"/>
              </w:rPr>
              <w:t>函件类别</w:t>
            </w:r>
          </w:p>
        </w:tc>
      </w:tr>
      <w:tr>
        <w:trPr>
          <w:trHeight w:val="362" w:hRule="atLeast"/>
        </w:trPr>
        <w:tc>
          <w:tcPr>
            <w:tcW w:w="1276" w:type="dxa"/>
            <w:vAlign w:val="top"/>
            <w:tcBorders>
              <w:top w:val="single" w:color="C0504D" w:sz="10" w:space="0"/>
            </w:tcBorders>
          </w:tcPr>
          <w:p>
            <w:pPr>
              <w:pStyle w:val="TableText"/>
              <w:ind w:left="270"/>
              <w:spacing w:before="98" w:line="177" w:lineRule="auto"/>
              <w:rPr/>
            </w:pPr>
            <w:r>
              <w:rPr>
                <w:spacing w:val="3"/>
              </w:rPr>
              <w:t>600766</w:t>
            </w:r>
          </w:p>
        </w:tc>
        <w:tc>
          <w:tcPr>
            <w:tcW w:w="1215" w:type="dxa"/>
            <w:vAlign w:val="top"/>
            <w:tcBorders>
              <w:top w:val="single" w:color="C0504D" w:sz="10" w:space="0"/>
            </w:tcBorders>
          </w:tcPr>
          <w:p>
            <w:pPr>
              <w:pStyle w:val="TableText"/>
              <w:ind w:left="226"/>
              <w:spacing w:before="86" w:line="186" w:lineRule="auto"/>
              <w:rPr/>
            </w:pPr>
            <w:r>
              <w:rPr>
                <w:spacing w:val="8"/>
              </w:rPr>
              <w:t>*</w:t>
            </w:r>
            <w:r>
              <w:rPr/>
              <w:t>ST</w:t>
            </w:r>
            <w:r>
              <w:rPr>
                <w:spacing w:val="8"/>
              </w:rPr>
              <w:t>园城</w:t>
            </w:r>
          </w:p>
        </w:tc>
        <w:tc>
          <w:tcPr>
            <w:tcW w:w="6346" w:type="dxa"/>
            <w:vAlign w:val="top"/>
            <w:tcBorders>
              <w:top w:val="single" w:color="C0504D" w:sz="10" w:space="0"/>
            </w:tcBorders>
          </w:tcPr>
          <w:p>
            <w:pPr>
              <w:pStyle w:val="TableText"/>
              <w:ind w:left="2862"/>
              <w:spacing w:before="84" w:line="187" w:lineRule="auto"/>
              <w:rPr/>
            </w:pPr>
            <w:r>
              <w:rPr>
                <w:spacing w:val="4"/>
              </w:rPr>
              <w:t>问询函</w:t>
            </w:r>
          </w:p>
        </w:tc>
      </w:tr>
    </w:tbl>
    <w:p>
      <w:pPr>
        <w:pStyle w:val="BodyText"/>
        <w:spacing w:line="269" w:lineRule="auto"/>
        <w:rPr/>
      </w:pPr>
      <w:r/>
    </w:p>
    <w:p>
      <w:pPr>
        <w:pStyle w:val="BodyText"/>
        <w:spacing w:line="269" w:lineRule="auto"/>
        <w:rPr/>
      </w:pPr>
      <w:r/>
    </w:p>
    <w:p>
      <w:pPr>
        <w:pStyle w:val="BodyText"/>
        <w:spacing w:line="270" w:lineRule="auto"/>
        <w:rPr/>
      </w:pPr>
      <w:r/>
    </w:p>
    <w:p>
      <w:pPr>
        <w:pStyle w:val="BodyText"/>
        <w:spacing w:line="270" w:lineRule="auto"/>
        <w:rPr/>
      </w:pPr>
      <w:r/>
    </w:p>
    <w:p>
      <w:pPr>
        <w:pStyle w:val="BodyText"/>
        <w:spacing w:line="270" w:lineRule="auto"/>
        <w:rPr/>
      </w:pPr>
      <w:r/>
    </w:p>
    <w:p>
      <w:pPr>
        <w:ind w:left="505"/>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ind w:firstLine="482"/>
        <w:spacing w:before="315"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2024年4月15日-4月21日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4"/>
        </w:rPr>
        <w:t>，上交所对59起拉抬打压、虚</w:t>
      </w:r>
      <w:r>
        <w:rPr>
          <w:rFonts w:ascii="Microsoft YaHei" w:hAnsi="Microsoft YaHei" w:eastAsia="Microsoft YaHei" w:cs="Microsoft YaHei"/>
          <w:sz w:val="24"/>
          <w:szCs w:val="24"/>
          <w:spacing w:val="-5"/>
        </w:rPr>
        <w:t>假申报等证券异常交易行为采取了书面警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示等监管措施，对16起上市公司重大事项等进行专项核查</w:t>
      </w:r>
      <w:r>
        <w:rPr>
          <w:rFonts w:ascii="Microsoft YaHei" w:hAnsi="Microsoft YaHei" w:eastAsia="Microsoft YaHei" w:cs="Microsoft YaHei"/>
          <w:sz w:val="24"/>
          <w:szCs w:val="24"/>
          <w:spacing w:val="-26"/>
        </w:rPr>
        <w:t xml:space="preserve"> </w:t>
      </w:r>
      <w:r>
        <w:rPr>
          <w:rFonts w:ascii="Microsoft YaHei" w:hAnsi="Microsoft YaHei" w:eastAsia="Microsoft YaHei" w:cs="Microsoft YaHei"/>
          <w:sz w:val="24"/>
          <w:szCs w:val="24"/>
          <w:spacing w:val="-6"/>
        </w:rPr>
        <w:t>，向证监会上报涉嫌违法违规案件线索2起。</w:t>
      </w:r>
    </w:p>
    <w:p>
      <w:pPr>
        <w:spacing w:line="183" w:lineRule="auto"/>
        <w:sectPr>
          <w:pgSz w:w="11910" w:h="16840"/>
          <w:pgMar w:top="400" w:right="510" w:bottom="400" w:left="887" w:header="0" w:footer="0" w:gutter="0"/>
        </w:sectPr>
        <w:rPr>
          <w:rFonts w:ascii="Microsoft YaHei" w:hAnsi="Microsoft YaHei" w:eastAsia="Microsoft YaHei" w:cs="Microsoft YaHei"/>
          <w:sz w:val="24"/>
          <w:szCs w:val="24"/>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9"/>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41"/>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872" w:firstLine="436"/>
        <w:spacing w:before="325"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w:t>
      </w:r>
      <w:r>
        <w:rPr>
          <w:rFonts w:ascii="Microsoft YaHei" w:hAnsi="Microsoft YaHei" w:eastAsia="Microsoft YaHei" w:cs="Microsoft YaHei"/>
          <w:sz w:val="22"/>
          <w:szCs w:val="22"/>
          <w:spacing w:val="-5"/>
        </w:rPr>
        <w:t>4年4月15日-4月21日，深交所发出8份监管函，对3宗行为予以纪律</w:t>
      </w:r>
      <w:r>
        <w:rPr>
          <w:rFonts w:ascii="Microsoft YaHei" w:hAnsi="Microsoft YaHei" w:eastAsia="Microsoft YaHei" w:cs="Microsoft YaHei"/>
          <w:sz w:val="22"/>
          <w:szCs w:val="22"/>
          <w:spacing w:val="-6"/>
        </w:rPr>
        <w:t>处分；共发出关注函22份，</w:t>
      </w:r>
      <w:r>
        <w:rPr>
          <w:rFonts w:ascii="Microsoft YaHei" w:hAnsi="Microsoft YaHei" w:eastAsia="Microsoft YaHei" w:cs="Microsoft YaHei"/>
          <w:sz w:val="22"/>
          <w:szCs w:val="22"/>
          <w:spacing w:val="-3"/>
        </w:rPr>
        <w:t>年</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报问询函9份。</w:t>
      </w:r>
    </w:p>
    <w:p>
      <w:pPr>
        <w:pStyle w:val="BodyText"/>
        <w:spacing w:line="241" w:lineRule="auto"/>
        <w:rPr/>
      </w:pPr>
      <w:r/>
    </w:p>
    <w:p>
      <w:pPr>
        <w:ind w:firstLine="1156"/>
        <w:spacing w:line="4331" w:lineRule="exact"/>
        <w:rPr/>
      </w:pPr>
      <w:r>
        <w:rPr>
          <w:position w:val="-86"/>
        </w:rPr>
        <w:drawing>
          <wp:inline distT="0" distB="0" distL="0" distR="0">
            <wp:extent cx="5493384" cy="2750184"/>
            <wp:effectExtent l="0" t="0" r="0" b="0"/>
            <wp:docPr id="32" name="IM 32"/>
            <wp:cNvGraphicFramePr/>
            <a:graphic>
              <a:graphicData uri="http://schemas.openxmlformats.org/drawingml/2006/picture">
                <pic:pic>
                  <pic:nvPicPr>
                    <pic:cNvPr id="32" name="IM 32"/>
                    <pic:cNvPicPr/>
                  </pic:nvPicPr>
                  <pic:blipFill>
                    <a:blip r:embed="rId21"/>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  1</w:t>
      </w:r>
      <w:r>
        <w:rPr>
          <w:rFonts w:ascii="Microsoft YaHei" w:hAnsi="Microsoft YaHei" w:eastAsia="Microsoft YaHei" w:cs="Microsoft YaHei"/>
          <w:sz w:val="24"/>
          <w:szCs w:val="24"/>
          <w:b/>
          <w:bCs/>
          <w:spacing w:val="72"/>
        </w:rPr>
        <w:t xml:space="preserve"> </w:t>
      </w:r>
      <w:r>
        <w:rPr>
          <w:rFonts w:ascii="Microsoft YaHei" w:hAnsi="Microsoft YaHei" w:eastAsia="Microsoft YaHei" w:cs="Microsoft YaHei"/>
          <w:sz w:val="24"/>
          <w:szCs w:val="24"/>
          <w:b/>
          <w:bCs/>
          <w:spacing w:val="-6"/>
        </w:rPr>
        <w:t>）纪律处分及监管措施</w:t>
      </w:r>
    </w:p>
    <w:p>
      <w:pPr>
        <w:spacing w:line="192" w:lineRule="exact"/>
        <w:rPr/>
      </w:pPr>
      <w:r/>
    </w:p>
    <w:tbl>
      <w:tblPr>
        <w:tblStyle w:val="TableNormal"/>
        <w:tblW w:w="9016" w:type="dxa"/>
        <w:tblInd w:w="97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8"/>
              <w:spacing w:before="95"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5"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3"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3" w:line="184" w:lineRule="auto"/>
              <w:rPr>
                <w:sz w:val="22"/>
                <w:szCs w:val="22"/>
              </w:rPr>
            </w:pPr>
            <w:r>
              <w:rPr>
                <w:sz w:val="22"/>
                <w:szCs w:val="22"/>
                <w:b/>
                <w:bCs/>
                <w:color w:val="FFFFFF"/>
                <w:spacing w:val="-1"/>
              </w:rPr>
              <w:t>处理事由</w:t>
            </w:r>
          </w:p>
        </w:tc>
      </w:tr>
      <w:tr>
        <w:trPr>
          <w:trHeight w:val="723" w:hRule="atLeast"/>
        </w:trPr>
        <w:tc>
          <w:tcPr>
            <w:tcW w:w="1471" w:type="dxa"/>
            <w:vAlign w:val="top"/>
          </w:tcPr>
          <w:p>
            <w:pPr>
              <w:pStyle w:val="TableText"/>
              <w:ind w:left="377"/>
              <w:spacing w:before="280" w:line="178" w:lineRule="auto"/>
              <w:rPr/>
            </w:pPr>
            <w:r>
              <w:rPr>
                <w:spacing w:val="3"/>
              </w:rPr>
              <w:t>300495</w:t>
            </w:r>
          </w:p>
        </w:tc>
        <w:tc>
          <w:tcPr>
            <w:tcW w:w="1484" w:type="dxa"/>
            <w:vAlign w:val="top"/>
          </w:tcPr>
          <w:p>
            <w:pPr>
              <w:pStyle w:val="TableText"/>
              <w:ind w:left="366"/>
              <w:spacing w:before="264" w:line="190" w:lineRule="auto"/>
              <w:rPr/>
            </w:pPr>
            <w:r>
              <w:rPr>
                <w:spacing w:val="8"/>
              </w:rPr>
              <w:t>*</w:t>
            </w:r>
            <w:r>
              <w:rPr/>
              <w:t>ST</w:t>
            </w:r>
            <w:r>
              <w:rPr>
                <w:spacing w:val="8"/>
              </w:rPr>
              <w:t>美尚</w:t>
            </w:r>
          </w:p>
        </w:tc>
        <w:tc>
          <w:tcPr>
            <w:tcW w:w="1498" w:type="dxa"/>
            <w:vAlign w:val="top"/>
          </w:tcPr>
          <w:p>
            <w:pPr>
              <w:pStyle w:val="TableText"/>
              <w:ind w:left="434"/>
              <w:spacing w:before="265" w:line="189" w:lineRule="auto"/>
              <w:rPr/>
            </w:pPr>
            <w:r>
              <w:rPr>
                <w:spacing w:val="8"/>
              </w:rPr>
              <w:t>监管函</w:t>
            </w:r>
          </w:p>
        </w:tc>
        <w:tc>
          <w:tcPr>
            <w:tcW w:w="4563" w:type="dxa"/>
            <w:vAlign w:val="top"/>
          </w:tcPr>
          <w:p>
            <w:pPr>
              <w:pStyle w:val="TableText"/>
              <w:ind w:left="108" w:right="252"/>
              <w:spacing w:before="86" w:line="219" w:lineRule="auto"/>
              <w:rPr/>
            </w:pPr>
            <w:r>
              <w:rPr>
                <w:spacing w:val="9"/>
              </w:rPr>
              <w:t>未及时披露</w:t>
            </w:r>
            <w:r>
              <w:rPr>
                <w:b/>
                <w:bCs/>
                <w:spacing w:val="9"/>
              </w:rPr>
              <w:t>控股股东行政处罚</w:t>
            </w:r>
            <w:r>
              <w:rPr>
                <w:spacing w:val="9"/>
              </w:rPr>
              <w:t>信息；未按规定</w:t>
            </w:r>
            <w:r>
              <w:rPr>
                <w:spacing w:val="16"/>
              </w:rPr>
              <w:t xml:space="preserve"> </w:t>
            </w:r>
            <w:r>
              <w:rPr>
                <w:spacing w:val="8"/>
              </w:rPr>
              <w:t>披露相关</w:t>
            </w:r>
            <w:r>
              <w:rPr>
                <w:b/>
                <w:bCs/>
                <w:spacing w:val="8"/>
              </w:rPr>
              <w:t>关联交易</w:t>
            </w:r>
            <w:r>
              <w:rPr>
                <w:spacing w:val="8"/>
              </w:rPr>
              <w:t>。</w:t>
            </w:r>
          </w:p>
        </w:tc>
      </w:tr>
      <w:tr>
        <w:trPr>
          <w:trHeight w:val="1443" w:hRule="atLeast"/>
        </w:trPr>
        <w:tc>
          <w:tcPr>
            <w:shd w:val="clear" w:fill="B8CCE4"/>
            <w:tcW w:w="1471" w:type="dxa"/>
            <w:vAlign w:val="top"/>
          </w:tcPr>
          <w:p>
            <w:pPr>
              <w:spacing w:line="277" w:lineRule="auto"/>
              <w:rPr>
                <w:rFonts w:ascii="Arial"/>
                <w:sz w:val="21"/>
              </w:rPr>
            </w:pPr>
            <w:r/>
          </w:p>
          <w:p>
            <w:pPr>
              <w:spacing w:line="278" w:lineRule="auto"/>
              <w:rPr>
                <w:rFonts w:ascii="Arial"/>
                <w:sz w:val="21"/>
              </w:rPr>
            </w:pPr>
            <w:r/>
          </w:p>
          <w:p>
            <w:pPr>
              <w:pStyle w:val="TableText"/>
              <w:ind w:left="377"/>
              <w:spacing w:before="86" w:line="178" w:lineRule="auto"/>
              <w:rPr/>
            </w:pPr>
            <w:r>
              <w:rPr>
                <w:spacing w:val="3"/>
              </w:rPr>
              <w:t>300742</w:t>
            </w:r>
          </w:p>
        </w:tc>
        <w:tc>
          <w:tcPr>
            <w:shd w:val="clear" w:fill="B8CCE4"/>
            <w:tcW w:w="1484" w:type="dxa"/>
            <w:vAlign w:val="top"/>
          </w:tcPr>
          <w:p>
            <w:pPr>
              <w:spacing w:line="271" w:lineRule="auto"/>
              <w:rPr>
                <w:rFonts w:ascii="Arial"/>
                <w:sz w:val="21"/>
              </w:rPr>
            </w:pPr>
            <w:r/>
          </w:p>
          <w:p>
            <w:pPr>
              <w:spacing w:line="271" w:lineRule="auto"/>
              <w:rPr>
                <w:rFonts w:ascii="Arial"/>
                <w:sz w:val="21"/>
              </w:rPr>
            </w:pPr>
            <w:r/>
          </w:p>
          <w:p>
            <w:pPr>
              <w:pStyle w:val="TableText"/>
              <w:ind w:left="366"/>
              <w:spacing w:before="86" w:line="188" w:lineRule="auto"/>
              <w:rPr/>
            </w:pPr>
            <w:r>
              <w:rPr>
                <w:spacing w:val="8"/>
              </w:rPr>
              <w:t>*</w:t>
            </w:r>
            <w:r>
              <w:rPr/>
              <w:t>ST</w:t>
            </w:r>
            <w:r>
              <w:rPr>
                <w:spacing w:val="8"/>
              </w:rPr>
              <w:t>越博</w:t>
            </w:r>
          </w:p>
        </w:tc>
        <w:tc>
          <w:tcPr>
            <w:shd w:val="clear" w:fill="B8CCE4"/>
            <w:tcW w:w="1498" w:type="dxa"/>
            <w:vAlign w:val="top"/>
          </w:tcPr>
          <w:p>
            <w:pPr>
              <w:spacing w:line="270"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8" w:right="149" w:firstLine="2"/>
              <w:spacing w:before="48" w:line="242" w:lineRule="auto"/>
              <w:jc w:val="both"/>
              <w:rPr/>
            </w:pPr>
            <w:r>
              <w:rPr>
                <w:spacing w:val="9"/>
              </w:rPr>
              <w:t>南京越博动力系统股份有限公司披露的《关于</w:t>
            </w:r>
            <w:r>
              <w:rPr>
                <w:spacing w:val="3"/>
              </w:rPr>
              <w:t xml:space="preserve">   </w:t>
            </w:r>
            <w:r>
              <w:rPr>
                <w:spacing w:val="9"/>
              </w:rPr>
              <w:t>聘任公司总经理的公告》《关于补选公司第三</w:t>
            </w:r>
            <w:r>
              <w:rPr>
                <w:spacing w:val="4"/>
              </w:rPr>
              <w:t xml:space="preserve">   </w:t>
            </w:r>
            <w:r>
              <w:rPr>
                <w:spacing w:val="9"/>
              </w:rPr>
              <w:t>届董事会董事</w:t>
            </w:r>
            <w:r>
              <w:rPr/>
              <w:t xml:space="preserve">  </w:t>
            </w:r>
            <w:r>
              <w:rPr>
                <w:spacing w:val="9"/>
              </w:rPr>
              <w:t>的公告》中关于</w:t>
            </w:r>
            <w:r>
              <w:rPr>
                <w:b/>
                <w:bCs/>
                <w:spacing w:val="9"/>
              </w:rPr>
              <w:t>候选人不是失信</w:t>
            </w:r>
            <w:r>
              <w:rPr>
                <w:b/>
                <w:bCs/>
                <w:spacing w:val="1"/>
              </w:rPr>
              <w:t xml:space="preserve"> </w:t>
            </w:r>
            <w:r>
              <w:rPr>
                <w:b/>
                <w:bCs/>
                <w:spacing w:val="8"/>
              </w:rPr>
              <w:t>被执行人</w:t>
            </w:r>
            <w:r>
              <w:rPr>
                <w:spacing w:val="8"/>
              </w:rPr>
              <w:t>的表述与事实不符。</w:t>
            </w:r>
          </w:p>
        </w:tc>
      </w:tr>
      <w:tr>
        <w:trPr>
          <w:trHeight w:val="723" w:hRule="atLeast"/>
        </w:trPr>
        <w:tc>
          <w:tcPr>
            <w:tcW w:w="1471" w:type="dxa"/>
            <w:vAlign w:val="top"/>
          </w:tcPr>
          <w:p>
            <w:pPr>
              <w:pStyle w:val="TableText"/>
              <w:ind w:left="372"/>
              <w:spacing w:before="286" w:line="178" w:lineRule="auto"/>
              <w:rPr/>
            </w:pPr>
            <w:r>
              <w:rPr>
                <w:spacing w:val="3"/>
              </w:rPr>
              <w:t>002085</w:t>
            </w:r>
          </w:p>
        </w:tc>
        <w:tc>
          <w:tcPr>
            <w:tcW w:w="1484" w:type="dxa"/>
            <w:vAlign w:val="top"/>
          </w:tcPr>
          <w:p>
            <w:pPr>
              <w:pStyle w:val="TableText"/>
              <w:ind w:left="321"/>
              <w:spacing w:before="271" w:line="189" w:lineRule="auto"/>
              <w:rPr/>
            </w:pPr>
            <w:r>
              <w:rPr>
                <w:spacing w:val="8"/>
              </w:rPr>
              <w:t>万丰奥威</w:t>
            </w:r>
          </w:p>
        </w:tc>
        <w:tc>
          <w:tcPr>
            <w:tcW w:w="1498" w:type="dxa"/>
            <w:vAlign w:val="top"/>
          </w:tcPr>
          <w:p>
            <w:pPr>
              <w:pStyle w:val="TableText"/>
              <w:ind w:left="434"/>
              <w:spacing w:before="271" w:line="189" w:lineRule="auto"/>
              <w:rPr/>
            </w:pPr>
            <w:r>
              <w:rPr>
                <w:spacing w:val="8"/>
              </w:rPr>
              <w:t>监管函</w:t>
            </w:r>
          </w:p>
        </w:tc>
        <w:tc>
          <w:tcPr>
            <w:tcW w:w="4563" w:type="dxa"/>
            <w:vAlign w:val="top"/>
          </w:tcPr>
          <w:p>
            <w:pPr>
              <w:pStyle w:val="TableText"/>
              <w:ind w:left="107" w:right="254"/>
              <w:spacing w:before="89" w:line="218" w:lineRule="auto"/>
              <w:rPr/>
            </w:pPr>
            <w:r>
              <w:rPr>
                <w:spacing w:val="8"/>
              </w:rPr>
              <w:t>公司在互动易平台的</w:t>
            </w:r>
            <w:r>
              <w:rPr>
                <w:b/>
                <w:bCs/>
                <w:spacing w:val="8"/>
              </w:rPr>
              <w:t>回复表述不准确</w:t>
            </w:r>
            <w:r>
              <w:rPr>
                <w:b/>
                <w:bCs/>
                <w:spacing w:val="-26"/>
              </w:rPr>
              <w:t xml:space="preserve"> </w:t>
            </w:r>
            <w:r>
              <w:rPr>
                <w:spacing w:val="8"/>
              </w:rPr>
              <w:t>，存在误</w:t>
            </w:r>
            <w:r>
              <w:rPr/>
              <w:t xml:space="preserve"> </w:t>
            </w:r>
            <w:r>
              <w:rPr>
                <w:spacing w:val="8"/>
              </w:rPr>
              <w:t>导性陈述的情形。</w:t>
            </w:r>
          </w:p>
        </w:tc>
      </w:tr>
      <w:tr>
        <w:trPr>
          <w:trHeight w:val="724" w:hRule="atLeast"/>
        </w:trPr>
        <w:tc>
          <w:tcPr>
            <w:shd w:val="clear" w:fill="B8CCE4"/>
            <w:tcW w:w="1471" w:type="dxa"/>
            <w:vAlign w:val="top"/>
          </w:tcPr>
          <w:p>
            <w:pPr>
              <w:pStyle w:val="TableText"/>
              <w:ind w:left="377"/>
              <w:spacing w:before="290" w:line="178" w:lineRule="auto"/>
              <w:rPr/>
            </w:pPr>
            <w:r>
              <w:rPr>
                <w:spacing w:val="3"/>
              </w:rPr>
              <w:t>300863</w:t>
            </w:r>
          </w:p>
        </w:tc>
        <w:tc>
          <w:tcPr>
            <w:shd w:val="clear" w:fill="B8CCE4"/>
            <w:tcW w:w="1484" w:type="dxa"/>
            <w:vAlign w:val="top"/>
          </w:tcPr>
          <w:p>
            <w:pPr>
              <w:pStyle w:val="TableText"/>
              <w:ind w:left="429"/>
              <w:spacing w:before="274" w:line="190" w:lineRule="auto"/>
              <w:rPr/>
            </w:pPr>
            <w:r>
              <w:rPr>
                <w:spacing w:val="7"/>
              </w:rPr>
              <w:t>卡倍亿</w:t>
            </w:r>
          </w:p>
        </w:tc>
        <w:tc>
          <w:tcPr>
            <w:shd w:val="clear" w:fill="B8CCE4"/>
            <w:tcW w:w="1498" w:type="dxa"/>
            <w:vAlign w:val="top"/>
          </w:tcPr>
          <w:p>
            <w:pPr>
              <w:pStyle w:val="TableText"/>
              <w:ind w:left="434"/>
              <w:spacing w:before="275" w:line="189" w:lineRule="auto"/>
              <w:rPr/>
            </w:pPr>
            <w:r>
              <w:rPr>
                <w:spacing w:val="8"/>
              </w:rPr>
              <w:t>监管函</w:t>
            </w:r>
          </w:p>
        </w:tc>
        <w:tc>
          <w:tcPr>
            <w:shd w:val="clear" w:fill="B8CCE4"/>
            <w:tcW w:w="4563" w:type="dxa"/>
            <w:vAlign w:val="top"/>
          </w:tcPr>
          <w:p>
            <w:pPr>
              <w:pStyle w:val="TableText"/>
              <w:ind w:left="109" w:right="254"/>
              <w:spacing w:before="96" w:line="216" w:lineRule="auto"/>
              <w:rPr/>
            </w:pPr>
            <w:r>
              <w:rPr>
                <w:spacing w:val="9"/>
              </w:rPr>
              <w:t>董事、副总经理亲属</w:t>
            </w:r>
            <w:r>
              <w:rPr>
                <w:b/>
                <w:bCs/>
                <w:spacing w:val="9"/>
              </w:rPr>
              <w:t>短线交易可转债</w:t>
            </w:r>
            <w:r>
              <w:rPr>
                <w:spacing w:val="9"/>
              </w:rPr>
              <w:t>且违反不</w:t>
            </w:r>
            <w:r>
              <w:rPr>
                <w:spacing w:val="12"/>
              </w:rPr>
              <w:t xml:space="preserve"> </w:t>
            </w:r>
            <w:r>
              <w:rPr>
                <w:spacing w:val="6"/>
              </w:rPr>
              <w:t>减持</w:t>
            </w:r>
            <w:r>
              <w:rPr>
                <w:b/>
                <w:bCs/>
                <w:spacing w:val="6"/>
              </w:rPr>
              <w:t>承诺。</w:t>
            </w:r>
          </w:p>
        </w:tc>
      </w:tr>
      <w:tr>
        <w:trPr>
          <w:trHeight w:val="1802" w:hRule="atLeast"/>
        </w:trPr>
        <w:tc>
          <w:tcPr>
            <w:tcW w:w="1471"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72"/>
              <w:spacing w:before="86" w:line="178" w:lineRule="auto"/>
              <w:rPr/>
            </w:pPr>
            <w:r>
              <w:rPr>
                <w:spacing w:val="3"/>
              </w:rPr>
              <w:t>002860</w:t>
            </w:r>
          </w:p>
        </w:tc>
        <w:tc>
          <w:tcPr>
            <w:tcW w:w="148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27"/>
              <w:spacing w:before="85" w:line="189" w:lineRule="auto"/>
              <w:rPr/>
            </w:pPr>
            <w:r>
              <w:rPr>
                <w:spacing w:val="8"/>
              </w:rPr>
              <w:t>星帅尔</w:t>
            </w:r>
          </w:p>
        </w:tc>
        <w:tc>
          <w:tcPr>
            <w:tcW w:w="1498"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6" w:right="252" w:firstLine="1"/>
              <w:spacing w:before="97" w:line="237" w:lineRule="auto"/>
              <w:rPr/>
            </w:pPr>
            <w:r>
              <w:rPr>
                <w:spacing w:val="9"/>
              </w:rPr>
              <w:t>公司前期收购浙江特种电机股份有限公司股权</w:t>
            </w:r>
            <w:r>
              <w:rPr>
                <w:spacing w:val="14"/>
              </w:rPr>
              <w:t xml:space="preserve"> </w:t>
            </w:r>
            <w:r>
              <w:rPr>
                <w:spacing w:val="8"/>
              </w:rPr>
              <w:t>时</w:t>
            </w:r>
            <w:r>
              <w:rPr>
                <w:spacing w:val="-24"/>
              </w:rPr>
              <w:t xml:space="preserve"> </w:t>
            </w:r>
            <w:r>
              <w:rPr>
                <w:spacing w:val="8"/>
              </w:rPr>
              <w:t>，浙特电机财务报表附注和评估报告特别事</w:t>
            </w:r>
            <w:r>
              <w:rPr/>
              <w:t xml:space="preserve"> </w:t>
            </w:r>
            <w:r>
              <w:rPr>
                <w:spacing w:val="5"/>
              </w:rPr>
              <w:t>项未披露公示中的</w:t>
            </w:r>
            <w:r>
              <w:rPr>
                <w:b/>
                <w:bCs/>
                <w:spacing w:val="5"/>
              </w:rPr>
              <w:t>政府补助</w:t>
            </w:r>
            <w:r>
              <w:rPr>
                <w:spacing w:val="5"/>
              </w:rPr>
              <w:t>相关信息</w:t>
            </w:r>
            <w:r>
              <w:rPr>
                <w:spacing w:val="-17"/>
              </w:rPr>
              <w:t xml:space="preserve"> </w:t>
            </w:r>
            <w:r>
              <w:rPr>
                <w:spacing w:val="5"/>
              </w:rPr>
              <w:t>，</w:t>
            </w:r>
            <w:r>
              <w:rPr>
                <w:spacing w:val="-35"/>
              </w:rPr>
              <w:t xml:space="preserve"> </w:t>
            </w:r>
            <w:r>
              <w:rPr>
                <w:spacing w:val="5"/>
              </w:rPr>
              <w:t>同时</w:t>
            </w:r>
            <w:r>
              <w:rPr>
                <w:spacing w:val="-28"/>
              </w:rPr>
              <w:t xml:space="preserve"> </w:t>
            </w:r>
            <w:r>
              <w:rPr>
                <w:spacing w:val="5"/>
              </w:rPr>
              <w:t>，</w:t>
            </w:r>
            <w:r>
              <w:rPr/>
              <w:t xml:space="preserve"> </w:t>
            </w:r>
            <w:r>
              <w:rPr>
                <w:spacing w:val="9"/>
              </w:rPr>
              <w:t>披露的审计报告和评估报告中部分股东大会</w:t>
            </w:r>
            <w:r>
              <w:rPr>
                <w:b/>
                <w:bCs/>
                <w:spacing w:val="9"/>
              </w:rPr>
              <w:t>召</w:t>
            </w:r>
            <w:r>
              <w:rPr>
                <w:b/>
                <w:bCs/>
                <w:spacing w:val="17"/>
                <w:w w:val="101"/>
              </w:rPr>
              <w:t xml:space="preserve"> </w:t>
            </w:r>
            <w:r>
              <w:rPr>
                <w:b/>
                <w:bCs/>
                <w:spacing w:val="8"/>
              </w:rPr>
              <w:t>开日期不准确。</w:t>
            </w:r>
          </w:p>
        </w:tc>
      </w:tr>
      <w:tr>
        <w:trPr>
          <w:trHeight w:val="724" w:hRule="atLeast"/>
        </w:trPr>
        <w:tc>
          <w:tcPr>
            <w:shd w:val="clear" w:fill="B8CCE4"/>
            <w:tcW w:w="1471" w:type="dxa"/>
            <w:vAlign w:val="top"/>
          </w:tcPr>
          <w:p>
            <w:pPr>
              <w:pStyle w:val="TableText"/>
              <w:ind w:left="377"/>
              <w:spacing w:before="293" w:line="178" w:lineRule="auto"/>
              <w:rPr/>
            </w:pPr>
            <w:r>
              <w:rPr>
                <w:spacing w:val="3"/>
              </w:rPr>
              <w:t>300620</w:t>
            </w:r>
          </w:p>
        </w:tc>
        <w:tc>
          <w:tcPr>
            <w:shd w:val="clear" w:fill="B8CCE4"/>
            <w:tcW w:w="1484" w:type="dxa"/>
            <w:vAlign w:val="top"/>
          </w:tcPr>
          <w:p>
            <w:pPr>
              <w:pStyle w:val="TableText"/>
              <w:ind w:left="319"/>
              <w:spacing w:before="277" w:line="190" w:lineRule="auto"/>
              <w:rPr/>
            </w:pPr>
            <w:r>
              <w:rPr>
                <w:spacing w:val="9"/>
              </w:rPr>
              <w:t>光库科技</w:t>
            </w:r>
          </w:p>
        </w:tc>
        <w:tc>
          <w:tcPr>
            <w:shd w:val="clear" w:fill="B8CCE4"/>
            <w:tcW w:w="1498" w:type="dxa"/>
            <w:vAlign w:val="top"/>
          </w:tcPr>
          <w:p>
            <w:pPr>
              <w:pStyle w:val="TableText"/>
              <w:ind w:left="434"/>
              <w:spacing w:before="278" w:line="189" w:lineRule="auto"/>
              <w:rPr/>
            </w:pPr>
            <w:r>
              <w:rPr>
                <w:spacing w:val="8"/>
              </w:rPr>
              <w:t>监管函</w:t>
            </w:r>
          </w:p>
        </w:tc>
        <w:tc>
          <w:tcPr>
            <w:shd w:val="clear" w:fill="B8CCE4"/>
            <w:tcW w:w="4563" w:type="dxa"/>
            <w:vAlign w:val="top"/>
          </w:tcPr>
          <w:p>
            <w:pPr>
              <w:pStyle w:val="TableText"/>
              <w:ind w:left="109" w:right="254" w:firstLine="7"/>
              <w:spacing w:before="99" w:line="215" w:lineRule="auto"/>
              <w:rPr/>
            </w:pPr>
            <w:r>
              <w:rPr>
                <w:spacing w:val="9"/>
              </w:rPr>
              <w:t>时任高管未按照相关规定在减持行为发生的十</w:t>
            </w:r>
            <w:r>
              <w:rPr>
                <w:spacing w:val="5"/>
              </w:rPr>
              <w:t xml:space="preserve"> </w:t>
            </w:r>
            <w:r>
              <w:rPr>
                <w:spacing w:val="8"/>
              </w:rPr>
              <w:t>五个交易日前预先披露</w:t>
            </w:r>
            <w:r>
              <w:rPr>
                <w:b/>
                <w:bCs/>
                <w:spacing w:val="8"/>
              </w:rPr>
              <w:t>减持计划</w:t>
            </w:r>
            <w:r>
              <w:rPr>
                <w:spacing w:val="8"/>
              </w:rPr>
              <w:t>。</w:t>
            </w:r>
          </w:p>
        </w:tc>
      </w:tr>
      <w:tr>
        <w:trPr>
          <w:trHeight w:val="613" w:hRule="atLeast"/>
        </w:trPr>
        <w:tc>
          <w:tcPr>
            <w:tcW w:w="1471" w:type="dxa"/>
            <w:vAlign w:val="top"/>
          </w:tcPr>
          <w:p>
            <w:pPr>
              <w:pStyle w:val="TableText"/>
              <w:ind w:left="377"/>
              <w:spacing w:before="237" w:line="179" w:lineRule="auto"/>
              <w:rPr/>
            </w:pPr>
            <w:r>
              <w:rPr>
                <w:spacing w:val="3"/>
              </w:rPr>
              <w:t>301095</w:t>
            </w:r>
          </w:p>
        </w:tc>
        <w:tc>
          <w:tcPr>
            <w:tcW w:w="1484" w:type="dxa"/>
            <w:vAlign w:val="top"/>
          </w:tcPr>
          <w:p>
            <w:pPr>
              <w:pStyle w:val="TableText"/>
              <w:ind w:left="425"/>
              <w:spacing w:before="222" w:line="190" w:lineRule="auto"/>
              <w:rPr/>
            </w:pPr>
            <w:r>
              <w:rPr>
                <w:spacing w:val="8"/>
              </w:rPr>
              <w:t>广立微</w:t>
            </w:r>
          </w:p>
        </w:tc>
        <w:tc>
          <w:tcPr>
            <w:tcW w:w="1498" w:type="dxa"/>
            <w:vAlign w:val="top"/>
          </w:tcPr>
          <w:p>
            <w:pPr>
              <w:pStyle w:val="TableText"/>
              <w:ind w:left="434"/>
              <w:spacing w:before="224" w:line="189" w:lineRule="auto"/>
              <w:rPr/>
            </w:pPr>
            <w:r>
              <w:rPr>
                <w:spacing w:val="8"/>
              </w:rPr>
              <w:t>监管函</w:t>
            </w:r>
          </w:p>
        </w:tc>
        <w:tc>
          <w:tcPr>
            <w:tcW w:w="4563" w:type="dxa"/>
            <w:vAlign w:val="top"/>
          </w:tcPr>
          <w:p>
            <w:pPr>
              <w:pStyle w:val="TableText"/>
              <w:ind w:left="109"/>
              <w:spacing w:before="224" w:line="189" w:lineRule="auto"/>
              <w:rPr/>
            </w:pPr>
            <w:r>
              <w:rPr>
                <w:spacing w:val="8"/>
              </w:rPr>
              <w:t>董事亲属</w:t>
            </w:r>
            <w:r>
              <w:rPr>
                <w:b/>
                <w:bCs/>
                <w:spacing w:val="8"/>
              </w:rPr>
              <w:t>短线交易。</w:t>
            </w:r>
          </w:p>
        </w:tc>
      </w:tr>
    </w:tbl>
    <w:p>
      <w:pPr>
        <w:pStyle w:val="BodyText"/>
        <w:spacing w:line="14" w:lineRule="auto"/>
        <w:rPr>
          <w:sz w:val="2"/>
        </w:rPr>
      </w:pPr>
      <w:r/>
    </w:p>
    <w:p>
      <w:pPr>
        <w:spacing w:line="14" w:lineRule="auto"/>
        <w:sectPr>
          <w:pgSz w:w="11910" w:h="16840"/>
          <w:pgMar w:top="374" w:right="586" w:bottom="233" w:left="460" w:header="0" w:footer="0" w:gutter="0"/>
        </w:sectPr>
        <w:rPr>
          <w:sz w:val="2"/>
          <w:szCs w:val="2"/>
        </w:rPr>
      </w:pPr>
    </w:p>
    <w:tbl>
      <w:tblPr>
        <w:tblStyle w:val="TableNormal"/>
        <w:tblW w:w="9016" w:type="dxa"/>
        <w:tblInd w:w="1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729" w:hRule="atLeast"/>
        </w:trPr>
        <w:tc>
          <w:tcPr>
            <w:shd w:val="clear" w:fill="B8CCE4"/>
            <w:tcW w:w="1471" w:type="dxa"/>
            <w:vAlign w:val="top"/>
          </w:tcPr>
          <w:p>
            <w:pPr>
              <w:pStyle w:val="TableText"/>
              <w:ind w:left="372"/>
              <w:spacing w:before="285" w:line="178" w:lineRule="auto"/>
              <w:rPr/>
            </w:pPr>
            <w:r>
              <w:rPr>
                <w:spacing w:val="3"/>
              </w:rPr>
              <w:t>000676</w:t>
            </w:r>
          </w:p>
        </w:tc>
        <w:tc>
          <w:tcPr>
            <w:shd w:val="clear" w:fill="B8CCE4"/>
            <w:tcW w:w="1484" w:type="dxa"/>
            <w:vAlign w:val="top"/>
          </w:tcPr>
          <w:p>
            <w:pPr>
              <w:pStyle w:val="TableText"/>
              <w:ind w:left="319"/>
              <w:spacing w:before="269" w:line="190" w:lineRule="auto"/>
              <w:rPr/>
            </w:pPr>
            <w:r>
              <w:rPr>
                <w:spacing w:val="8"/>
              </w:rPr>
              <w:t>智度股份</w:t>
            </w:r>
          </w:p>
        </w:tc>
        <w:tc>
          <w:tcPr>
            <w:shd w:val="clear" w:fill="B8CCE4"/>
            <w:tcW w:w="1498" w:type="dxa"/>
            <w:vAlign w:val="top"/>
          </w:tcPr>
          <w:p>
            <w:pPr>
              <w:pStyle w:val="TableText"/>
              <w:ind w:left="434"/>
              <w:spacing w:before="270" w:line="189" w:lineRule="auto"/>
              <w:rPr/>
            </w:pPr>
            <w:r>
              <w:rPr>
                <w:spacing w:val="8"/>
              </w:rPr>
              <w:t>监管函</w:t>
            </w:r>
          </w:p>
        </w:tc>
        <w:tc>
          <w:tcPr>
            <w:shd w:val="clear" w:fill="B8CCE4"/>
            <w:tcW w:w="4563" w:type="dxa"/>
            <w:vAlign w:val="top"/>
          </w:tcPr>
          <w:p>
            <w:pPr>
              <w:pStyle w:val="TableText"/>
              <w:ind w:left="115" w:right="252" w:hanging="8"/>
              <w:spacing w:before="89" w:line="220" w:lineRule="auto"/>
              <w:rPr/>
            </w:pPr>
            <w:r>
              <w:rPr>
                <w:spacing w:val="9"/>
              </w:rPr>
              <w:t>公司实际回购股份金额未达到股份</w:t>
            </w:r>
            <w:r>
              <w:rPr>
                <w:b/>
                <w:bCs/>
                <w:spacing w:val="9"/>
              </w:rPr>
              <w:t>回购方案下</w:t>
            </w:r>
            <w:r>
              <w:rPr>
                <w:b/>
                <w:bCs/>
                <w:spacing w:val="16"/>
                <w:w w:val="101"/>
              </w:rPr>
              <w:t xml:space="preserve"> </w:t>
            </w:r>
            <w:r>
              <w:rPr>
                <w:b/>
                <w:bCs/>
                <w:spacing w:val="4"/>
              </w:rPr>
              <w:t>限金额。</w:t>
            </w:r>
          </w:p>
        </w:tc>
      </w:tr>
      <w:tr>
        <w:trPr>
          <w:trHeight w:val="725" w:hRule="atLeast"/>
        </w:trPr>
        <w:tc>
          <w:tcPr>
            <w:tcW w:w="1471" w:type="dxa"/>
            <w:vAlign w:val="top"/>
          </w:tcPr>
          <w:p>
            <w:pPr>
              <w:pStyle w:val="TableText"/>
              <w:ind w:left="377"/>
              <w:spacing w:before="281" w:line="178" w:lineRule="auto"/>
              <w:rPr/>
            </w:pPr>
            <w:r>
              <w:rPr>
                <w:spacing w:val="3"/>
              </w:rPr>
              <w:t>300008</w:t>
            </w:r>
          </w:p>
        </w:tc>
        <w:tc>
          <w:tcPr>
            <w:tcW w:w="1484" w:type="dxa"/>
            <w:vAlign w:val="top"/>
          </w:tcPr>
          <w:p>
            <w:pPr>
              <w:pStyle w:val="TableText"/>
              <w:ind w:left="320"/>
              <w:spacing w:before="264" w:line="190" w:lineRule="auto"/>
              <w:rPr/>
            </w:pPr>
            <w:r>
              <w:rPr>
                <w:spacing w:val="8"/>
              </w:rPr>
              <w:t>天海防务</w:t>
            </w:r>
          </w:p>
        </w:tc>
        <w:tc>
          <w:tcPr>
            <w:tcW w:w="1498" w:type="dxa"/>
            <w:vAlign w:val="top"/>
          </w:tcPr>
          <w:p>
            <w:pPr>
              <w:pStyle w:val="TableText"/>
              <w:ind w:left="329"/>
              <w:spacing w:before="269" w:line="187" w:lineRule="auto"/>
              <w:rPr/>
            </w:pPr>
            <w:r>
              <w:rPr>
                <w:spacing w:val="8"/>
              </w:rPr>
              <w:t>公开谴责</w:t>
            </w:r>
          </w:p>
        </w:tc>
        <w:tc>
          <w:tcPr>
            <w:tcW w:w="4563" w:type="dxa"/>
            <w:vAlign w:val="top"/>
          </w:tcPr>
          <w:p>
            <w:pPr>
              <w:pStyle w:val="TableText"/>
              <w:ind w:left="105" w:right="254" w:firstLine="3"/>
              <w:spacing w:before="85" w:line="220" w:lineRule="auto"/>
              <w:rPr/>
            </w:pPr>
            <w:r>
              <w:rPr>
                <w:spacing w:val="9"/>
              </w:rPr>
              <w:t>业绩补偿义务人未履行已公开披露的</w:t>
            </w:r>
            <w:r>
              <w:rPr>
                <w:b/>
                <w:bCs/>
                <w:spacing w:val="9"/>
              </w:rPr>
              <w:t>业绩补偿</w:t>
            </w:r>
            <w:r>
              <w:rPr>
                <w:b/>
                <w:bCs/>
                <w:spacing w:val="12"/>
              </w:rPr>
              <w:t xml:space="preserve"> </w:t>
            </w:r>
            <w:r>
              <w:rPr>
                <w:b/>
                <w:bCs/>
                <w:spacing w:val="5"/>
              </w:rPr>
              <w:t>承诺。</w:t>
            </w:r>
          </w:p>
        </w:tc>
      </w:tr>
      <w:tr>
        <w:trPr>
          <w:trHeight w:val="2884" w:hRule="atLeast"/>
        </w:trPr>
        <w:tc>
          <w:tcPr>
            <w:shd w:val="clear" w:fill="B8CCE4"/>
            <w:tcW w:w="1471"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77"/>
              <w:spacing w:before="86" w:line="178" w:lineRule="auto"/>
              <w:rPr/>
            </w:pPr>
            <w:r>
              <w:rPr>
                <w:spacing w:val="3"/>
              </w:rPr>
              <w:t>300370</w:t>
            </w:r>
          </w:p>
        </w:tc>
        <w:tc>
          <w:tcPr>
            <w:shd w:val="clear" w:fill="B8CCE4"/>
            <w:tcW w:w="1484"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21"/>
              <w:spacing w:before="86" w:line="190" w:lineRule="auto"/>
              <w:rPr/>
            </w:pPr>
            <w:r>
              <w:rPr>
                <w:spacing w:val="8"/>
              </w:rPr>
              <w:t>安控科技</w:t>
            </w:r>
          </w:p>
        </w:tc>
        <w:tc>
          <w:tcPr>
            <w:shd w:val="clear" w:fill="B8CCE4"/>
            <w:tcW w:w="1498"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329"/>
              <w:spacing w:before="85" w:line="188" w:lineRule="auto"/>
              <w:rPr/>
            </w:pPr>
            <w:r>
              <w:rPr>
                <w:spacing w:val="8"/>
              </w:rPr>
              <w:t>通报批评</w:t>
            </w:r>
          </w:p>
        </w:tc>
        <w:tc>
          <w:tcPr>
            <w:shd w:val="clear" w:fill="B8CCE4"/>
            <w:tcW w:w="4563" w:type="dxa"/>
            <w:vAlign w:val="top"/>
          </w:tcPr>
          <w:p>
            <w:pPr>
              <w:pStyle w:val="TableText"/>
              <w:ind w:left="108"/>
              <w:spacing w:before="86" w:line="190" w:lineRule="auto"/>
              <w:rPr/>
            </w:pPr>
            <w:r>
              <w:rPr>
                <w:spacing w:val="8"/>
              </w:rPr>
              <w:t>未按规定单项计提坏账准备</w:t>
            </w:r>
            <w:r>
              <w:rPr>
                <w:spacing w:val="-26"/>
              </w:rPr>
              <w:t xml:space="preserve"> </w:t>
            </w:r>
            <w:r>
              <w:rPr>
                <w:spacing w:val="8"/>
              </w:rPr>
              <w:t>，导致安控科技</w:t>
            </w:r>
          </w:p>
          <w:p>
            <w:pPr>
              <w:pStyle w:val="TableText"/>
              <w:ind w:left="106" w:right="180" w:firstLine="11"/>
              <w:spacing w:before="88" w:line="253" w:lineRule="auto"/>
              <w:rPr/>
            </w:pPr>
            <w:r>
              <w:rPr>
                <w:spacing w:val="6"/>
              </w:rPr>
              <w:t>2019</w:t>
            </w:r>
            <w:r>
              <w:rPr>
                <w:spacing w:val="65"/>
              </w:rPr>
              <w:t xml:space="preserve"> </w:t>
            </w:r>
            <w:r>
              <w:rPr>
                <w:spacing w:val="6"/>
              </w:rPr>
              <w:t>年度合并财务报表虚增应收账款</w:t>
            </w:r>
            <w:r>
              <w:rPr>
                <w:spacing w:val="-26"/>
              </w:rPr>
              <w:t xml:space="preserve"> </w:t>
            </w:r>
            <w:r>
              <w:rPr>
                <w:spacing w:val="6"/>
              </w:rPr>
              <w:t>，未按</w:t>
            </w:r>
            <w:r>
              <w:rPr/>
              <w:t xml:space="preserve">   </w:t>
            </w:r>
            <w:r>
              <w:rPr>
                <w:spacing w:val="9"/>
              </w:rPr>
              <w:t>规定对子公司进行商誉减值测试并计提商誉减</w:t>
            </w:r>
            <w:r>
              <w:rPr>
                <w:spacing w:val="7"/>
              </w:rPr>
              <w:t xml:space="preserve">  </w:t>
            </w:r>
            <w:r>
              <w:rPr>
                <w:spacing w:val="7"/>
              </w:rPr>
              <w:t>值准备</w:t>
            </w:r>
            <w:r>
              <w:rPr>
                <w:spacing w:val="-15"/>
              </w:rPr>
              <w:t xml:space="preserve"> </w:t>
            </w:r>
            <w:r>
              <w:rPr>
                <w:spacing w:val="7"/>
              </w:rPr>
              <w:t>，导致安控科技2019年度合并财务报表</w:t>
            </w:r>
            <w:r>
              <w:rPr/>
              <w:t xml:space="preserve"> </w:t>
            </w:r>
            <w:r>
              <w:rPr>
                <w:spacing w:val="7"/>
              </w:rPr>
              <w:t>虚增商誉。安控科技于2021年4月对</w:t>
            </w:r>
            <w:r>
              <w:rPr>
                <w:b/>
                <w:bCs/>
                <w:spacing w:val="7"/>
              </w:rPr>
              <w:t>前述虚假  </w:t>
            </w:r>
            <w:r>
              <w:rPr>
                <w:b/>
                <w:bCs/>
                <w:spacing w:val="8"/>
              </w:rPr>
              <w:t>记载</w:t>
            </w:r>
            <w:r>
              <w:rPr>
                <w:spacing w:val="8"/>
              </w:rPr>
              <w:t>涉及的会计科目进行会计差错更正</w:t>
            </w:r>
            <w:r>
              <w:rPr>
                <w:spacing w:val="-24"/>
              </w:rPr>
              <w:t xml:space="preserve"> </w:t>
            </w:r>
            <w:r>
              <w:rPr>
                <w:spacing w:val="8"/>
              </w:rPr>
              <w:t>，更正</w:t>
            </w:r>
            <w:r>
              <w:rPr/>
              <w:t xml:space="preserve">  </w:t>
            </w:r>
            <w:r>
              <w:rPr>
                <w:spacing w:val="9"/>
              </w:rPr>
              <w:t>后安控科技2019年合并财务报表净利润</w:t>
            </w:r>
            <w:r>
              <w:rPr>
                <w:b/>
                <w:bCs/>
                <w:spacing w:val="9"/>
              </w:rPr>
              <w:t>由盈转</w:t>
            </w:r>
          </w:p>
          <w:p>
            <w:pPr>
              <w:pStyle w:val="TableText"/>
              <w:ind w:left="109"/>
              <w:spacing w:line="179" w:lineRule="auto"/>
              <w:rPr/>
            </w:pPr>
            <w:r>
              <w:rPr>
                <w:b/>
                <w:bCs/>
                <w:spacing w:val="2"/>
              </w:rPr>
              <w:t>亏</w:t>
            </w:r>
            <w:r>
              <w:rPr>
                <w:spacing w:val="2"/>
              </w:rPr>
              <w:t>。</w:t>
            </w:r>
          </w:p>
        </w:tc>
      </w:tr>
      <w:tr>
        <w:trPr>
          <w:trHeight w:val="1089" w:hRule="atLeast"/>
        </w:trPr>
        <w:tc>
          <w:tcPr>
            <w:tcW w:w="1471" w:type="dxa"/>
            <w:vAlign w:val="top"/>
          </w:tcPr>
          <w:p>
            <w:pPr>
              <w:spacing w:line="373" w:lineRule="auto"/>
              <w:rPr>
                <w:rFonts w:ascii="Arial"/>
                <w:sz w:val="21"/>
              </w:rPr>
            </w:pPr>
            <w:r/>
          </w:p>
          <w:p>
            <w:pPr>
              <w:pStyle w:val="TableText"/>
              <w:ind w:left="377"/>
              <w:spacing w:before="86" w:line="179" w:lineRule="auto"/>
              <w:rPr/>
            </w:pPr>
            <w:r>
              <w:rPr>
                <w:spacing w:val="3"/>
              </w:rPr>
              <w:t>300551</w:t>
            </w:r>
          </w:p>
        </w:tc>
        <w:tc>
          <w:tcPr>
            <w:tcW w:w="1484" w:type="dxa"/>
            <w:vAlign w:val="top"/>
          </w:tcPr>
          <w:p>
            <w:pPr>
              <w:spacing w:line="360" w:lineRule="auto"/>
              <w:rPr>
                <w:rFonts w:ascii="Arial"/>
                <w:sz w:val="21"/>
              </w:rPr>
            </w:pPr>
            <w:r/>
          </w:p>
          <w:p>
            <w:pPr>
              <w:pStyle w:val="TableText"/>
              <w:ind w:left="321"/>
              <w:spacing w:before="86" w:line="189" w:lineRule="auto"/>
              <w:rPr/>
            </w:pPr>
            <w:r>
              <w:rPr>
                <w:spacing w:val="8"/>
              </w:rPr>
              <w:t>古鳌科技</w:t>
            </w:r>
          </w:p>
        </w:tc>
        <w:tc>
          <w:tcPr>
            <w:tcW w:w="1498" w:type="dxa"/>
            <w:vAlign w:val="top"/>
          </w:tcPr>
          <w:p>
            <w:pPr>
              <w:spacing w:line="362" w:lineRule="auto"/>
              <w:rPr>
                <w:rFonts w:ascii="Arial"/>
                <w:sz w:val="21"/>
              </w:rPr>
            </w:pPr>
            <w:r/>
          </w:p>
          <w:p>
            <w:pPr>
              <w:pStyle w:val="TableText"/>
              <w:ind w:left="329"/>
              <w:spacing w:before="86" w:line="188" w:lineRule="auto"/>
              <w:rPr/>
            </w:pPr>
            <w:r>
              <w:rPr>
                <w:spacing w:val="8"/>
              </w:rPr>
              <w:t>通报批评</w:t>
            </w:r>
          </w:p>
        </w:tc>
        <w:tc>
          <w:tcPr>
            <w:tcW w:w="4563" w:type="dxa"/>
            <w:vAlign w:val="top"/>
          </w:tcPr>
          <w:p>
            <w:pPr>
              <w:pStyle w:val="TableText"/>
              <w:ind w:left="108" w:right="252"/>
              <w:spacing w:before="92" w:line="230" w:lineRule="auto"/>
              <w:jc w:val="both"/>
              <w:rPr/>
            </w:pPr>
            <w:r>
              <w:rPr>
                <w:spacing w:val="9"/>
              </w:rPr>
              <w:t>古鳌科技前期关于</w:t>
            </w:r>
            <w:r>
              <w:rPr>
                <w:b/>
                <w:bCs/>
                <w:spacing w:val="9"/>
              </w:rPr>
              <w:t>已签署合作确认书共同投资</w:t>
            </w:r>
            <w:r>
              <w:rPr>
                <w:b/>
                <w:bCs/>
                <w:spacing w:val="13"/>
              </w:rPr>
              <w:t xml:space="preserve"> </w:t>
            </w:r>
            <w:r>
              <w:rPr>
                <w:b/>
                <w:bCs/>
                <w:spacing w:val="9"/>
              </w:rPr>
              <w:t>近百亿建立存储产线</w:t>
            </w:r>
            <w:r>
              <w:rPr>
                <w:spacing w:val="9"/>
              </w:rPr>
              <w:t>的相关信息披露存在不真</w:t>
            </w:r>
            <w:r>
              <w:rPr>
                <w:spacing w:val="16"/>
              </w:rPr>
              <w:t xml:space="preserve"> </w:t>
            </w:r>
            <w:r>
              <w:rPr>
                <w:spacing w:val="8"/>
              </w:rPr>
              <w:t>实、不准确的情形。</w:t>
            </w:r>
          </w:p>
        </w:tc>
      </w:tr>
    </w:tbl>
    <w:p>
      <w:pPr>
        <w:pStyle w:val="BodyText"/>
        <w:spacing w:line="42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w:t>
      </w:r>
      <w:r>
        <w:rPr>
          <w:rFonts w:ascii="Microsoft YaHei" w:hAnsi="Microsoft YaHei" w:eastAsia="Microsoft YaHei" w:cs="Microsoft YaHei"/>
          <w:sz w:val="24"/>
          <w:szCs w:val="24"/>
          <w:b/>
          <w:bCs/>
          <w:spacing w:val="66"/>
          <w:w w:val="101"/>
        </w:rPr>
        <w:t xml:space="preserve"> </w:t>
      </w:r>
      <w:r>
        <w:rPr>
          <w:rFonts w:ascii="Microsoft YaHei" w:hAnsi="Microsoft YaHei" w:eastAsia="Microsoft YaHei" w:cs="Microsoft YaHei"/>
          <w:sz w:val="24"/>
          <w:szCs w:val="24"/>
          <w:b/>
          <w:bCs/>
          <w:spacing w:val="-10"/>
        </w:rPr>
        <w:t>2</w:t>
      </w:r>
      <w:r>
        <w:rPr>
          <w:rFonts w:ascii="Microsoft YaHei" w:hAnsi="Microsoft YaHei" w:eastAsia="Microsoft YaHei" w:cs="Microsoft YaHei"/>
          <w:sz w:val="24"/>
          <w:szCs w:val="24"/>
          <w:b/>
          <w:bCs/>
          <w:spacing w:val="62"/>
          <w:w w:val="101"/>
        </w:rPr>
        <w:t xml:space="preserve"> </w:t>
      </w:r>
      <w:r>
        <w:rPr>
          <w:rFonts w:ascii="Microsoft YaHei" w:hAnsi="Microsoft YaHei" w:eastAsia="Microsoft YaHei" w:cs="Microsoft YaHei"/>
          <w:sz w:val="24"/>
          <w:szCs w:val="24"/>
          <w:b/>
          <w:bCs/>
          <w:spacing w:val="-10"/>
        </w:rPr>
        <w:t>）函件统计</w:t>
      </w:r>
    </w:p>
    <w:p>
      <w:pPr>
        <w:spacing w:line="192" w:lineRule="exact"/>
        <w:rPr/>
      </w:pPr>
      <w:r/>
    </w:p>
    <w:tbl>
      <w:tblPr>
        <w:tblStyle w:val="TableNormal"/>
        <w:tblW w:w="9003" w:type="dxa"/>
        <w:tblInd w:w="11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8" w:hRule="atLeast"/>
        </w:trPr>
        <w:tc>
          <w:tcPr>
            <w:shd w:val="clear" w:fill="4BACC6"/>
            <w:tcW w:w="1105" w:type="dxa"/>
            <w:vAlign w:val="top"/>
            <w:tcBorders>
              <w:left w:val="nil"/>
              <w:top w:val="nil"/>
              <w:right w:val="single" w:color="92CDDC" w:sz="2" w:space="0"/>
            </w:tcBorders>
          </w:tcPr>
          <w:p>
            <w:pPr>
              <w:pStyle w:val="TableText"/>
              <w:ind w:left="115"/>
              <w:spacing w:before="88"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pStyle w:val="TableText"/>
              <w:ind w:left="196"/>
              <w:spacing w:before="88"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6" w:line="184" w:lineRule="auto"/>
              <w:rPr>
                <w:sz w:val="22"/>
                <w:szCs w:val="22"/>
              </w:rPr>
            </w:pPr>
            <w:r>
              <w:rPr>
                <w:sz w:val="22"/>
                <w:szCs w:val="22"/>
                <w:b/>
                <w:bCs/>
                <w:color w:val="FFFFFF"/>
                <w:spacing w:val="-3"/>
              </w:rPr>
              <w:t>问询类型</w:t>
            </w:r>
          </w:p>
        </w:tc>
      </w:tr>
      <w:tr>
        <w:trPr>
          <w:trHeight w:val="463" w:hRule="atLeast"/>
        </w:trPr>
        <w:tc>
          <w:tcPr>
            <w:tcW w:w="1105" w:type="dxa"/>
            <w:vAlign w:val="top"/>
          </w:tcPr>
          <w:p>
            <w:pPr>
              <w:pStyle w:val="TableText"/>
              <w:ind w:left="190"/>
              <w:spacing w:before="152" w:line="178" w:lineRule="auto"/>
              <w:rPr/>
            </w:pPr>
            <w:r>
              <w:rPr>
                <w:spacing w:val="3"/>
              </w:rPr>
              <w:t>002656</w:t>
            </w:r>
          </w:p>
        </w:tc>
        <w:tc>
          <w:tcPr>
            <w:tcW w:w="1274" w:type="dxa"/>
            <w:vAlign w:val="top"/>
          </w:tcPr>
          <w:p>
            <w:pPr>
              <w:pStyle w:val="TableText"/>
              <w:ind w:left="315"/>
              <w:spacing w:before="137" w:line="189" w:lineRule="auto"/>
              <w:rPr/>
            </w:pPr>
            <w:r>
              <w:rPr/>
              <w:t>ST</w:t>
            </w:r>
            <w:r>
              <w:rPr>
                <w:spacing w:val="7"/>
              </w:rPr>
              <w:t>摩登</w:t>
            </w:r>
          </w:p>
        </w:tc>
        <w:tc>
          <w:tcPr>
            <w:tcW w:w="6624" w:type="dxa"/>
            <w:vAlign w:val="top"/>
          </w:tcPr>
          <w:p>
            <w:pPr>
              <w:pStyle w:val="TableText"/>
              <w:ind w:left="2997"/>
              <w:spacing w:before="137"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2" w:line="178" w:lineRule="auto"/>
              <w:rPr/>
            </w:pPr>
            <w:r>
              <w:rPr>
                <w:spacing w:val="3"/>
              </w:rPr>
              <w:t>000976</w:t>
            </w:r>
          </w:p>
        </w:tc>
        <w:tc>
          <w:tcPr>
            <w:shd w:val="clear" w:fill="C7DAF1"/>
            <w:tcW w:w="1274" w:type="dxa"/>
            <w:vAlign w:val="top"/>
          </w:tcPr>
          <w:p>
            <w:pPr>
              <w:pStyle w:val="TableText"/>
              <w:ind w:left="315"/>
              <w:spacing w:before="137" w:line="189" w:lineRule="auto"/>
              <w:rPr/>
            </w:pPr>
            <w:r>
              <w:rPr/>
              <w:t>ST</w:t>
            </w:r>
            <w:r>
              <w:rPr>
                <w:spacing w:val="7"/>
              </w:rPr>
              <w:t>华铁</w:t>
            </w:r>
          </w:p>
        </w:tc>
        <w:tc>
          <w:tcPr>
            <w:shd w:val="clear" w:fill="C7DAF1"/>
            <w:tcW w:w="6624" w:type="dxa"/>
            <w:vAlign w:val="top"/>
          </w:tcPr>
          <w:p>
            <w:pPr>
              <w:pStyle w:val="TableText"/>
              <w:ind w:left="2997"/>
              <w:spacing w:before="137" w:line="189" w:lineRule="auto"/>
              <w:rPr/>
            </w:pPr>
            <w:r>
              <w:rPr>
                <w:spacing w:val="8"/>
              </w:rPr>
              <w:t>关注函</w:t>
            </w:r>
          </w:p>
        </w:tc>
      </w:tr>
      <w:tr>
        <w:trPr>
          <w:trHeight w:val="463" w:hRule="atLeast"/>
        </w:trPr>
        <w:tc>
          <w:tcPr>
            <w:tcW w:w="1105" w:type="dxa"/>
            <w:vAlign w:val="top"/>
          </w:tcPr>
          <w:p>
            <w:pPr>
              <w:pStyle w:val="TableText"/>
              <w:ind w:left="190"/>
              <w:spacing w:before="152" w:line="178" w:lineRule="auto"/>
              <w:rPr/>
            </w:pPr>
            <w:r>
              <w:rPr>
                <w:spacing w:val="3"/>
              </w:rPr>
              <w:t>002640</w:t>
            </w:r>
          </w:p>
        </w:tc>
        <w:tc>
          <w:tcPr>
            <w:tcW w:w="1274" w:type="dxa"/>
            <w:vAlign w:val="top"/>
          </w:tcPr>
          <w:p>
            <w:pPr>
              <w:pStyle w:val="TableText"/>
              <w:ind w:left="318"/>
              <w:spacing w:before="137" w:line="189" w:lineRule="auto"/>
              <w:rPr/>
            </w:pPr>
            <w:r>
              <w:rPr>
                <w:spacing w:val="9"/>
              </w:rPr>
              <w:t>跨境通</w:t>
            </w:r>
          </w:p>
        </w:tc>
        <w:tc>
          <w:tcPr>
            <w:tcW w:w="6624" w:type="dxa"/>
            <w:vAlign w:val="top"/>
          </w:tcPr>
          <w:p>
            <w:pPr>
              <w:pStyle w:val="TableText"/>
              <w:ind w:left="2785"/>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4" w:line="178" w:lineRule="auto"/>
              <w:rPr/>
            </w:pPr>
            <w:r>
              <w:rPr>
                <w:spacing w:val="3"/>
              </w:rPr>
              <w:t>000793</w:t>
            </w:r>
          </w:p>
        </w:tc>
        <w:tc>
          <w:tcPr>
            <w:shd w:val="clear" w:fill="C7DAF1"/>
            <w:tcW w:w="1274" w:type="dxa"/>
            <w:vAlign w:val="top"/>
          </w:tcPr>
          <w:p>
            <w:pPr>
              <w:pStyle w:val="TableText"/>
              <w:ind w:left="217"/>
              <w:spacing w:before="139" w:line="189" w:lineRule="auto"/>
              <w:rPr/>
            </w:pPr>
            <w:r>
              <w:rPr>
                <w:spacing w:val="8"/>
              </w:rPr>
              <w:t>华闻集团</w:t>
            </w:r>
          </w:p>
        </w:tc>
        <w:tc>
          <w:tcPr>
            <w:shd w:val="clear" w:fill="C7DAF1"/>
            <w:tcW w:w="6624" w:type="dxa"/>
            <w:vAlign w:val="top"/>
          </w:tcPr>
          <w:p>
            <w:pPr>
              <w:pStyle w:val="TableText"/>
              <w:ind w:left="2997"/>
              <w:spacing w:before="139" w:line="189" w:lineRule="auto"/>
              <w:rPr/>
            </w:pPr>
            <w:r>
              <w:rPr>
                <w:spacing w:val="8"/>
              </w:rPr>
              <w:t>关注函</w:t>
            </w:r>
          </w:p>
        </w:tc>
      </w:tr>
      <w:tr>
        <w:trPr>
          <w:trHeight w:val="463" w:hRule="atLeast"/>
        </w:trPr>
        <w:tc>
          <w:tcPr>
            <w:tcW w:w="1105" w:type="dxa"/>
            <w:vAlign w:val="top"/>
          </w:tcPr>
          <w:p>
            <w:pPr>
              <w:pStyle w:val="TableText"/>
              <w:ind w:left="190"/>
              <w:spacing w:before="154" w:line="178" w:lineRule="auto"/>
              <w:rPr/>
            </w:pPr>
            <w:r>
              <w:rPr>
                <w:spacing w:val="3"/>
              </w:rPr>
              <w:t>000546</w:t>
            </w:r>
          </w:p>
        </w:tc>
        <w:tc>
          <w:tcPr>
            <w:tcW w:w="1274" w:type="dxa"/>
            <w:vAlign w:val="top"/>
          </w:tcPr>
          <w:p>
            <w:pPr>
              <w:pStyle w:val="TableText"/>
              <w:ind w:left="215"/>
              <w:spacing w:before="141" w:line="188" w:lineRule="auto"/>
              <w:rPr/>
            </w:pPr>
            <w:r>
              <w:rPr>
                <w:spacing w:val="9"/>
              </w:rPr>
              <w:t>金圆股份</w:t>
            </w:r>
          </w:p>
        </w:tc>
        <w:tc>
          <w:tcPr>
            <w:tcW w:w="6624" w:type="dxa"/>
            <w:vAlign w:val="top"/>
          </w:tcPr>
          <w:p>
            <w:pPr>
              <w:pStyle w:val="TableText"/>
              <w:ind w:left="2997"/>
              <w:spacing w:before="139"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7" w:line="178" w:lineRule="auto"/>
              <w:rPr/>
            </w:pPr>
            <w:r>
              <w:rPr>
                <w:spacing w:val="3"/>
              </w:rPr>
              <w:t>000782</w:t>
            </w:r>
          </w:p>
        </w:tc>
        <w:tc>
          <w:tcPr>
            <w:shd w:val="clear" w:fill="C7DAF1"/>
            <w:tcW w:w="1274" w:type="dxa"/>
            <w:vAlign w:val="top"/>
          </w:tcPr>
          <w:p>
            <w:pPr>
              <w:pStyle w:val="TableText"/>
              <w:ind w:left="216"/>
              <w:spacing w:before="140" w:line="190" w:lineRule="auto"/>
              <w:rPr/>
            </w:pPr>
            <w:r>
              <w:rPr>
                <w:spacing w:val="8"/>
              </w:rPr>
              <w:t>美达股份</w:t>
            </w:r>
          </w:p>
        </w:tc>
        <w:tc>
          <w:tcPr>
            <w:shd w:val="clear" w:fill="C7DAF1"/>
            <w:tcW w:w="6624" w:type="dxa"/>
            <w:vAlign w:val="top"/>
          </w:tcPr>
          <w:p>
            <w:pPr>
              <w:pStyle w:val="TableText"/>
              <w:ind w:left="2785"/>
              <w:spacing w:before="142" w:line="189" w:lineRule="auto"/>
              <w:rPr/>
            </w:pPr>
            <w:r>
              <w:rPr>
                <w:spacing w:val="8"/>
              </w:rPr>
              <w:t>年报问询函</w:t>
            </w:r>
          </w:p>
        </w:tc>
      </w:tr>
      <w:tr>
        <w:trPr>
          <w:trHeight w:val="463" w:hRule="atLeast"/>
        </w:trPr>
        <w:tc>
          <w:tcPr>
            <w:tcW w:w="1105" w:type="dxa"/>
            <w:vAlign w:val="top"/>
          </w:tcPr>
          <w:p>
            <w:pPr>
              <w:pStyle w:val="TableText"/>
              <w:ind w:left="190"/>
              <w:spacing w:before="157" w:line="178" w:lineRule="auto"/>
              <w:rPr/>
            </w:pPr>
            <w:r>
              <w:rPr>
                <w:spacing w:val="3"/>
              </w:rPr>
              <w:t>002288</w:t>
            </w:r>
          </w:p>
        </w:tc>
        <w:tc>
          <w:tcPr>
            <w:tcW w:w="1274" w:type="dxa"/>
            <w:vAlign w:val="top"/>
          </w:tcPr>
          <w:p>
            <w:pPr>
              <w:pStyle w:val="TableText"/>
              <w:ind w:left="217"/>
              <w:spacing w:before="142" w:line="189" w:lineRule="auto"/>
              <w:rPr/>
            </w:pPr>
            <w:r>
              <w:rPr>
                <w:spacing w:val="8"/>
              </w:rPr>
              <w:t>超华科技</w:t>
            </w:r>
          </w:p>
        </w:tc>
        <w:tc>
          <w:tcPr>
            <w:tcW w:w="6624" w:type="dxa"/>
            <w:vAlign w:val="top"/>
          </w:tcPr>
          <w:p>
            <w:pPr>
              <w:pStyle w:val="TableText"/>
              <w:ind w:left="2997"/>
              <w:spacing w:before="142"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9" w:line="178" w:lineRule="auto"/>
              <w:rPr/>
            </w:pPr>
            <w:r>
              <w:rPr>
                <w:spacing w:val="3"/>
              </w:rPr>
              <w:t>002467</w:t>
            </w:r>
          </w:p>
        </w:tc>
        <w:tc>
          <w:tcPr>
            <w:shd w:val="clear" w:fill="C7DAF1"/>
            <w:tcW w:w="1274" w:type="dxa"/>
            <w:vAlign w:val="top"/>
          </w:tcPr>
          <w:p>
            <w:pPr>
              <w:pStyle w:val="TableText"/>
              <w:ind w:left="322"/>
              <w:spacing w:before="147" w:line="187" w:lineRule="auto"/>
              <w:rPr/>
            </w:pPr>
            <w:r>
              <w:rPr>
                <w:spacing w:val="7"/>
              </w:rPr>
              <w:t>二六三</w:t>
            </w:r>
          </w:p>
        </w:tc>
        <w:tc>
          <w:tcPr>
            <w:shd w:val="clear" w:fill="C7DAF1"/>
            <w:tcW w:w="6624" w:type="dxa"/>
            <w:vAlign w:val="top"/>
          </w:tcPr>
          <w:p>
            <w:pPr>
              <w:pStyle w:val="TableText"/>
              <w:ind w:left="2785"/>
              <w:spacing w:before="144" w:line="189" w:lineRule="auto"/>
              <w:rPr/>
            </w:pPr>
            <w:r>
              <w:rPr>
                <w:spacing w:val="8"/>
              </w:rPr>
              <w:t>年报问询函</w:t>
            </w:r>
          </w:p>
        </w:tc>
      </w:tr>
      <w:tr>
        <w:trPr>
          <w:trHeight w:val="464" w:hRule="atLeast"/>
        </w:trPr>
        <w:tc>
          <w:tcPr>
            <w:tcW w:w="1105" w:type="dxa"/>
            <w:vAlign w:val="top"/>
          </w:tcPr>
          <w:p>
            <w:pPr>
              <w:pStyle w:val="TableText"/>
              <w:ind w:left="190"/>
              <w:spacing w:before="159" w:line="178" w:lineRule="auto"/>
              <w:rPr/>
            </w:pPr>
            <w:r>
              <w:rPr>
                <w:spacing w:val="3"/>
              </w:rPr>
              <w:t>002229</w:t>
            </w:r>
          </w:p>
        </w:tc>
        <w:tc>
          <w:tcPr>
            <w:tcW w:w="1274" w:type="dxa"/>
            <w:vAlign w:val="top"/>
          </w:tcPr>
          <w:p>
            <w:pPr>
              <w:pStyle w:val="TableText"/>
              <w:ind w:left="217"/>
              <w:spacing w:before="144" w:line="189" w:lineRule="auto"/>
              <w:rPr/>
            </w:pPr>
            <w:r>
              <w:rPr>
                <w:spacing w:val="8"/>
              </w:rPr>
              <w:t>鸿博股份</w:t>
            </w:r>
          </w:p>
        </w:tc>
        <w:tc>
          <w:tcPr>
            <w:tcW w:w="6624" w:type="dxa"/>
            <w:vAlign w:val="top"/>
          </w:tcPr>
          <w:p>
            <w:pPr>
              <w:pStyle w:val="TableText"/>
              <w:ind w:left="2997"/>
              <w:spacing w:before="144" w:line="189" w:lineRule="auto"/>
              <w:rPr/>
            </w:pPr>
            <w:r>
              <w:rPr>
                <w:spacing w:val="8"/>
              </w:rPr>
              <w:t>关注函</w:t>
            </w:r>
          </w:p>
        </w:tc>
      </w:tr>
      <w:tr>
        <w:trPr>
          <w:trHeight w:val="463" w:hRule="atLeast"/>
        </w:trPr>
        <w:tc>
          <w:tcPr>
            <w:shd w:val="clear" w:fill="C7DAF1"/>
            <w:tcW w:w="1105" w:type="dxa"/>
            <w:vAlign w:val="top"/>
          </w:tcPr>
          <w:p>
            <w:pPr>
              <w:pStyle w:val="TableText"/>
              <w:ind w:left="190"/>
              <w:spacing w:before="158" w:line="178" w:lineRule="auto"/>
              <w:rPr/>
            </w:pPr>
            <w:r>
              <w:rPr>
                <w:spacing w:val="3"/>
              </w:rPr>
              <w:t>000903</w:t>
            </w:r>
          </w:p>
        </w:tc>
        <w:tc>
          <w:tcPr>
            <w:shd w:val="clear" w:fill="C7DAF1"/>
            <w:tcW w:w="1274" w:type="dxa"/>
            <w:vAlign w:val="top"/>
          </w:tcPr>
          <w:p>
            <w:pPr>
              <w:pStyle w:val="TableText"/>
              <w:ind w:left="219"/>
              <w:spacing w:before="145" w:line="188" w:lineRule="auto"/>
              <w:rPr/>
            </w:pPr>
            <w:r>
              <w:rPr>
                <w:spacing w:val="8"/>
              </w:rPr>
              <w:t>云内动力</w:t>
            </w:r>
          </w:p>
        </w:tc>
        <w:tc>
          <w:tcPr>
            <w:shd w:val="clear" w:fill="C7DAF1"/>
            <w:tcW w:w="6624" w:type="dxa"/>
            <w:vAlign w:val="top"/>
          </w:tcPr>
          <w:p>
            <w:pPr>
              <w:pStyle w:val="TableText"/>
              <w:ind w:left="2997"/>
              <w:spacing w:before="143" w:line="189" w:lineRule="auto"/>
              <w:rPr/>
            </w:pPr>
            <w:r>
              <w:rPr>
                <w:spacing w:val="8"/>
              </w:rPr>
              <w:t>关注函</w:t>
            </w:r>
          </w:p>
        </w:tc>
      </w:tr>
      <w:tr>
        <w:trPr>
          <w:trHeight w:val="464" w:hRule="atLeast"/>
        </w:trPr>
        <w:tc>
          <w:tcPr>
            <w:tcW w:w="1105" w:type="dxa"/>
            <w:vAlign w:val="top"/>
          </w:tcPr>
          <w:p>
            <w:pPr>
              <w:pStyle w:val="TableText"/>
              <w:ind w:left="190"/>
              <w:spacing w:before="160" w:line="178" w:lineRule="auto"/>
              <w:rPr/>
            </w:pPr>
            <w:r>
              <w:rPr>
                <w:spacing w:val="3"/>
              </w:rPr>
              <w:t>002259</w:t>
            </w:r>
          </w:p>
        </w:tc>
        <w:tc>
          <w:tcPr>
            <w:tcW w:w="1274" w:type="dxa"/>
            <w:vAlign w:val="top"/>
          </w:tcPr>
          <w:p>
            <w:pPr>
              <w:pStyle w:val="TableText"/>
              <w:ind w:left="315"/>
              <w:spacing w:before="148" w:line="187" w:lineRule="auto"/>
              <w:rPr/>
            </w:pPr>
            <w:r>
              <w:rPr/>
              <w:t>ST</w:t>
            </w:r>
            <w:r>
              <w:rPr>
                <w:spacing w:val="7"/>
              </w:rPr>
              <w:t>升达</w:t>
            </w:r>
          </w:p>
        </w:tc>
        <w:tc>
          <w:tcPr>
            <w:tcW w:w="6624" w:type="dxa"/>
            <w:vAlign w:val="top"/>
          </w:tcPr>
          <w:p>
            <w:pPr>
              <w:pStyle w:val="TableText"/>
              <w:ind w:left="2785"/>
              <w:spacing w:before="14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8" w:line="179" w:lineRule="auto"/>
              <w:rPr/>
            </w:pPr>
            <w:r>
              <w:rPr>
                <w:spacing w:val="3"/>
              </w:rPr>
              <w:t>000901</w:t>
            </w:r>
          </w:p>
        </w:tc>
        <w:tc>
          <w:tcPr>
            <w:shd w:val="clear" w:fill="C7DAF1"/>
            <w:tcW w:w="1274" w:type="dxa"/>
            <w:vAlign w:val="top"/>
          </w:tcPr>
          <w:p>
            <w:pPr>
              <w:pStyle w:val="TableText"/>
              <w:ind w:left="216"/>
              <w:spacing w:before="143" w:line="190" w:lineRule="auto"/>
              <w:rPr/>
            </w:pPr>
            <w:r>
              <w:rPr>
                <w:spacing w:val="8"/>
              </w:rPr>
              <w:t>航天科技</w:t>
            </w:r>
          </w:p>
        </w:tc>
        <w:tc>
          <w:tcPr>
            <w:shd w:val="clear" w:fill="C7DAF1"/>
            <w:tcW w:w="6624" w:type="dxa"/>
            <w:vAlign w:val="top"/>
          </w:tcPr>
          <w:p>
            <w:pPr>
              <w:pStyle w:val="TableText"/>
              <w:ind w:left="2785"/>
              <w:spacing w:before="145" w:line="189" w:lineRule="auto"/>
              <w:rPr/>
            </w:pPr>
            <w:r>
              <w:rPr>
                <w:spacing w:val="8"/>
              </w:rPr>
              <w:t>年报问询函</w:t>
            </w:r>
          </w:p>
        </w:tc>
      </w:tr>
      <w:tr>
        <w:trPr>
          <w:trHeight w:val="463" w:hRule="atLeast"/>
        </w:trPr>
        <w:tc>
          <w:tcPr>
            <w:tcW w:w="1105" w:type="dxa"/>
            <w:vAlign w:val="top"/>
          </w:tcPr>
          <w:p>
            <w:pPr>
              <w:pStyle w:val="TableText"/>
              <w:ind w:left="190"/>
              <w:spacing w:before="162" w:line="178" w:lineRule="auto"/>
              <w:rPr/>
            </w:pPr>
            <w:r>
              <w:rPr>
                <w:spacing w:val="3"/>
              </w:rPr>
              <w:t>002253</w:t>
            </w:r>
          </w:p>
        </w:tc>
        <w:tc>
          <w:tcPr>
            <w:tcW w:w="1274" w:type="dxa"/>
            <w:vAlign w:val="top"/>
          </w:tcPr>
          <w:p>
            <w:pPr>
              <w:pStyle w:val="TableText"/>
              <w:ind w:left="216"/>
              <w:spacing w:before="147" w:line="189" w:lineRule="auto"/>
              <w:rPr/>
            </w:pPr>
            <w:r>
              <w:rPr>
                <w:spacing w:val="8"/>
              </w:rPr>
              <w:t>川大智胜</w:t>
            </w:r>
          </w:p>
        </w:tc>
        <w:tc>
          <w:tcPr>
            <w:tcW w:w="6624" w:type="dxa"/>
            <w:vAlign w:val="top"/>
          </w:tcPr>
          <w:p>
            <w:pPr>
              <w:pStyle w:val="TableText"/>
              <w:ind w:left="2785"/>
              <w:spacing w:before="147" w:line="189" w:lineRule="auto"/>
              <w:rPr/>
            </w:pPr>
            <w:r>
              <w:rPr>
                <w:spacing w:val="8"/>
              </w:rPr>
              <w:t>年报问询函</w:t>
            </w:r>
          </w:p>
        </w:tc>
      </w:tr>
      <w:tr>
        <w:trPr>
          <w:trHeight w:val="463" w:hRule="atLeast"/>
        </w:trPr>
        <w:tc>
          <w:tcPr>
            <w:shd w:val="clear" w:fill="C7DAF1"/>
            <w:tcW w:w="1105" w:type="dxa"/>
            <w:vAlign w:val="top"/>
          </w:tcPr>
          <w:p>
            <w:pPr>
              <w:pStyle w:val="TableText"/>
              <w:ind w:left="195"/>
              <w:spacing w:before="160" w:line="179" w:lineRule="auto"/>
              <w:rPr/>
            </w:pPr>
            <w:r>
              <w:rPr>
                <w:spacing w:val="3"/>
              </w:rPr>
              <w:t>300167</w:t>
            </w:r>
          </w:p>
        </w:tc>
        <w:tc>
          <w:tcPr>
            <w:shd w:val="clear" w:fill="C7DAF1"/>
            <w:tcW w:w="1274" w:type="dxa"/>
            <w:vAlign w:val="top"/>
          </w:tcPr>
          <w:p>
            <w:pPr>
              <w:pStyle w:val="TableText"/>
              <w:ind w:left="209"/>
              <w:spacing w:before="147" w:line="189" w:lineRule="auto"/>
              <w:rPr/>
            </w:pPr>
            <w:r>
              <w:rPr/>
              <w:t>ST</w:t>
            </w:r>
            <w:r>
              <w:rPr>
                <w:spacing w:val="8"/>
              </w:rPr>
              <w:t>迪威迅</w:t>
            </w:r>
          </w:p>
        </w:tc>
        <w:tc>
          <w:tcPr>
            <w:shd w:val="clear" w:fill="C7DAF1"/>
            <w:tcW w:w="6624" w:type="dxa"/>
            <w:vAlign w:val="top"/>
          </w:tcPr>
          <w:p>
            <w:pPr>
              <w:pStyle w:val="TableText"/>
              <w:ind w:left="2997"/>
              <w:spacing w:before="147" w:line="189" w:lineRule="auto"/>
              <w:rPr/>
            </w:pPr>
            <w:r>
              <w:rPr>
                <w:spacing w:val="8"/>
              </w:rPr>
              <w:t>关注函</w:t>
            </w:r>
          </w:p>
        </w:tc>
      </w:tr>
      <w:tr>
        <w:trPr>
          <w:trHeight w:val="464" w:hRule="atLeast"/>
        </w:trPr>
        <w:tc>
          <w:tcPr>
            <w:tcW w:w="1105" w:type="dxa"/>
            <w:vAlign w:val="top"/>
          </w:tcPr>
          <w:p>
            <w:pPr>
              <w:pStyle w:val="TableText"/>
              <w:ind w:left="195"/>
              <w:spacing w:before="162" w:line="178" w:lineRule="auto"/>
              <w:rPr/>
            </w:pPr>
            <w:r>
              <w:rPr>
                <w:spacing w:val="3"/>
              </w:rPr>
              <w:t>300742</w:t>
            </w:r>
          </w:p>
        </w:tc>
        <w:tc>
          <w:tcPr>
            <w:tcW w:w="1274" w:type="dxa"/>
            <w:vAlign w:val="top"/>
          </w:tcPr>
          <w:p>
            <w:pPr>
              <w:pStyle w:val="TableText"/>
              <w:ind w:left="262"/>
              <w:spacing w:before="148" w:line="188" w:lineRule="auto"/>
              <w:rPr/>
            </w:pPr>
            <w:r>
              <w:rPr>
                <w:spacing w:val="8"/>
              </w:rPr>
              <w:t>*</w:t>
            </w:r>
            <w:r>
              <w:rPr/>
              <w:t>ST</w:t>
            </w:r>
            <w:r>
              <w:rPr>
                <w:spacing w:val="8"/>
              </w:rPr>
              <w:t>越博</w:t>
            </w:r>
          </w:p>
        </w:tc>
        <w:tc>
          <w:tcPr>
            <w:tcW w:w="6624" w:type="dxa"/>
            <w:vAlign w:val="top"/>
          </w:tcPr>
          <w:p>
            <w:pPr>
              <w:pStyle w:val="TableText"/>
              <w:ind w:left="2997"/>
              <w:spacing w:before="147" w:line="189" w:lineRule="auto"/>
              <w:rPr/>
            </w:pPr>
            <w:r>
              <w:rPr>
                <w:spacing w:val="8"/>
              </w:rPr>
              <w:t>关注函</w:t>
            </w:r>
          </w:p>
        </w:tc>
      </w:tr>
      <w:tr>
        <w:trPr>
          <w:trHeight w:val="463" w:hRule="atLeast"/>
        </w:trPr>
        <w:tc>
          <w:tcPr>
            <w:shd w:val="clear" w:fill="C7DAF1"/>
            <w:tcW w:w="1105" w:type="dxa"/>
            <w:vAlign w:val="top"/>
          </w:tcPr>
          <w:p>
            <w:pPr>
              <w:pStyle w:val="TableText"/>
              <w:ind w:left="195"/>
              <w:spacing w:before="163" w:line="178" w:lineRule="auto"/>
              <w:rPr/>
            </w:pPr>
            <w:r>
              <w:rPr>
                <w:spacing w:val="3"/>
              </w:rPr>
              <w:t>300280</w:t>
            </w:r>
          </w:p>
        </w:tc>
        <w:tc>
          <w:tcPr>
            <w:shd w:val="clear" w:fill="C7DAF1"/>
            <w:tcW w:w="1274" w:type="dxa"/>
            <w:vAlign w:val="top"/>
          </w:tcPr>
          <w:p>
            <w:pPr>
              <w:pStyle w:val="TableText"/>
              <w:ind w:left="218"/>
              <w:spacing w:before="150" w:line="188" w:lineRule="auto"/>
              <w:rPr/>
            </w:pPr>
            <w:r>
              <w:rPr>
                <w:spacing w:val="8"/>
              </w:rPr>
              <w:t>紫天科技</w:t>
            </w:r>
          </w:p>
        </w:tc>
        <w:tc>
          <w:tcPr>
            <w:shd w:val="clear" w:fill="C7DAF1"/>
            <w:tcW w:w="6624" w:type="dxa"/>
            <w:vAlign w:val="top"/>
          </w:tcPr>
          <w:p>
            <w:pPr>
              <w:pStyle w:val="TableText"/>
              <w:ind w:left="2997"/>
              <w:spacing w:before="148" w:line="189" w:lineRule="auto"/>
              <w:rPr/>
            </w:pPr>
            <w:r>
              <w:rPr>
                <w:spacing w:val="8"/>
              </w:rPr>
              <w:t>关注函</w:t>
            </w:r>
          </w:p>
        </w:tc>
      </w:tr>
      <w:tr>
        <w:trPr>
          <w:trHeight w:val="463" w:hRule="atLeast"/>
        </w:trPr>
        <w:tc>
          <w:tcPr>
            <w:tcW w:w="1105" w:type="dxa"/>
            <w:vAlign w:val="top"/>
          </w:tcPr>
          <w:p>
            <w:pPr>
              <w:pStyle w:val="TableText"/>
              <w:ind w:left="195"/>
              <w:spacing w:before="163" w:line="178" w:lineRule="auto"/>
              <w:rPr/>
            </w:pPr>
            <w:r>
              <w:rPr>
                <w:spacing w:val="3"/>
              </w:rPr>
              <w:t>300878</w:t>
            </w:r>
          </w:p>
        </w:tc>
        <w:tc>
          <w:tcPr>
            <w:tcW w:w="1274" w:type="dxa"/>
            <w:vAlign w:val="top"/>
          </w:tcPr>
          <w:p>
            <w:pPr>
              <w:pStyle w:val="TableText"/>
              <w:ind w:left="216"/>
              <w:spacing w:before="148" w:line="189" w:lineRule="auto"/>
              <w:rPr/>
            </w:pPr>
            <w:r>
              <w:rPr>
                <w:spacing w:val="8"/>
              </w:rPr>
              <w:t>维康药业</w:t>
            </w:r>
          </w:p>
        </w:tc>
        <w:tc>
          <w:tcPr>
            <w:tcW w:w="6624" w:type="dxa"/>
            <w:vAlign w:val="top"/>
          </w:tcPr>
          <w:p>
            <w:pPr>
              <w:pStyle w:val="TableText"/>
              <w:ind w:left="2997"/>
              <w:spacing w:before="148" w:line="189" w:lineRule="auto"/>
              <w:rPr/>
            </w:pPr>
            <w:r>
              <w:rPr>
                <w:spacing w:val="8"/>
              </w:rPr>
              <w:t>关注函</w:t>
            </w:r>
          </w:p>
        </w:tc>
      </w:tr>
      <w:tr>
        <w:trPr>
          <w:trHeight w:val="463" w:hRule="atLeast"/>
        </w:trPr>
        <w:tc>
          <w:tcPr>
            <w:shd w:val="clear" w:fill="C7DAF1"/>
            <w:tcW w:w="1105" w:type="dxa"/>
            <w:vAlign w:val="top"/>
          </w:tcPr>
          <w:p>
            <w:pPr>
              <w:pStyle w:val="TableText"/>
              <w:ind w:left="195"/>
              <w:spacing w:before="164" w:line="179" w:lineRule="auto"/>
              <w:rPr/>
            </w:pPr>
            <w:r>
              <w:rPr>
                <w:spacing w:val="3"/>
              </w:rPr>
              <w:t>300157</w:t>
            </w:r>
          </w:p>
        </w:tc>
        <w:tc>
          <w:tcPr>
            <w:shd w:val="clear" w:fill="C7DAF1"/>
            <w:tcW w:w="1274" w:type="dxa"/>
            <w:vAlign w:val="top"/>
          </w:tcPr>
          <w:p>
            <w:pPr>
              <w:pStyle w:val="TableText"/>
              <w:ind w:left="216"/>
              <w:spacing w:before="151" w:line="189" w:lineRule="auto"/>
              <w:rPr/>
            </w:pPr>
            <w:r>
              <w:rPr>
                <w:spacing w:val="8"/>
              </w:rPr>
              <w:t>新锦动力</w:t>
            </w:r>
          </w:p>
        </w:tc>
        <w:tc>
          <w:tcPr>
            <w:shd w:val="clear" w:fill="C7DAF1"/>
            <w:tcW w:w="6624" w:type="dxa"/>
            <w:vAlign w:val="top"/>
          </w:tcPr>
          <w:p>
            <w:pPr>
              <w:pStyle w:val="TableText"/>
              <w:ind w:left="2785"/>
              <w:spacing w:before="151" w:line="189" w:lineRule="auto"/>
              <w:rPr/>
            </w:pPr>
            <w:r>
              <w:rPr>
                <w:spacing w:val="8"/>
              </w:rPr>
              <w:t>年报问询函</w:t>
            </w:r>
          </w:p>
        </w:tc>
      </w:tr>
      <w:tr>
        <w:trPr>
          <w:trHeight w:val="466" w:hRule="atLeast"/>
        </w:trPr>
        <w:tc>
          <w:tcPr>
            <w:tcW w:w="1105" w:type="dxa"/>
            <w:vAlign w:val="top"/>
          </w:tcPr>
          <w:p>
            <w:pPr>
              <w:pStyle w:val="TableText"/>
              <w:ind w:left="195"/>
              <w:spacing w:before="164" w:line="179" w:lineRule="auto"/>
              <w:rPr/>
            </w:pPr>
            <w:r>
              <w:rPr>
                <w:spacing w:val="3"/>
              </w:rPr>
              <w:t>300165</w:t>
            </w:r>
          </w:p>
        </w:tc>
        <w:tc>
          <w:tcPr>
            <w:tcW w:w="1274" w:type="dxa"/>
            <w:vAlign w:val="top"/>
          </w:tcPr>
          <w:p>
            <w:pPr>
              <w:pStyle w:val="TableText"/>
              <w:ind w:left="216"/>
              <w:spacing w:before="152" w:line="188" w:lineRule="auto"/>
              <w:rPr/>
            </w:pPr>
            <w:r>
              <w:rPr>
                <w:spacing w:val="8"/>
              </w:rPr>
              <w:t>天瑞仪器</w:t>
            </w:r>
          </w:p>
        </w:tc>
        <w:tc>
          <w:tcPr>
            <w:tcW w:w="6624" w:type="dxa"/>
            <w:vAlign w:val="top"/>
          </w:tcPr>
          <w:p>
            <w:pPr>
              <w:pStyle w:val="TableText"/>
              <w:ind w:left="2997"/>
              <w:spacing w:before="151" w:line="189" w:lineRule="auto"/>
              <w:rPr/>
            </w:pPr>
            <w:r>
              <w:rPr>
                <w:spacing w:val="8"/>
              </w:rPr>
              <w:t>关注函</w:t>
            </w:r>
          </w:p>
        </w:tc>
      </w:tr>
    </w:tbl>
    <w:p>
      <w:pPr>
        <w:pStyle w:val="BodyText"/>
        <w:spacing w:line="14" w:lineRule="auto"/>
        <w:rPr>
          <w:sz w:val="2"/>
        </w:rPr>
      </w:pPr>
      <w:r/>
    </w:p>
    <w:p>
      <w:pPr>
        <w:spacing w:line="14" w:lineRule="auto"/>
        <w:sectPr>
          <w:pgSz w:w="11910" w:h="16840"/>
          <w:pgMar w:top="400" w:right="1454" w:bottom="355" w:left="1333" w:header="0" w:footer="0" w:gutter="0"/>
        </w:sectPr>
        <w:rPr>
          <w:sz w:val="2"/>
          <w:szCs w:val="2"/>
        </w:rPr>
      </w:pPr>
    </w:p>
    <w:tbl>
      <w:tblPr>
        <w:tblStyle w:val="TableNormal"/>
        <w:tblW w:w="9003" w:type="dxa"/>
        <w:tblInd w:w="18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shd w:val="clear" w:fill="C7DAF1"/>
            <w:tcW w:w="1105" w:type="dxa"/>
            <w:vAlign w:val="top"/>
          </w:tcPr>
          <w:p>
            <w:pPr>
              <w:pStyle w:val="TableText"/>
              <w:ind w:left="195"/>
              <w:spacing w:before="155" w:line="178" w:lineRule="auto"/>
              <w:rPr/>
            </w:pPr>
            <w:r>
              <w:rPr>
                <w:spacing w:val="3"/>
              </w:rPr>
              <w:t>300670</w:t>
            </w:r>
          </w:p>
        </w:tc>
        <w:tc>
          <w:tcPr>
            <w:shd w:val="clear" w:fill="C7DAF1"/>
            <w:tcW w:w="1274" w:type="dxa"/>
            <w:vAlign w:val="top"/>
          </w:tcPr>
          <w:p>
            <w:pPr>
              <w:pStyle w:val="TableText"/>
              <w:ind w:left="216"/>
              <w:spacing w:before="139" w:line="190" w:lineRule="auto"/>
              <w:rPr/>
            </w:pPr>
            <w:r>
              <w:rPr>
                <w:spacing w:val="8"/>
              </w:rPr>
              <w:t>大烨智能</w:t>
            </w:r>
          </w:p>
        </w:tc>
        <w:tc>
          <w:tcPr>
            <w:shd w:val="clear" w:fill="C7DAF1"/>
            <w:tcW w:w="6624" w:type="dxa"/>
            <w:vAlign w:val="top"/>
          </w:tcPr>
          <w:p>
            <w:pPr>
              <w:pStyle w:val="TableText"/>
              <w:ind w:left="2997"/>
              <w:spacing w:before="141" w:line="189" w:lineRule="auto"/>
              <w:rPr/>
            </w:pPr>
            <w:r>
              <w:rPr>
                <w:spacing w:val="8"/>
              </w:rPr>
              <w:t>关注函</w:t>
            </w:r>
          </w:p>
        </w:tc>
      </w:tr>
      <w:tr>
        <w:trPr>
          <w:trHeight w:val="464" w:hRule="atLeast"/>
        </w:trPr>
        <w:tc>
          <w:tcPr>
            <w:tcW w:w="1105" w:type="dxa"/>
            <w:vAlign w:val="top"/>
          </w:tcPr>
          <w:p>
            <w:pPr>
              <w:pStyle w:val="TableText"/>
              <w:ind w:left="195"/>
              <w:spacing w:before="150" w:line="178" w:lineRule="auto"/>
              <w:rPr/>
            </w:pPr>
            <w:r>
              <w:rPr>
                <w:spacing w:val="3"/>
              </w:rPr>
              <w:t>300495</w:t>
            </w:r>
          </w:p>
        </w:tc>
        <w:tc>
          <w:tcPr>
            <w:tcW w:w="1274" w:type="dxa"/>
            <w:vAlign w:val="top"/>
          </w:tcPr>
          <w:p>
            <w:pPr>
              <w:pStyle w:val="TableText"/>
              <w:ind w:left="262"/>
              <w:spacing w:before="134" w:line="190" w:lineRule="auto"/>
              <w:rPr/>
            </w:pPr>
            <w:r>
              <w:rPr>
                <w:spacing w:val="8"/>
              </w:rPr>
              <w:t>*</w:t>
            </w:r>
            <w:r>
              <w:rPr/>
              <w:t>ST</w:t>
            </w:r>
            <w:r>
              <w:rPr>
                <w:spacing w:val="8"/>
              </w:rPr>
              <w:t>美尚</w:t>
            </w:r>
          </w:p>
        </w:tc>
        <w:tc>
          <w:tcPr>
            <w:tcW w:w="6624" w:type="dxa"/>
            <w:vAlign w:val="top"/>
          </w:tcPr>
          <w:p>
            <w:pPr>
              <w:pStyle w:val="TableText"/>
              <w:ind w:left="2997"/>
              <w:spacing w:before="136"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2" w:line="178" w:lineRule="auto"/>
              <w:rPr/>
            </w:pPr>
            <w:r>
              <w:rPr>
                <w:spacing w:val="3"/>
              </w:rPr>
              <w:t>300282</w:t>
            </w:r>
          </w:p>
        </w:tc>
        <w:tc>
          <w:tcPr>
            <w:shd w:val="clear" w:fill="C7DAF1"/>
            <w:tcW w:w="1274" w:type="dxa"/>
            <w:vAlign w:val="top"/>
          </w:tcPr>
          <w:p>
            <w:pPr>
              <w:pStyle w:val="TableText"/>
              <w:ind w:left="262"/>
              <w:spacing w:before="136" w:line="189" w:lineRule="auto"/>
              <w:rPr/>
            </w:pPr>
            <w:r>
              <w:rPr>
                <w:spacing w:val="8"/>
              </w:rPr>
              <w:t>*</w:t>
            </w:r>
            <w:r>
              <w:rPr/>
              <w:t>ST</w:t>
            </w:r>
            <w:r>
              <w:rPr>
                <w:spacing w:val="8"/>
              </w:rPr>
              <w:t>三盛</w:t>
            </w:r>
          </w:p>
        </w:tc>
        <w:tc>
          <w:tcPr>
            <w:shd w:val="clear" w:fill="C7DAF1"/>
            <w:tcW w:w="6624" w:type="dxa"/>
            <w:vAlign w:val="top"/>
          </w:tcPr>
          <w:p>
            <w:pPr>
              <w:pStyle w:val="TableText"/>
              <w:ind w:left="2997"/>
              <w:spacing w:before="137" w:line="189" w:lineRule="auto"/>
              <w:rPr/>
            </w:pPr>
            <w:r>
              <w:rPr>
                <w:spacing w:val="8"/>
              </w:rPr>
              <w:t>关注函</w:t>
            </w:r>
          </w:p>
        </w:tc>
      </w:tr>
      <w:tr>
        <w:trPr>
          <w:trHeight w:val="464" w:hRule="atLeast"/>
        </w:trPr>
        <w:tc>
          <w:tcPr>
            <w:tcW w:w="1105" w:type="dxa"/>
            <w:vAlign w:val="top"/>
          </w:tcPr>
          <w:p>
            <w:pPr>
              <w:pStyle w:val="TableText"/>
              <w:ind w:left="195"/>
              <w:spacing w:before="152" w:line="178" w:lineRule="auto"/>
              <w:rPr/>
            </w:pPr>
            <w:r>
              <w:rPr>
                <w:spacing w:val="3"/>
              </w:rPr>
              <w:t>300842</w:t>
            </w:r>
          </w:p>
        </w:tc>
        <w:tc>
          <w:tcPr>
            <w:tcW w:w="1274" w:type="dxa"/>
            <w:vAlign w:val="top"/>
          </w:tcPr>
          <w:p>
            <w:pPr>
              <w:pStyle w:val="TableText"/>
              <w:ind w:left="224"/>
              <w:spacing w:before="137" w:line="189" w:lineRule="auto"/>
              <w:rPr/>
            </w:pPr>
            <w:r>
              <w:rPr>
                <w:spacing w:val="6"/>
              </w:rPr>
              <w:t>帝科股份</w:t>
            </w:r>
          </w:p>
        </w:tc>
        <w:tc>
          <w:tcPr>
            <w:tcW w:w="6624" w:type="dxa"/>
            <w:vAlign w:val="top"/>
          </w:tcPr>
          <w:p>
            <w:pPr>
              <w:pStyle w:val="TableText"/>
              <w:ind w:left="2785"/>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5"/>
              <w:spacing w:before="151" w:line="178" w:lineRule="auto"/>
              <w:rPr/>
            </w:pPr>
            <w:r>
              <w:rPr>
                <w:spacing w:val="3"/>
              </w:rPr>
              <w:t>300630</w:t>
            </w:r>
          </w:p>
        </w:tc>
        <w:tc>
          <w:tcPr>
            <w:shd w:val="clear" w:fill="C7DAF1"/>
            <w:tcW w:w="1274" w:type="dxa"/>
            <w:vAlign w:val="top"/>
          </w:tcPr>
          <w:p>
            <w:pPr>
              <w:pStyle w:val="TableText"/>
              <w:ind w:left="218"/>
              <w:spacing w:before="136" w:line="189" w:lineRule="auto"/>
              <w:rPr/>
            </w:pPr>
            <w:r>
              <w:rPr>
                <w:spacing w:val="8"/>
              </w:rPr>
              <w:t>普利制药</w:t>
            </w:r>
          </w:p>
        </w:tc>
        <w:tc>
          <w:tcPr>
            <w:shd w:val="clear" w:fill="C7DAF1"/>
            <w:tcW w:w="6624" w:type="dxa"/>
            <w:vAlign w:val="top"/>
          </w:tcPr>
          <w:p>
            <w:pPr>
              <w:pStyle w:val="TableText"/>
              <w:ind w:left="2997"/>
              <w:spacing w:before="136" w:line="189" w:lineRule="auto"/>
              <w:rPr/>
            </w:pPr>
            <w:r>
              <w:rPr>
                <w:spacing w:val="8"/>
              </w:rPr>
              <w:t>关注函</w:t>
            </w:r>
          </w:p>
        </w:tc>
      </w:tr>
      <w:tr>
        <w:trPr>
          <w:trHeight w:val="463" w:hRule="atLeast"/>
        </w:trPr>
        <w:tc>
          <w:tcPr>
            <w:tcW w:w="1105" w:type="dxa"/>
            <w:vAlign w:val="top"/>
          </w:tcPr>
          <w:p>
            <w:pPr>
              <w:pStyle w:val="TableText"/>
              <w:ind w:left="195"/>
              <w:spacing w:before="152" w:line="179" w:lineRule="auto"/>
              <w:rPr/>
            </w:pPr>
            <w:r>
              <w:rPr>
                <w:spacing w:val="3"/>
              </w:rPr>
              <w:t>300641</w:t>
            </w:r>
          </w:p>
        </w:tc>
        <w:tc>
          <w:tcPr>
            <w:tcW w:w="1274" w:type="dxa"/>
            <w:vAlign w:val="top"/>
          </w:tcPr>
          <w:p>
            <w:pPr>
              <w:pStyle w:val="TableText"/>
              <w:ind w:left="216"/>
              <w:spacing w:before="140" w:line="188" w:lineRule="auto"/>
              <w:rPr/>
            </w:pPr>
            <w:r>
              <w:rPr>
                <w:spacing w:val="8"/>
              </w:rPr>
              <w:t>正丹股份</w:t>
            </w:r>
          </w:p>
        </w:tc>
        <w:tc>
          <w:tcPr>
            <w:tcW w:w="6624" w:type="dxa"/>
            <w:vAlign w:val="top"/>
          </w:tcPr>
          <w:p>
            <w:pPr>
              <w:pStyle w:val="TableText"/>
              <w:ind w:left="2997"/>
              <w:spacing w:before="138"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3" w:line="178" w:lineRule="auto"/>
              <w:rPr/>
            </w:pPr>
            <w:r>
              <w:rPr>
                <w:spacing w:val="3"/>
              </w:rPr>
              <w:t>300398</w:t>
            </w:r>
          </w:p>
        </w:tc>
        <w:tc>
          <w:tcPr>
            <w:shd w:val="clear" w:fill="C7DAF1"/>
            <w:tcW w:w="1274" w:type="dxa"/>
            <w:vAlign w:val="top"/>
          </w:tcPr>
          <w:p>
            <w:pPr>
              <w:pStyle w:val="TableText"/>
              <w:ind w:left="216"/>
              <w:spacing w:before="138" w:line="189" w:lineRule="auto"/>
              <w:rPr/>
            </w:pPr>
            <w:r>
              <w:rPr>
                <w:spacing w:val="8"/>
              </w:rPr>
              <w:t>飞凯材料</w:t>
            </w:r>
          </w:p>
        </w:tc>
        <w:tc>
          <w:tcPr>
            <w:shd w:val="clear" w:fill="C7DAF1"/>
            <w:tcW w:w="6624" w:type="dxa"/>
            <w:vAlign w:val="top"/>
          </w:tcPr>
          <w:p>
            <w:pPr>
              <w:pStyle w:val="TableText"/>
              <w:ind w:left="2997"/>
              <w:spacing w:before="138" w:line="189" w:lineRule="auto"/>
              <w:rPr/>
            </w:pPr>
            <w:r>
              <w:rPr>
                <w:spacing w:val="8"/>
              </w:rPr>
              <w:t>关注函</w:t>
            </w:r>
          </w:p>
        </w:tc>
      </w:tr>
      <w:tr>
        <w:trPr>
          <w:trHeight w:val="463" w:hRule="atLeast"/>
        </w:trPr>
        <w:tc>
          <w:tcPr>
            <w:tcW w:w="1105" w:type="dxa"/>
            <w:vAlign w:val="top"/>
          </w:tcPr>
          <w:p>
            <w:pPr>
              <w:pStyle w:val="TableText"/>
              <w:ind w:left="195"/>
              <w:spacing w:before="153" w:line="179" w:lineRule="auto"/>
              <w:rPr/>
            </w:pPr>
            <w:r>
              <w:rPr>
                <w:spacing w:val="3"/>
              </w:rPr>
              <w:t>300313</w:t>
            </w:r>
          </w:p>
        </w:tc>
        <w:tc>
          <w:tcPr>
            <w:tcW w:w="1274" w:type="dxa"/>
            <w:vAlign w:val="top"/>
          </w:tcPr>
          <w:p>
            <w:pPr>
              <w:pStyle w:val="TableText"/>
              <w:ind w:left="262"/>
              <w:spacing w:before="143" w:line="187" w:lineRule="auto"/>
              <w:rPr/>
            </w:pPr>
            <w:r>
              <w:rPr>
                <w:spacing w:val="8"/>
              </w:rPr>
              <w:t>*</w:t>
            </w:r>
            <w:r>
              <w:rPr/>
              <w:t>ST</w:t>
            </w:r>
            <w:r>
              <w:rPr>
                <w:spacing w:val="8"/>
              </w:rPr>
              <w:t>天山</w:t>
            </w:r>
          </w:p>
        </w:tc>
        <w:tc>
          <w:tcPr>
            <w:tcW w:w="6624" w:type="dxa"/>
            <w:vAlign w:val="top"/>
          </w:tcPr>
          <w:p>
            <w:pPr>
              <w:pStyle w:val="TableText"/>
              <w:ind w:left="2785"/>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5"/>
              <w:spacing w:before="153" w:line="179" w:lineRule="auto"/>
              <w:rPr/>
            </w:pPr>
            <w:r>
              <w:rPr>
                <w:spacing w:val="3"/>
              </w:rPr>
              <w:t>300201</w:t>
            </w:r>
          </w:p>
        </w:tc>
        <w:tc>
          <w:tcPr>
            <w:shd w:val="clear" w:fill="C7DAF1"/>
            <w:tcW w:w="1274" w:type="dxa"/>
            <w:vAlign w:val="top"/>
          </w:tcPr>
          <w:p>
            <w:pPr>
              <w:pStyle w:val="TableText"/>
              <w:ind w:left="319"/>
              <w:spacing w:before="140" w:line="189" w:lineRule="auto"/>
              <w:rPr/>
            </w:pPr>
            <w:r>
              <w:rPr>
                <w:spacing w:val="8"/>
              </w:rPr>
              <w:t>海伦哲</w:t>
            </w:r>
          </w:p>
        </w:tc>
        <w:tc>
          <w:tcPr>
            <w:shd w:val="clear" w:fill="C7DAF1"/>
            <w:tcW w:w="6624" w:type="dxa"/>
            <w:vAlign w:val="top"/>
          </w:tcPr>
          <w:p>
            <w:pPr>
              <w:pStyle w:val="TableText"/>
              <w:ind w:left="2997"/>
              <w:spacing w:before="140" w:line="189" w:lineRule="auto"/>
              <w:rPr/>
            </w:pPr>
            <w:r>
              <w:rPr>
                <w:spacing w:val="8"/>
              </w:rPr>
              <w:t>关注函</w:t>
            </w:r>
          </w:p>
        </w:tc>
      </w:tr>
      <w:tr>
        <w:trPr>
          <w:trHeight w:val="464" w:hRule="atLeast"/>
        </w:trPr>
        <w:tc>
          <w:tcPr>
            <w:tcW w:w="1105" w:type="dxa"/>
            <w:vAlign w:val="top"/>
          </w:tcPr>
          <w:p>
            <w:pPr>
              <w:pStyle w:val="TableText"/>
              <w:ind w:left="195"/>
              <w:spacing w:before="154" w:line="179" w:lineRule="auto"/>
              <w:rPr/>
            </w:pPr>
            <w:r>
              <w:rPr>
                <w:spacing w:val="3"/>
              </w:rPr>
              <w:t>300107</w:t>
            </w:r>
          </w:p>
        </w:tc>
        <w:tc>
          <w:tcPr>
            <w:tcW w:w="1274" w:type="dxa"/>
            <w:vAlign w:val="top"/>
          </w:tcPr>
          <w:p>
            <w:pPr>
              <w:pStyle w:val="TableText"/>
              <w:ind w:left="216"/>
              <w:spacing w:before="141" w:line="189" w:lineRule="auto"/>
              <w:rPr/>
            </w:pPr>
            <w:r>
              <w:rPr>
                <w:spacing w:val="8"/>
              </w:rPr>
              <w:t>建新股份</w:t>
            </w:r>
          </w:p>
        </w:tc>
        <w:tc>
          <w:tcPr>
            <w:tcW w:w="6624" w:type="dxa"/>
            <w:vAlign w:val="top"/>
          </w:tcPr>
          <w:p>
            <w:pPr>
              <w:pStyle w:val="TableText"/>
              <w:ind w:left="2997"/>
              <w:spacing w:before="141"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5" w:line="178" w:lineRule="auto"/>
              <w:rPr/>
            </w:pPr>
            <w:r>
              <w:rPr>
                <w:spacing w:val="3"/>
              </w:rPr>
              <w:t>300495</w:t>
            </w:r>
          </w:p>
        </w:tc>
        <w:tc>
          <w:tcPr>
            <w:shd w:val="clear" w:fill="C7DAF1"/>
            <w:tcW w:w="1274" w:type="dxa"/>
            <w:vAlign w:val="top"/>
          </w:tcPr>
          <w:p>
            <w:pPr>
              <w:pStyle w:val="TableText"/>
              <w:ind w:left="262"/>
              <w:spacing w:before="139" w:line="190" w:lineRule="auto"/>
              <w:rPr/>
            </w:pPr>
            <w:r>
              <w:rPr>
                <w:spacing w:val="8"/>
              </w:rPr>
              <w:t>*</w:t>
            </w:r>
            <w:r>
              <w:rPr/>
              <w:t>ST</w:t>
            </w:r>
            <w:r>
              <w:rPr>
                <w:spacing w:val="8"/>
              </w:rPr>
              <w:t>美尚</w:t>
            </w:r>
          </w:p>
        </w:tc>
        <w:tc>
          <w:tcPr>
            <w:shd w:val="clear" w:fill="C7DAF1"/>
            <w:tcW w:w="6624" w:type="dxa"/>
            <w:vAlign w:val="top"/>
          </w:tcPr>
          <w:p>
            <w:pPr>
              <w:pStyle w:val="TableText"/>
              <w:ind w:left="2997"/>
              <w:spacing w:before="140" w:line="189" w:lineRule="auto"/>
              <w:rPr/>
            </w:pPr>
            <w:r>
              <w:rPr>
                <w:spacing w:val="8"/>
              </w:rPr>
              <w:t>关注函</w:t>
            </w:r>
          </w:p>
        </w:tc>
      </w:tr>
      <w:tr>
        <w:trPr>
          <w:trHeight w:val="468" w:hRule="atLeast"/>
        </w:trPr>
        <w:tc>
          <w:tcPr>
            <w:tcW w:w="1105" w:type="dxa"/>
            <w:vAlign w:val="top"/>
          </w:tcPr>
          <w:p>
            <w:pPr>
              <w:pStyle w:val="TableText"/>
              <w:ind w:left="195"/>
              <w:spacing w:before="154" w:line="178" w:lineRule="auto"/>
              <w:rPr/>
            </w:pPr>
            <w:r>
              <w:rPr>
                <w:spacing w:val="3"/>
              </w:rPr>
              <w:t>300097</w:t>
            </w:r>
          </w:p>
        </w:tc>
        <w:tc>
          <w:tcPr>
            <w:tcW w:w="1274" w:type="dxa"/>
            <w:vAlign w:val="top"/>
          </w:tcPr>
          <w:p>
            <w:pPr>
              <w:pStyle w:val="TableText"/>
              <w:ind w:left="215"/>
              <w:spacing w:before="139" w:line="189" w:lineRule="auto"/>
              <w:rPr/>
            </w:pPr>
            <w:r>
              <w:rPr>
                <w:spacing w:val="8"/>
              </w:rPr>
              <w:t>智云股份</w:t>
            </w:r>
          </w:p>
        </w:tc>
        <w:tc>
          <w:tcPr>
            <w:tcW w:w="6624" w:type="dxa"/>
            <w:vAlign w:val="top"/>
          </w:tcPr>
          <w:p>
            <w:pPr>
              <w:pStyle w:val="TableText"/>
              <w:ind w:left="2997"/>
              <w:spacing w:before="139" w:line="189" w:lineRule="auto"/>
              <w:rPr/>
            </w:pPr>
            <w:r>
              <w:rPr>
                <w:spacing w:val="8"/>
              </w:rPr>
              <w:t>关注函</w:t>
            </w:r>
          </w:p>
        </w:tc>
      </w:tr>
    </w:tbl>
    <w:p>
      <w:pPr>
        <w:pStyle w:val="BodyText"/>
        <w:spacing w:line="268" w:lineRule="auto"/>
        <w:rPr/>
      </w:pPr>
      <w:r/>
    </w:p>
    <w:p>
      <w:pPr>
        <w:pStyle w:val="BodyText"/>
        <w:spacing w:line="268"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pStyle w:val="BodyText"/>
        <w:spacing w:line="250" w:lineRule="auto"/>
        <w:rPr/>
      </w:pPr>
      <w:r/>
    </w:p>
    <w:p>
      <w:pPr>
        <w:ind w:left="69" w:firstLine="437"/>
        <w:spacing w:before="95" w:line="18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2024年4月15日-4月21日，深交所共对147起证券异常交易行为采</w:t>
      </w:r>
      <w:r>
        <w:rPr>
          <w:rFonts w:ascii="Microsoft YaHei" w:hAnsi="Microsoft YaHei" w:eastAsia="Microsoft YaHei" w:cs="Microsoft YaHei"/>
          <w:sz w:val="22"/>
          <w:szCs w:val="22"/>
          <w:spacing w:val="-6"/>
        </w:rPr>
        <w:t>取了自律监管措施，涉及盘中拉抬打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压、虚</w:t>
      </w:r>
      <w:r>
        <w:rPr>
          <w:rFonts w:ascii="Microsoft YaHei" w:hAnsi="Microsoft YaHei" w:eastAsia="Microsoft YaHei" w:cs="Microsoft YaHei"/>
          <w:sz w:val="22"/>
          <w:szCs w:val="22"/>
          <w:spacing w:val="-6"/>
        </w:rPr>
        <w:t>假申报等异常交易情形；对“正丹股份”“*ST左江”进行重点监控；上报证监会1起涉嫌违法违规</w:t>
      </w:r>
      <w:r>
        <w:rPr>
          <w:rFonts w:ascii="Microsoft YaHei" w:hAnsi="Microsoft YaHei" w:eastAsia="Microsoft YaHei" w:cs="Microsoft YaHei"/>
          <w:sz w:val="22"/>
          <w:szCs w:val="22"/>
          <w:spacing w:val="-3"/>
        </w:rPr>
        <w:t>案</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3"/>
        </w:rPr>
        <w:t>件线索</w:t>
      </w:r>
    </w:p>
    <w:sectPr>
      <w:pgSz w:w="11910" w:h="16840"/>
      <w:pgMar w:top="400" w:right="473" w:bottom="400" w:left="126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pn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jpeg"/><Relationship Id="rId24" Type="http://schemas.openxmlformats.org/officeDocument/2006/relationships/fontTable" Target="fontTable.xml"/><Relationship Id="rId23" Type="http://schemas.openxmlformats.org/officeDocument/2006/relationships/styles" Target="styles.xml"/><Relationship Id="rId22" Type="http://schemas.openxmlformats.org/officeDocument/2006/relationships/settings" Target="settings.xml"/><Relationship Id="rId21" Type="http://schemas.openxmlformats.org/officeDocument/2006/relationships/image" Target="media/image19.jpeg"/><Relationship Id="rId20" Type="http://schemas.openxmlformats.org/officeDocument/2006/relationships/image" Target="media/image18.jpeg"/><Relationship Id="rId2" Type="http://schemas.openxmlformats.org/officeDocument/2006/relationships/header" Target="header2.xml"/><Relationship Id="rId19" Type="http://schemas.openxmlformats.org/officeDocument/2006/relationships/image" Target="media/image17.jpeg"/><Relationship Id="rId18" Type="http://schemas.openxmlformats.org/officeDocument/2006/relationships/image" Target="media/image16.jpeg"/><Relationship Id="rId17" Type="http://schemas.openxmlformats.org/officeDocument/2006/relationships/image" Target="media/image15.png"/><Relationship Id="rId16" Type="http://schemas.openxmlformats.org/officeDocument/2006/relationships/image" Target="media/image14.jpeg"/><Relationship Id="rId15" Type="http://schemas.openxmlformats.org/officeDocument/2006/relationships/footer" Target="footer1.xml"/><Relationship Id="rId14" Type="http://schemas.openxmlformats.org/officeDocument/2006/relationships/image" Target="media/image13.png"/><Relationship Id="rId13" Type="http://schemas.openxmlformats.org/officeDocument/2006/relationships/image" Target="media/image12.png"/><Relationship Id="rId12" Type="http://schemas.openxmlformats.org/officeDocument/2006/relationships/image" Target="media/image11.png"/><Relationship Id="rId11" Type="http://schemas.openxmlformats.org/officeDocument/2006/relationships/image" Target="media/image10.png"/><Relationship Id="rId10" Type="http://schemas.openxmlformats.org/officeDocument/2006/relationships/image" Target="media/image9.pn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2024-04-22T11:03:14Z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2024-05-06T15:10:27</vt:filetime>
  </property>
</Properties>
</file>