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2"/>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2024年3月25日-2024年3月31日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p>
    <w:p>
      <w:pPr>
        <w:ind w:left="4572"/>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1"/>
        </w:rPr>
        <w:t>2024年4月1日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2629"/>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pStyle w:val="BodyText"/>
        <w:spacing w:line="375" w:lineRule="auto"/>
        <w:rPr/>
      </w:pPr>
      <w:r/>
    </w:p>
    <w:p>
      <w:pPr>
        <w:ind w:left="951"/>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1、上交所发布资产支持证券业务规则及持续信息披露指引</w:t>
      </w:r>
      <w:r>
        <w:rPr>
          <w:rFonts w:ascii="Microsoft YaHei" w:hAnsi="Microsoft YaHei" w:eastAsia="Microsoft YaHei" w:cs="Microsoft YaHei"/>
          <w:sz w:val="24"/>
          <w:szCs w:val="24"/>
          <w:b/>
          <w:bCs/>
          <w:color w:val="333333"/>
          <w:spacing w:val="64"/>
          <w:w w:val="101"/>
        </w:rPr>
        <w:t xml:space="preserve"> </w:t>
      </w:r>
      <w:r>
        <w:rPr>
          <w:rFonts w:ascii="Microsoft YaHei" w:hAnsi="Microsoft YaHei" w:eastAsia="Microsoft YaHei" w:cs="Microsoft YaHei"/>
          <w:sz w:val="24"/>
          <w:szCs w:val="24"/>
          <w:b/>
          <w:bCs/>
          <w:color w:val="333333"/>
          <w:spacing w:val="-1"/>
        </w:rPr>
        <w:t>规范资产证券化运行管理</w:t>
      </w:r>
    </w:p>
    <w:p>
      <w:pPr>
        <w:ind w:left="932" w:right="236" w:firstLine="448"/>
        <w:spacing w:before="327" w:line="21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3月29日</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7"/>
        </w:rPr>
        <w:t>，上海证券交易所发布了《上海证券交易所资产支持证券业务规则》和《上海证券交易所债券自律   </w:t>
      </w:r>
      <w:r>
        <w:rPr>
          <w:rFonts w:ascii="Microsoft YaHei" w:hAnsi="Microsoft YaHei" w:eastAsia="Microsoft YaHei" w:cs="Microsoft YaHei"/>
          <w:sz w:val="22"/>
          <w:szCs w:val="22"/>
          <w:spacing w:val="-8"/>
        </w:rPr>
        <w:t>监管规则适用指引第5号——资产支持证券持续信息披露》。这是上交所在中国证监会指导下</w:t>
      </w:r>
      <w:r>
        <w:rPr>
          <w:rFonts w:ascii="Microsoft YaHei" w:hAnsi="Microsoft YaHei" w:eastAsia="Microsoft YaHei" w:cs="Microsoft YaHei"/>
          <w:sz w:val="22"/>
          <w:szCs w:val="22"/>
          <w:spacing w:val="-3"/>
        </w:rPr>
        <w:t xml:space="preserve"> </w:t>
      </w:r>
      <w:r>
        <w:rPr>
          <w:rFonts w:ascii="Microsoft YaHei" w:hAnsi="Microsoft YaHei" w:eastAsia="Microsoft YaHei" w:cs="Microsoft YaHei"/>
          <w:sz w:val="22"/>
          <w:szCs w:val="22"/>
          <w:spacing w:val="-8"/>
        </w:rPr>
        <w:t>，建立公开、透明、</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可预期的制度机制</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7"/>
        </w:rPr>
        <w:t>，进一步提升债券市场服务实体经</w:t>
      </w:r>
      <w:r>
        <w:rPr>
          <w:rFonts w:ascii="Microsoft YaHei" w:hAnsi="Microsoft YaHei" w:eastAsia="Microsoft YaHei" w:cs="Microsoft YaHei"/>
          <w:sz w:val="22"/>
          <w:szCs w:val="22"/>
          <w:spacing w:val="-8"/>
        </w:rPr>
        <w:t>济能力的重要举措。</w:t>
      </w:r>
    </w:p>
    <w:p>
      <w:pPr>
        <w:pStyle w:val="BodyText"/>
        <w:spacing w:line="355" w:lineRule="auto"/>
        <w:rPr/>
      </w:pPr>
      <w:r/>
    </w:p>
    <w:p>
      <w:pPr>
        <w:pStyle w:val="BodyText"/>
        <w:spacing w:line="356" w:lineRule="auto"/>
        <w:rPr/>
      </w:pPr>
      <w:r/>
    </w:p>
    <w:p>
      <w:pPr>
        <w:ind w:left="9929"/>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上海证券交易所</w:t>
      </w:r>
    </w:p>
    <w:p>
      <w:pPr>
        <w:pStyle w:val="BodyText"/>
        <w:spacing w:line="441" w:lineRule="auto"/>
        <w:rPr/>
      </w:pPr>
      <w:r/>
    </w:p>
    <w:p>
      <w:pPr>
        <w:ind w:left="9784"/>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2024年03月29日</w:t>
      </w:r>
    </w:p>
    <w:p>
      <w:pPr>
        <w:pStyle w:val="BodyText"/>
        <w:spacing w:line="317" w:lineRule="auto"/>
        <w:rPr/>
      </w:pPr>
      <w:r/>
    </w:p>
    <w:p>
      <w:pPr>
        <w:pStyle w:val="BodyText"/>
        <w:spacing w:line="318" w:lineRule="auto"/>
        <w:rPr/>
      </w:pPr>
      <w:r/>
    </w:p>
    <w:p>
      <w:pPr>
        <w:ind w:firstLine="4812"/>
        <w:spacing w:before="1" w:line="2546" w:lineRule="exact"/>
        <w:rPr/>
      </w:pPr>
      <w:r>
        <w:rPr>
          <w:position w:val="-50"/>
        </w:rPr>
        <w:drawing>
          <wp:inline distT="0" distB="0" distL="0" distR="0">
            <wp:extent cx="1616964" cy="1616964"/>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616964" cy="1616964"/>
                    </a:xfrm>
                    <a:prstGeom prst="rect">
                      <a:avLst/>
                    </a:prstGeom>
                  </pic:spPr>
                </pic:pic>
              </a:graphicData>
            </a:graphic>
          </wp:inline>
        </w:drawing>
      </w:r>
    </w:p>
    <w:p>
      <w:pPr>
        <w:pStyle w:val="BodyText"/>
        <w:spacing w:line="304" w:lineRule="auto"/>
        <w:rPr/>
      </w:pPr>
      <w:r/>
    </w:p>
    <w:p>
      <w:pPr>
        <w:ind w:left="1936"/>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上交所发布资产支持证券业务规则及持续信息披露指引</w:t>
      </w:r>
      <w:r>
        <w:rPr>
          <w:rFonts w:ascii="Microsoft YaHei" w:hAnsi="Microsoft YaHei" w:eastAsia="Microsoft YaHei" w:cs="Microsoft YaHei"/>
          <w:sz w:val="24"/>
          <w:szCs w:val="24"/>
          <w:b/>
          <w:bCs/>
          <w:color w:val="333333"/>
          <w:spacing w:val="51"/>
          <w:w w:val="101"/>
        </w:rPr>
        <w:t xml:space="preserve"> </w:t>
      </w:r>
      <w:r>
        <w:rPr>
          <w:rFonts w:ascii="Microsoft YaHei" w:hAnsi="Microsoft YaHei" w:eastAsia="Microsoft YaHei" w:cs="Microsoft YaHei"/>
          <w:sz w:val="24"/>
          <w:szCs w:val="24"/>
          <w:b/>
          <w:bCs/>
          <w:color w:val="333333"/>
          <w:spacing w:val="-1"/>
        </w:rPr>
        <w:t>规范资产证券化运行管理</w:t>
      </w:r>
    </w:p>
    <w:p>
      <w:pPr>
        <w:spacing w:line="183"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2"/>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2、上海证券交易所2024年为市场办实事项目正式发布</w:t>
      </w:r>
    </w:p>
    <w:p>
      <w:pPr>
        <w:ind w:right="33" w:firstLine="431"/>
        <w:spacing w:before="328" w:line="218"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《项目清单》是上交所在深入学习贯彻中央</w:t>
      </w:r>
      <w:r>
        <w:rPr>
          <w:rFonts w:ascii="Microsoft YaHei" w:hAnsi="Microsoft YaHei" w:eastAsia="Microsoft YaHei" w:cs="Microsoft YaHei"/>
          <w:sz w:val="22"/>
          <w:szCs w:val="22"/>
          <w:spacing w:val="-7"/>
        </w:rPr>
        <w:t>金融工作会议和2024年全国两会精神的基础上</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7"/>
        </w:rPr>
        <w:t>，结合推动注册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制走深走实、做好金融“五篇大文章”、数字化转型等重点任务</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，以进一步转变工作作风、提升服务效能</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，让市</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场各方有实实在在获得感为主旨</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，梳理形成的具体落地举措。《项目清单》包括四个方面十件“实事”</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，覆盖上</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交所上市审核、一线监管、产品创新、市场服务、信息技术等主要业务领域。</w:t>
      </w:r>
    </w:p>
    <w:p>
      <w:pPr>
        <w:pStyle w:val="BodyText"/>
        <w:spacing w:line="276" w:lineRule="auto"/>
        <w:rPr/>
      </w:pPr>
      <w:r/>
    </w:p>
    <w:p>
      <w:pPr>
        <w:pStyle w:val="BodyText"/>
        <w:spacing w:line="276" w:lineRule="auto"/>
        <w:rPr/>
      </w:pPr>
      <w:r/>
    </w:p>
    <w:p>
      <w:pPr>
        <w:pStyle w:val="BodyText"/>
        <w:spacing w:line="276" w:lineRule="auto"/>
        <w:rPr/>
      </w:pPr>
      <w:r/>
    </w:p>
    <w:p>
      <w:pPr>
        <w:pStyle w:val="BodyText"/>
        <w:spacing w:line="277" w:lineRule="auto"/>
        <w:rPr/>
      </w:pPr>
      <w:r/>
    </w:p>
    <w:p>
      <w:pPr>
        <w:spacing w:before="94"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position w:val="33"/>
        </w:rPr>
        <w:t>上海证券交易所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2024年03月29日</w:t>
      </w:r>
    </w:p>
    <w:p>
      <w:pPr>
        <w:pStyle w:val="BodyText"/>
        <w:spacing w:line="262" w:lineRule="auto"/>
        <w:rPr/>
      </w:pPr>
      <w:r/>
    </w:p>
    <w:p>
      <w:pPr>
        <w:pStyle w:val="BodyText"/>
        <w:spacing w:line="263" w:lineRule="auto"/>
        <w:rPr/>
      </w:pPr>
      <w:r/>
    </w:p>
    <w:p>
      <w:pPr>
        <w:ind w:firstLine="4021"/>
        <w:spacing w:line="2468" w:lineRule="exact"/>
        <w:rPr/>
      </w:pPr>
      <w:r>
        <w:rPr>
          <w:position w:val="-49"/>
        </w:rPr>
        <w:drawing>
          <wp:inline distT="0" distB="0" distL="0" distR="0">
            <wp:extent cx="1566672" cy="1566672"/>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566672" cy="1566672"/>
                    </a:xfrm>
                    <a:prstGeom prst="rect">
                      <a:avLst/>
                    </a:prstGeom>
                  </pic:spPr>
                </pic:pic>
              </a:graphicData>
            </a:graphic>
          </wp:inline>
        </w:drawing>
      </w:r>
    </w:p>
    <w:p>
      <w:pPr>
        <w:ind w:left="2569"/>
        <w:spacing w:before="341"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上海证券交易所2024年为市场办实事项目正式发布</w:t>
      </w:r>
    </w:p>
    <w:p>
      <w:pPr>
        <w:spacing w:line="183" w:lineRule="auto"/>
        <w:sectPr>
          <w:pgSz w:w="11910" w:h="16840"/>
          <w:pgMar w:top="400" w:right="454" w:bottom="0" w:left="932" w:header="0" w:footer="0" w:gutter="0"/>
        </w:sectPr>
        <w:rPr>
          <w:rFonts w:ascii="Microsoft YaHei" w:hAnsi="Microsoft YaHei" w:eastAsia="Microsoft YaHei" w:cs="Microsoft YaHei"/>
          <w:sz w:val="24"/>
          <w:szCs w:val="24"/>
        </w:rPr>
      </w:pPr>
    </w:p>
    <w:p>
      <w:pPr>
        <w:ind w:left="19"/>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3、深交所发布资产支持证券业务规则和三项配套指引</w:t>
      </w:r>
    </w:p>
    <w:p>
      <w:pPr>
        <w:ind w:right="77" w:firstLine="451"/>
        <w:spacing w:before="328" w:line="218"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3月29日</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7"/>
        </w:rPr>
        <w:t>，深交所发布《深圳证券交易所资产支持证券业务规则》以及《资产支持证券存续期监管业</w:t>
      </w:r>
      <w:r>
        <w:rPr>
          <w:rFonts w:ascii="Microsoft YaHei" w:hAnsi="Microsoft YaHei" w:eastAsia="Microsoft YaHei" w:cs="Microsoft YaHei"/>
          <w:sz w:val="22"/>
          <w:szCs w:val="22"/>
          <w:spacing w:val="-8"/>
        </w:rPr>
        <w:t>务指引</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第1号——定期报告》《资产支持证券存续期监管业务指引第2号——临时报告》《资产支持证券存续期监管业</w:t>
      </w:r>
      <w:r>
        <w:rPr>
          <w:rFonts w:ascii="Microsoft YaHei" w:hAnsi="Microsoft YaHei" w:eastAsia="Microsoft YaHei" w:cs="Microsoft YaHei"/>
          <w:sz w:val="22"/>
          <w:szCs w:val="22"/>
          <w:spacing w:val="5"/>
        </w:rPr>
        <w:t xml:space="preserve">  </w:t>
      </w:r>
      <w:r>
        <w:rPr>
          <w:rFonts w:ascii="Microsoft YaHei" w:hAnsi="Microsoft YaHei" w:eastAsia="Microsoft YaHei" w:cs="Microsoft YaHei"/>
          <w:sz w:val="22"/>
          <w:szCs w:val="22"/>
          <w:spacing w:val="-7"/>
        </w:rPr>
        <w:t>务指引第3号——信用风险管理》三项配套业务指引 ，稳步构建以业务规则为核心、业务指引为主干、业务指南</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为补充的资产支持证券业务规则体系。</w:t>
      </w:r>
    </w:p>
    <w:p>
      <w:pPr>
        <w:pStyle w:val="BodyText"/>
        <w:spacing w:line="276" w:lineRule="auto"/>
        <w:rPr/>
      </w:pPr>
      <w:r/>
    </w:p>
    <w:p>
      <w:pPr>
        <w:pStyle w:val="BodyText"/>
        <w:spacing w:line="276" w:lineRule="auto"/>
        <w:rPr/>
      </w:pPr>
      <w:r/>
    </w:p>
    <w:p>
      <w:pPr>
        <w:pStyle w:val="BodyText"/>
        <w:spacing w:line="276" w:lineRule="auto"/>
        <w:rPr/>
      </w:pPr>
      <w:r/>
    </w:p>
    <w:p>
      <w:pPr>
        <w:pStyle w:val="BodyText"/>
        <w:spacing w:line="277" w:lineRule="auto"/>
        <w:rPr/>
      </w:pPr>
      <w:r/>
    </w:p>
    <w:p>
      <w:pPr>
        <w:spacing w:before="94"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3"/>
        </w:rPr>
        <w:t>深圳证券交易所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2024年03月29日</w:t>
      </w:r>
    </w:p>
    <w:p>
      <w:pPr>
        <w:pStyle w:val="BodyText"/>
        <w:spacing w:line="262" w:lineRule="auto"/>
        <w:rPr/>
      </w:pPr>
      <w:r/>
    </w:p>
    <w:p>
      <w:pPr>
        <w:pStyle w:val="BodyText"/>
        <w:spacing w:line="263" w:lineRule="auto"/>
        <w:rPr/>
      </w:pPr>
      <w:r/>
    </w:p>
    <w:p>
      <w:pPr>
        <w:ind w:firstLine="4023"/>
        <w:spacing w:line="2453" w:lineRule="exact"/>
        <w:rPr/>
      </w:pPr>
      <w:r>
        <w:rPr>
          <w:position w:val="-49"/>
        </w:rPr>
        <w:drawing>
          <wp:inline distT="0" distB="0" distL="0" distR="0">
            <wp:extent cx="1557527" cy="1557528"/>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557527" cy="1557528"/>
                    </a:xfrm>
                    <a:prstGeom prst="rect">
                      <a:avLst/>
                    </a:prstGeom>
                  </pic:spPr>
                </pic:pic>
              </a:graphicData>
            </a:graphic>
          </wp:inline>
        </w:drawing>
      </w:r>
    </w:p>
    <w:p>
      <w:pPr>
        <w:pStyle w:val="BodyText"/>
        <w:spacing w:line="251" w:lineRule="auto"/>
        <w:rPr/>
      </w:pPr>
      <w:r/>
    </w:p>
    <w:p>
      <w:pPr>
        <w:ind w:left="2622"/>
        <w:spacing w:before="104"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深交所发布资产支持证券业务规则和三项配套指引</w:t>
      </w:r>
    </w:p>
    <w:p>
      <w:pPr>
        <w:spacing w:line="183" w:lineRule="auto"/>
        <w:sectPr>
          <w:pgSz w:w="11910" w:h="16840"/>
          <w:pgMar w:top="400" w:right="454" w:bottom="0" w:left="929" w:header="0" w:footer="0" w:gutter="0"/>
        </w:sectPr>
        <w:rPr>
          <w:rFonts w:ascii="Microsoft YaHei" w:hAnsi="Microsoft YaHei" w:eastAsia="Microsoft YaHei" w:cs="Microsoft YaHei"/>
          <w:sz w:val="24"/>
          <w:szCs w:val="24"/>
        </w:rPr>
      </w:pPr>
    </w:p>
    <w:p>
      <w:pPr>
        <w:ind w:left="5"/>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4、深交所多地开展3</w:t>
      </w:r>
      <w:r>
        <w:rPr>
          <w:rFonts w:ascii="Microsoft YaHei" w:hAnsi="Microsoft YaHei" w:eastAsia="Microsoft YaHei" w:cs="Microsoft YaHei"/>
          <w:sz w:val="24"/>
          <w:szCs w:val="24"/>
          <w:b/>
          <w:bCs/>
          <w:color w:val="333333"/>
          <w:spacing w:val="-35"/>
        </w:rPr>
        <w:t xml:space="preserve"> </w:t>
      </w:r>
      <w:r>
        <w:rPr>
          <w:rFonts w:ascii="Microsoft YaHei" w:hAnsi="Microsoft YaHei" w:eastAsia="Microsoft YaHei" w:cs="Microsoft YaHei"/>
          <w:sz w:val="24"/>
          <w:szCs w:val="24"/>
          <w:b/>
          <w:bCs/>
          <w:color w:val="333333"/>
          <w:spacing w:val="-2"/>
        </w:rPr>
        <w:t>·15投资者服务周活动</w:t>
      </w:r>
    </w:p>
    <w:p>
      <w:pPr>
        <w:pStyle w:val="BodyText"/>
        <w:spacing w:line="269" w:lineRule="auto"/>
        <w:rPr/>
      </w:pPr>
      <w:r/>
    </w:p>
    <w:p>
      <w:pPr>
        <w:ind w:right="24" w:firstLine="442"/>
        <w:spacing w:before="95" w:line="212"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为深入学习贯彻习近平新时代中国特色社会主义思想和中央金融工作会议精神</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7"/>
        </w:rPr>
        <w:t>，深刻把握资本市</w:t>
      </w:r>
      <w:r>
        <w:rPr>
          <w:rFonts w:ascii="Microsoft YaHei" w:hAnsi="Microsoft YaHei" w:eastAsia="Microsoft YaHei" w:cs="Microsoft YaHei"/>
          <w:sz w:val="22"/>
          <w:szCs w:val="22"/>
          <w:spacing w:val="-8"/>
        </w:rPr>
        <w:t>场和交易所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工作的政治性人民性</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7"/>
        </w:rPr>
        <w:t>，近期深交所在北京、山西、江苏、福建、广东、海南、陕西等地持续开展3·15投资者服务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0"/>
        </w:rPr>
        <w:t>周系列活动</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10"/>
        </w:rPr>
        <w:t>，围绕做好金融“五篇大文章”</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10"/>
        </w:rPr>
        <w:t>，聚焦金融为民、金融惠民、金融便民</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10"/>
        </w:rPr>
        <w:t>，深入基层为群众办实事</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10"/>
        </w:rPr>
        <w:t>，持</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8"/>
        </w:rPr>
        <w:t>续倡导理性投资理念</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，推动提升全民金融素养</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，为资本市场改革发展稳定</w:t>
      </w:r>
      <w:r>
        <w:rPr>
          <w:rFonts w:ascii="Microsoft YaHei" w:hAnsi="Microsoft YaHei" w:eastAsia="Microsoft YaHei" w:cs="Microsoft YaHei"/>
          <w:sz w:val="22"/>
          <w:szCs w:val="22"/>
          <w:spacing w:val="-9"/>
        </w:rPr>
        <w:t>夯实投资者基础。</w:t>
      </w:r>
    </w:p>
    <w:p>
      <w:pPr>
        <w:pStyle w:val="BodyText"/>
        <w:spacing w:line="276" w:lineRule="auto"/>
        <w:rPr/>
      </w:pPr>
      <w:r/>
    </w:p>
    <w:p>
      <w:pPr>
        <w:pStyle w:val="BodyText"/>
        <w:spacing w:line="276" w:lineRule="auto"/>
        <w:rPr/>
      </w:pPr>
      <w:r/>
    </w:p>
    <w:p>
      <w:pPr>
        <w:pStyle w:val="BodyText"/>
        <w:spacing w:line="276" w:lineRule="auto"/>
        <w:rPr/>
      </w:pPr>
      <w:r/>
    </w:p>
    <w:p>
      <w:pPr>
        <w:pStyle w:val="BodyText"/>
        <w:spacing w:line="277" w:lineRule="auto"/>
        <w:rPr/>
      </w:pPr>
      <w:r/>
    </w:p>
    <w:p>
      <w:pPr>
        <w:spacing w:before="94" w:line="640"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3"/>
        </w:rPr>
        <w:t>深圳证券交易所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2024年03月27日</w:t>
      </w:r>
    </w:p>
    <w:p>
      <w:pPr>
        <w:ind w:firstLine="3806"/>
        <w:spacing w:before="241" w:line="2892" w:lineRule="exact"/>
        <w:rPr/>
      </w:pPr>
      <w:r>
        <w:rPr>
          <w:position w:val="-57"/>
        </w:rPr>
        <w:drawing>
          <wp:inline distT="0" distB="0" distL="0" distR="0">
            <wp:extent cx="1836420" cy="1836419"/>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836420" cy="1836419"/>
                    </a:xfrm>
                    <a:prstGeom prst="rect">
                      <a:avLst/>
                    </a:prstGeom>
                  </pic:spPr>
                </pic:pic>
              </a:graphicData>
            </a:graphic>
          </wp:inline>
        </w:drawing>
      </w:r>
    </w:p>
    <w:p>
      <w:pPr>
        <w:pStyle w:val="BodyText"/>
        <w:spacing w:line="244" w:lineRule="auto"/>
        <w:rPr/>
      </w:pPr>
      <w:r/>
    </w:p>
    <w:p>
      <w:pPr>
        <w:ind w:left="3188"/>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深交所多地开展3</w:t>
      </w:r>
      <w:r>
        <w:rPr>
          <w:rFonts w:ascii="Microsoft YaHei" w:hAnsi="Microsoft YaHei" w:eastAsia="Microsoft YaHei" w:cs="Microsoft YaHei"/>
          <w:sz w:val="24"/>
          <w:szCs w:val="24"/>
          <w:b/>
          <w:bCs/>
          <w:color w:val="333333"/>
          <w:spacing w:val="-38"/>
        </w:rPr>
        <w:t xml:space="preserve"> </w:t>
      </w:r>
      <w:r>
        <w:rPr>
          <w:rFonts w:ascii="Microsoft YaHei" w:hAnsi="Microsoft YaHei" w:eastAsia="Microsoft YaHei" w:cs="Microsoft YaHei"/>
          <w:sz w:val="24"/>
          <w:szCs w:val="24"/>
          <w:b/>
          <w:bCs/>
          <w:color w:val="333333"/>
          <w:spacing w:val="-2"/>
        </w:rPr>
        <w:t>·15投资者服务周活动</w:t>
      </w:r>
    </w:p>
    <w:p>
      <w:pPr>
        <w:spacing w:line="183" w:lineRule="auto"/>
        <w:sectPr>
          <w:pgSz w:w="11910" w:h="16840"/>
          <w:pgMar w:top="400" w:right="454" w:bottom="0" w:left="930" w:header="0" w:footer="0" w:gutter="0"/>
        </w:sectPr>
        <w:rPr>
          <w:rFonts w:ascii="Microsoft YaHei" w:hAnsi="Microsoft YaHei" w:eastAsia="Microsoft YaHei" w:cs="Microsoft YaHei"/>
          <w:sz w:val="24"/>
          <w:szCs w:val="24"/>
        </w:rPr>
      </w:pPr>
    </w:p>
    <w:p>
      <w:pPr>
        <w:ind w:left="19"/>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5、“深交所·创享荟”聚焦算力硬件技术新机遇共话算力领域新质生产力</w:t>
      </w:r>
    </w:p>
    <w:p>
      <w:pPr>
        <w:pStyle w:val="BodyText"/>
        <w:spacing w:line="269" w:lineRule="auto"/>
        <w:rPr/>
      </w:pPr>
      <w:r/>
    </w:p>
    <w:p>
      <w:pPr>
        <w:ind w:right="76" w:firstLine="449"/>
        <w:spacing w:before="94"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8"/>
        </w:rPr>
        <w:t>3月27日</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，深交所举办第十四期“创享荟”综合算力硬件技术发展专题活动</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，来自深市算力硬件相关</w:t>
      </w:r>
      <w:r>
        <w:rPr>
          <w:rFonts w:ascii="Microsoft YaHei" w:hAnsi="Microsoft YaHei" w:eastAsia="Microsoft YaHei" w:cs="Microsoft YaHei"/>
          <w:sz w:val="22"/>
          <w:szCs w:val="22"/>
          <w:spacing w:val="-9"/>
        </w:rPr>
        <w:t>企业代</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表20余人齐聚一堂</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7"/>
        </w:rPr>
        <w:t>，共话资本市场助力算力领域发展新质生产力、推动高质量发展。</w:t>
      </w:r>
    </w:p>
    <w:p>
      <w:pPr>
        <w:pStyle w:val="BodyText"/>
        <w:spacing w:line="276" w:lineRule="auto"/>
        <w:rPr/>
      </w:pPr>
      <w:r/>
    </w:p>
    <w:p>
      <w:pPr>
        <w:pStyle w:val="BodyText"/>
        <w:spacing w:line="277" w:lineRule="auto"/>
        <w:rPr/>
      </w:pPr>
      <w:r/>
    </w:p>
    <w:p>
      <w:pPr>
        <w:pStyle w:val="BodyText"/>
        <w:spacing w:line="277" w:lineRule="auto"/>
        <w:rPr/>
      </w:pPr>
      <w:r/>
    </w:p>
    <w:p>
      <w:pPr>
        <w:pStyle w:val="BodyText"/>
        <w:spacing w:line="277" w:lineRule="auto"/>
        <w:rPr/>
      </w:pPr>
      <w:r/>
    </w:p>
    <w:p>
      <w:pPr>
        <w:spacing w:before="95" w:line="637"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position w:val="32"/>
        </w:rPr>
        <w:t>深圳证券交易所</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2024年03月27日</w:t>
      </w:r>
    </w:p>
    <w:p>
      <w:pPr>
        <w:ind w:firstLine="3877"/>
        <w:spacing w:before="241" w:line="2748" w:lineRule="exact"/>
        <w:rPr/>
      </w:pPr>
      <w:r>
        <w:rPr>
          <w:position w:val="-54"/>
        </w:rPr>
        <w:drawing>
          <wp:inline distT="0" distB="0" distL="0" distR="0">
            <wp:extent cx="1744980" cy="1744980"/>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744980" cy="1744980"/>
                    </a:xfrm>
                    <a:prstGeom prst="rect">
                      <a:avLst/>
                    </a:prstGeom>
                  </pic:spPr>
                </pic:pic>
              </a:graphicData>
            </a:graphic>
          </wp:inline>
        </w:drawing>
      </w:r>
    </w:p>
    <w:p>
      <w:pPr>
        <w:pStyle w:val="BodyText"/>
        <w:spacing w:line="244" w:lineRule="auto"/>
        <w:rPr/>
      </w:pPr>
      <w:r/>
    </w:p>
    <w:p>
      <w:pPr>
        <w:ind w:left="1617"/>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“深交所·创享荟”聚焦算力硬件技术新机遇共话算力领域新质生产力</w:t>
      </w:r>
    </w:p>
    <w:p>
      <w:pPr>
        <w:spacing w:line="183" w:lineRule="auto"/>
        <w:sectPr>
          <w:pgSz w:w="11910" w:h="16840"/>
          <w:pgMar w:top="400" w:right="454" w:bottom="0" w:left="931"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pt;height:2.65pt;z-index:251669504;" o:allowincell="f" fillcolor="#A61C20" filled="true" stroked="false"/>
        </w:pict>
      </w:r>
      <w:r>
        <w:pict>
          <v:group id="_x0000_s12" style="position:absolute;margin-left:0pt;margin-top:38.04pt;mso-position-vertical-relative:page;mso-position-horizontal-relative:page;width:67.85pt;height:56.8pt;z-index:251668480;"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8"/>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14" w:lineRule="auto"/>
        <w:rPr/>
      </w:pPr>
      <w:r/>
    </w:p>
    <w:p>
      <w:pPr>
        <w:ind w:left="446" w:right="367" w:firstLine="455"/>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2024年3月25日-3月31日</w:t>
      </w:r>
      <w:r>
        <w:rPr>
          <w:rFonts w:ascii="Microsoft YaHei" w:hAnsi="Microsoft YaHei" w:eastAsia="Microsoft YaHei" w:cs="Microsoft YaHei"/>
          <w:sz w:val="22"/>
          <w:szCs w:val="22"/>
          <w:spacing w:val="-4"/>
        </w:rPr>
        <w:t xml:space="preserve"> </w:t>
      </w:r>
      <w:r>
        <w:rPr>
          <w:rFonts w:ascii="Microsoft YaHei" w:hAnsi="Microsoft YaHei" w:eastAsia="Microsoft YaHei" w:cs="Microsoft YaHei"/>
          <w:sz w:val="22"/>
          <w:szCs w:val="22"/>
          <w:spacing w:val="-3"/>
        </w:rPr>
        <w:t>，证监会作出7份监管文书；证监局作出29份监管文书；上交所作出4份监管文书；深</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交所作出14份监管文书。</w:t>
      </w:r>
    </w:p>
    <w:p>
      <w:pPr>
        <w:pStyle w:val="BodyText"/>
        <w:spacing w:line="272" w:lineRule="auto"/>
        <w:rPr/>
      </w:pPr>
      <w:r/>
    </w:p>
    <w:p>
      <w:pPr>
        <w:ind w:left="442" w:right="501" w:firstLine="454"/>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2024年3月25日-3月31日 ，证监会作出1份行政处罚决定书</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5"/>
        </w:rPr>
        <w:t>，1份行政处罚决定事先告知书</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5"/>
        </w:rPr>
        <w:t>，对5个对象进行立</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案调查；证监局作出2份行政处罚决定事先告知书</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4"/>
        </w:rPr>
        <w:t>，1份行政处罚决定书</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4"/>
        </w:rPr>
        <w:t>，26</w:t>
      </w:r>
      <w:r>
        <w:rPr>
          <w:rFonts w:ascii="Microsoft YaHei" w:hAnsi="Microsoft YaHei" w:eastAsia="Microsoft YaHei" w:cs="Microsoft YaHei"/>
          <w:sz w:val="22"/>
          <w:szCs w:val="22"/>
          <w:spacing w:val="-5"/>
        </w:rPr>
        <w:t>份行政监管措施决定书。</w:t>
      </w:r>
    </w:p>
    <w:p>
      <w:pPr>
        <w:pStyle w:val="BodyText"/>
        <w:spacing w:line="275" w:lineRule="auto"/>
        <w:rPr/>
      </w:pPr>
      <w:r/>
    </w:p>
    <w:p>
      <w:pPr>
        <w:ind w:left="454" w:right="513" w:firstLine="445"/>
        <w:spacing w:before="95"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2024年3月25日-3月31日</w:t>
      </w:r>
      <w:r>
        <w:rPr>
          <w:rFonts w:ascii="Microsoft YaHei" w:hAnsi="Microsoft YaHei" w:eastAsia="Microsoft YaHei" w:cs="Microsoft YaHei"/>
          <w:sz w:val="22"/>
          <w:szCs w:val="22"/>
          <w:spacing w:val="-8"/>
        </w:rPr>
        <w:t xml:space="preserve"> </w:t>
      </w:r>
      <w:r>
        <w:rPr>
          <w:rFonts w:ascii="Microsoft YaHei" w:hAnsi="Microsoft YaHei" w:eastAsia="Microsoft YaHei" w:cs="Microsoft YaHei"/>
          <w:sz w:val="22"/>
          <w:szCs w:val="22"/>
          <w:spacing w:val="-5"/>
        </w:rPr>
        <w:t>，上交所公司监管部门作出1份监管警示函</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5"/>
        </w:rPr>
        <w:t>，对3宗行为予以纪律处分。同时</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5"/>
        </w:rPr>
        <w:t>，加大</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信息披露和股价异常的联动监管</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4"/>
        </w:rPr>
        <w:t>，针对公司披露敏感信息或股价发生明显异常的</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4"/>
        </w:rPr>
        <w:t>，提请启动内幕交</w:t>
      </w:r>
      <w:r>
        <w:rPr>
          <w:rFonts w:ascii="Microsoft YaHei" w:hAnsi="Microsoft YaHei" w:eastAsia="Microsoft YaHei" w:cs="Microsoft YaHei"/>
          <w:sz w:val="22"/>
          <w:szCs w:val="22"/>
          <w:spacing w:val="-5"/>
        </w:rPr>
        <w:t>易、异常交易核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查15单。</w:t>
      </w:r>
    </w:p>
    <w:p>
      <w:pPr>
        <w:pStyle w:val="BodyText"/>
        <w:spacing w:line="277" w:lineRule="auto"/>
        <w:rPr/>
      </w:pPr>
      <w:r/>
    </w:p>
    <w:p>
      <w:pPr>
        <w:ind w:left="467" w:right="463" w:firstLine="432"/>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2024年3月25日-3月31日</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5"/>
        </w:rPr>
        <w:t>，深交所发出11份监管函</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5"/>
        </w:rPr>
        <w:t>，对3宗行为予以纪律处分；共发出关注函12份</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5"/>
        </w:rPr>
        <w:t>，年报问询</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函4份。</w:t>
      </w:r>
    </w:p>
    <w:p>
      <w:pPr>
        <w:ind w:firstLine="2111"/>
        <w:spacing w:before="233" w:line="8070" w:lineRule="exact"/>
        <w:rPr/>
      </w:pPr>
      <w:r>
        <w:rPr>
          <w:position w:val="-161"/>
        </w:rPr>
        <w:drawing>
          <wp:inline distT="0" distB="0" distL="0" distR="0">
            <wp:extent cx="5537517" cy="5124132"/>
            <wp:effectExtent l="0" t="0" r="0" b="0"/>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5537517" cy="5124132"/>
                    </a:xfrm>
                    <a:prstGeom prst="rect">
                      <a:avLst/>
                    </a:prstGeom>
                  </pic:spPr>
                </pic:pic>
              </a:graphicData>
            </a:graphic>
          </wp:inline>
        </w:drawing>
      </w:r>
    </w:p>
    <w:p>
      <w:pPr>
        <w:spacing w:line="8070" w:lineRule="exact"/>
        <w:sectPr>
          <w:pgSz w:w="11910" w:h="16840"/>
          <w:pgMar w:top="400" w:right="42" w:bottom="0" w:left="0" w:header="0" w:footer="0" w:gutter="0"/>
        </w:sectPr>
        <w:rPr/>
      </w:pPr>
    </w:p>
    <w:p>
      <w:pPr>
        <w:ind w:firstLine="44"/>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11"/>
            </v:shape>
            <v:shape id="_x0000_s28" style="position:absolute;left:-20;top:-20;width:3806;height:965;" filled="false" stroked="false" type="#_x0000_t202">
              <v:fill on="false"/>
              <v:stroke on="false"/>
              <v:path/>
              <v:imagedata o:title=""/>
              <o:lock v:ext="edit" aspectratio="false"/>
              <v:textbox inset="0mm,0mm,0mm,0mm">
                <w:txbxContent>
                  <w:p>
                    <w:pPr>
                      <w:ind w:left="389"/>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pStyle w:val="BodyText"/>
        <w:spacing w:line="341" w:lineRule="auto"/>
        <w:rPr/>
      </w:pPr>
      <w:r/>
    </w:p>
    <w:p>
      <w:pPr>
        <w:ind w:left="479" w:right="146" w:firstLine="445"/>
        <w:spacing w:before="94" w:line="203"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2024年3月25日-3月31日</w:t>
      </w:r>
      <w:r>
        <w:rPr>
          <w:rFonts w:ascii="Microsoft YaHei" w:hAnsi="Microsoft YaHei" w:eastAsia="Microsoft YaHei" w:cs="Microsoft YaHei"/>
          <w:sz w:val="22"/>
          <w:szCs w:val="22"/>
          <w:spacing w:val="2"/>
        </w:rPr>
        <w:t xml:space="preserve"> </w:t>
      </w:r>
      <w:r>
        <w:rPr>
          <w:rFonts w:ascii="Microsoft YaHei" w:hAnsi="Microsoft YaHei" w:eastAsia="Microsoft YaHei" w:cs="Microsoft YaHei"/>
          <w:sz w:val="22"/>
          <w:szCs w:val="22"/>
          <w:spacing w:val="-5"/>
        </w:rPr>
        <w:t>，证监会作出1份行政处罚决定书</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5"/>
        </w:rPr>
        <w:t>，1份行政处罚决</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定事先告知书</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3"/>
        </w:rPr>
        <w:t>，对5个对象进行立案调查；</w:t>
      </w:r>
      <w:r>
        <w:rPr>
          <w:rFonts w:ascii="Microsoft YaHei" w:hAnsi="Microsoft YaHei" w:eastAsia="Microsoft YaHei" w:cs="Microsoft YaHei"/>
          <w:sz w:val="22"/>
          <w:szCs w:val="22"/>
          <w:spacing w:val="-4"/>
        </w:rPr>
        <w:t>证监局作出2份行政处罚决定事先告知</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7"/>
        </w:rPr>
        <w:t>书 ，1份行政处罚决定书 ，26份行政监管措施决定书。</w:t>
      </w:r>
    </w:p>
    <w:p>
      <w:pPr>
        <w:spacing w:before="305"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2"/>
        </w:rPr>
        <w:t>（</w:t>
      </w:r>
      <w:r>
        <w:rPr>
          <w:rFonts w:ascii="Microsoft YaHei" w:hAnsi="Microsoft YaHei" w:eastAsia="Microsoft YaHei" w:cs="Microsoft YaHei"/>
          <w:sz w:val="24"/>
          <w:szCs w:val="24"/>
          <w:b/>
          <w:bCs/>
          <w:color w:val="333333"/>
          <w:spacing w:val="29"/>
        </w:rPr>
        <w:t xml:space="preserve">  </w:t>
      </w:r>
      <w:r>
        <w:rPr>
          <w:rFonts w:ascii="Microsoft YaHei" w:hAnsi="Microsoft YaHei" w:eastAsia="Microsoft YaHei" w:cs="Microsoft YaHei"/>
          <w:sz w:val="24"/>
          <w:szCs w:val="24"/>
          <w:b/>
          <w:bCs/>
          <w:color w:val="333333"/>
          <w:spacing w:val="-12"/>
        </w:rPr>
        <w:t>1</w:t>
      </w:r>
      <w:r>
        <w:rPr>
          <w:rFonts w:ascii="Microsoft YaHei" w:hAnsi="Microsoft YaHei" w:eastAsia="Microsoft YaHei" w:cs="Microsoft YaHei"/>
          <w:sz w:val="24"/>
          <w:szCs w:val="24"/>
          <w:b/>
          <w:bCs/>
          <w:color w:val="333333"/>
          <w:spacing w:val="19"/>
        </w:rPr>
        <w:t xml:space="preserve">  </w:t>
      </w:r>
      <w:r>
        <w:rPr>
          <w:rFonts w:ascii="Microsoft YaHei" w:hAnsi="Microsoft YaHei" w:eastAsia="Microsoft YaHei" w:cs="Microsoft YaHei"/>
          <w:sz w:val="24"/>
          <w:szCs w:val="24"/>
          <w:b/>
          <w:bCs/>
          <w:color w:val="333333"/>
          <w:spacing w:val="-12"/>
        </w:rPr>
        <w:t>）行政处罚决定书</w:t>
      </w:r>
    </w:p>
    <w:p>
      <w:pPr>
        <w:spacing w:line="190" w:lineRule="exact"/>
        <w:rPr/>
      </w:pPr>
      <w:r/>
    </w:p>
    <w:tbl>
      <w:tblPr>
        <w:tblStyle w:val="TableNormal"/>
        <w:tblW w:w="8053" w:type="dxa"/>
        <w:tblInd w:w="16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4F81BD" w:sz="2" w:space="0"/>
            </w:tcBorders>
          </w:tcPr>
          <w:p>
            <w:pPr>
              <w:pStyle w:val="TableText"/>
              <w:ind w:left="180"/>
              <w:spacing w:before="108" w:line="188"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3"/>
              <w:spacing w:before="109" w:line="187"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19"/>
              <w:spacing w:before="108" w:line="188" w:lineRule="auto"/>
              <w:rPr/>
            </w:pPr>
            <w:r>
              <w:rPr>
                <w:b/>
                <w:bCs/>
                <w:color w:val="FFFFFF"/>
                <w:spacing w:val="8"/>
              </w:rPr>
              <w:t>违规行为</w:t>
            </w:r>
          </w:p>
        </w:tc>
      </w:tr>
      <w:tr>
        <w:trPr>
          <w:trHeight w:val="730" w:hRule="atLeast"/>
        </w:trPr>
        <w:tc>
          <w:tcPr>
            <w:shd w:val="clear" w:fill="B8CCE4"/>
            <w:tcW w:w="1214" w:type="dxa"/>
            <w:vAlign w:val="top"/>
            <w:tcBorders>
              <w:top w:val="single" w:color="4F81BD" w:sz="2" w:space="0"/>
            </w:tcBorders>
          </w:tcPr>
          <w:p>
            <w:pPr>
              <w:pStyle w:val="TableText"/>
              <w:ind w:left="241"/>
              <w:spacing w:before="281" w:line="178" w:lineRule="auto"/>
              <w:rPr/>
            </w:pPr>
            <w:r>
              <w:rPr>
                <w:spacing w:val="3"/>
              </w:rPr>
              <w:t>600343</w:t>
            </w:r>
          </w:p>
        </w:tc>
        <w:tc>
          <w:tcPr>
            <w:shd w:val="clear" w:fill="B8CCE4"/>
            <w:tcW w:w="1343" w:type="dxa"/>
            <w:vAlign w:val="top"/>
            <w:tcBorders>
              <w:top w:val="single" w:color="4F81BD" w:sz="2" w:space="0"/>
            </w:tcBorders>
          </w:tcPr>
          <w:p>
            <w:pPr>
              <w:pStyle w:val="TableText"/>
              <w:ind w:left="241"/>
              <w:spacing w:before="264" w:line="190" w:lineRule="auto"/>
              <w:rPr/>
            </w:pPr>
            <w:r>
              <w:rPr>
                <w:spacing w:val="8"/>
              </w:rPr>
              <w:t>航天动力</w:t>
            </w:r>
          </w:p>
        </w:tc>
        <w:tc>
          <w:tcPr>
            <w:shd w:val="clear" w:fill="B8CCE4"/>
            <w:tcW w:w="5496" w:type="dxa"/>
            <w:vAlign w:val="top"/>
            <w:tcBorders>
              <w:top w:val="single" w:color="4F81BD" w:sz="2" w:space="0"/>
            </w:tcBorders>
          </w:tcPr>
          <w:p>
            <w:pPr>
              <w:pStyle w:val="TableText"/>
              <w:ind w:left="99" w:right="102" w:firstLine="13"/>
              <w:spacing w:before="86" w:line="221" w:lineRule="auto"/>
              <w:rPr/>
            </w:pPr>
            <w:r>
              <w:rPr>
                <w:spacing w:val="9"/>
              </w:rPr>
              <w:t>因专网通信业务 ，2016年至2020年定期报告存在</w:t>
            </w:r>
            <w:r>
              <w:rPr>
                <w:b/>
                <w:bCs/>
                <w:spacing w:val="9"/>
              </w:rPr>
              <w:t>虚假记</w:t>
            </w:r>
            <w:r>
              <w:rPr>
                <w:b/>
                <w:bCs/>
                <w:spacing w:val="5"/>
              </w:rPr>
              <w:t xml:space="preserve"> </w:t>
            </w:r>
            <w:r>
              <w:rPr>
                <w:b/>
                <w:bCs/>
                <w:spacing w:val="8"/>
              </w:rPr>
              <w:t>载</w:t>
            </w:r>
            <w:r>
              <w:rPr>
                <w:spacing w:val="8"/>
              </w:rPr>
              <w:t>；2020年临时报告存在</w:t>
            </w:r>
            <w:r>
              <w:rPr>
                <w:b/>
                <w:bCs/>
                <w:spacing w:val="8"/>
              </w:rPr>
              <w:t>虚假记载。</w:t>
            </w:r>
          </w:p>
        </w:tc>
      </w:tr>
      <w:tr>
        <w:trPr>
          <w:trHeight w:val="3960" w:hRule="atLeast"/>
        </w:trPr>
        <w:tc>
          <w:tcPr>
            <w:tcW w:w="8053" w:type="dxa"/>
            <w:vAlign w:val="top"/>
            <w:gridSpan w:val="3"/>
          </w:tcPr>
          <w:p>
            <w:pPr>
              <w:pStyle w:val="TableText"/>
              <w:ind w:left="122"/>
              <w:spacing w:before="39" w:line="237" w:lineRule="auto"/>
              <w:rPr/>
            </w:pPr>
            <w:r>
              <w:rPr>
                <w:b/>
                <w:bCs/>
                <w:spacing w:val="8"/>
              </w:rPr>
              <w:t>【行政处罚决定】</w:t>
            </w:r>
            <w:r>
              <w:rPr>
                <w:spacing w:val="8"/>
              </w:rPr>
              <w:t>中国证监会决定:</w:t>
            </w:r>
          </w:p>
          <w:p>
            <w:pPr>
              <w:pStyle w:val="TableText"/>
              <w:ind w:left="120"/>
              <w:spacing w:before="63" w:line="190" w:lineRule="auto"/>
              <w:rPr/>
            </w:pPr>
            <w:r>
              <w:rPr>
                <w:spacing w:val="11"/>
              </w:rPr>
              <w:t>1、责令陕西航天动力高科技股份有限公司改正 ，给予警</w:t>
            </w:r>
            <w:r>
              <w:rPr>
                <w:spacing w:val="10"/>
              </w:rPr>
              <w:t>告 ，并处以600万元的罚款</w:t>
            </w:r>
          </w:p>
          <w:p>
            <w:pPr>
              <w:pStyle w:val="TableText"/>
              <w:ind w:left="186"/>
              <w:spacing w:before="149" w:line="211" w:lineRule="exact"/>
              <w:rPr/>
            </w:pPr>
            <w:r>
              <w:rPr>
                <w:position w:val="2"/>
              </w:rPr>
              <w:t>;</w:t>
            </w:r>
          </w:p>
          <w:p>
            <w:pPr>
              <w:pStyle w:val="TableText"/>
              <w:ind w:left="116" w:right="405" w:hanging="3"/>
              <w:spacing w:before="87" w:line="221" w:lineRule="auto"/>
              <w:rPr/>
            </w:pPr>
            <w:r>
              <w:rPr>
                <w:spacing w:val="7"/>
              </w:rPr>
              <w:t>2、对法定代表人,时任董事长,时任总经理朱某给予警告 ，并处以200万元的罚款；</w:t>
            </w:r>
            <w:r>
              <w:rPr>
                <w:spacing w:val="14"/>
              </w:rPr>
              <w:t xml:space="preserve"> </w:t>
            </w:r>
            <w:r>
              <w:rPr>
                <w:spacing w:val="6"/>
              </w:rPr>
              <w:t>3、对时任高管韩某钊给予警告 ，并处以150万元的罚款；</w:t>
            </w:r>
          </w:p>
          <w:p>
            <w:pPr>
              <w:pStyle w:val="TableText"/>
              <w:ind w:left="120" w:right="405" w:hanging="16"/>
              <w:spacing w:before="88" w:line="221" w:lineRule="auto"/>
              <w:rPr/>
            </w:pPr>
            <w:r>
              <w:rPr>
                <w:spacing w:val="8"/>
              </w:rPr>
              <w:t>4、对时任高管,时任董秘,时任财务总监任某安给</w:t>
            </w:r>
            <w:r>
              <w:rPr>
                <w:spacing w:val="7"/>
              </w:rPr>
              <w:t>予警告 ，并处以100万元的罚款；</w:t>
            </w:r>
            <w:r>
              <w:rPr/>
              <w:t xml:space="preserve"> </w:t>
            </w:r>
            <w:r>
              <w:rPr>
                <w:spacing w:val="6"/>
              </w:rPr>
              <w:t>5、对时任高管,时任财务总监金某给予警告 ，并处以80万元的罚款。</w:t>
            </w:r>
          </w:p>
          <w:p>
            <w:pPr>
              <w:pStyle w:val="TableText"/>
              <w:ind w:left="120" w:right="673" w:hanging="15"/>
              <w:spacing w:before="50" w:line="234" w:lineRule="auto"/>
              <w:rPr/>
            </w:pPr>
            <w:r>
              <w:rPr>
                <w:spacing w:val="7"/>
              </w:rPr>
              <w:t>按照2005年修订的《证券法》第一百九十三条第一款的规定 ，中国证监会决定:</w:t>
            </w:r>
            <w:r>
              <w:rPr>
                <w:spacing w:val="15"/>
                <w:w w:val="101"/>
              </w:rPr>
              <w:t xml:space="preserve"> </w:t>
            </w:r>
            <w:r>
              <w:rPr>
                <w:spacing w:val="6"/>
              </w:rPr>
              <w:t>1、对时任总经理郭某峰给予警告 ，并处以30万元的罚款；</w:t>
            </w:r>
          </w:p>
          <w:p>
            <w:pPr>
              <w:pStyle w:val="TableText"/>
              <w:ind w:left="113"/>
              <w:spacing w:before="90" w:line="362" w:lineRule="exact"/>
              <w:rPr/>
            </w:pPr>
            <w:r>
              <w:rPr>
                <w:spacing w:val="7"/>
                <w:position w:val="12"/>
              </w:rPr>
              <w:t>2、对时任董事长周某民给予警告 ，并处以15万元的</w:t>
            </w:r>
            <w:r>
              <w:rPr>
                <w:spacing w:val="6"/>
                <w:position w:val="12"/>
              </w:rPr>
              <w:t>罚款；</w:t>
            </w:r>
          </w:p>
          <w:p>
            <w:pPr>
              <w:pStyle w:val="TableText"/>
              <w:ind w:left="116"/>
              <w:spacing w:line="185" w:lineRule="auto"/>
              <w:rPr/>
            </w:pPr>
            <w:r>
              <w:rPr>
                <w:spacing w:val="6"/>
              </w:rPr>
              <w:t>3、对时任董事长谭某华给予警告 ，并处以5万元的罚款。</w:t>
            </w:r>
          </w:p>
        </w:tc>
      </w:tr>
      <w:tr>
        <w:trPr>
          <w:trHeight w:val="365" w:hRule="atLeast"/>
        </w:trPr>
        <w:tc>
          <w:tcPr>
            <w:shd w:val="clear" w:fill="B8CCE4"/>
            <w:tcW w:w="1214" w:type="dxa"/>
            <w:vAlign w:val="top"/>
          </w:tcPr>
          <w:p>
            <w:pPr>
              <w:pStyle w:val="TableText"/>
              <w:ind w:left="241"/>
              <w:spacing w:before="103" w:line="176" w:lineRule="auto"/>
              <w:rPr/>
            </w:pPr>
            <w:r>
              <w:rPr>
                <w:spacing w:val="3"/>
              </w:rPr>
              <w:t>603843</w:t>
            </w:r>
          </w:p>
        </w:tc>
        <w:tc>
          <w:tcPr>
            <w:shd w:val="clear" w:fill="B8CCE4"/>
            <w:tcW w:w="1343" w:type="dxa"/>
            <w:vAlign w:val="top"/>
          </w:tcPr>
          <w:p>
            <w:pPr>
              <w:pStyle w:val="TableText"/>
              <w:ind w:left="242"/>
              <w:spacing w:before="91" w:line="184" w:lineRule="auto"/>
              <w:rPr/>
            </w:pPr>
            <w:r>
              <w:rPr>
                <w:spacing w:val="8"/>
              </w:rPr>
              <w:t>正平股份</w:t>
            </w:r>
          </w:p>
        </w:tc>
        <w:tc>
          <w:tcPr>
            <w:shd w:val="clear" w:fill="B8CCE4"/>
            <w:tcW w:w="5496" w:type="dxa"/>
            <w:vAlign w:val="top"/>
          </w:tcPr>
          <w:p>
            <w:pPr>
              <w:pStyle w:val="TableText"/>
              <w:ind w:left="107"/>
              <w:spacing w:before="87" w:line="187" w:lineRule="auto"/>
              <w:rPr/>
            </w:pPr>
            <w:r>
              <w:rPr>
                <w:spacing w:val="7"/>
              </w:rPr>
              <w:t>2021年年度报告、</w:t>
            </w:r>
            <w:r>
              <w:rPr>
                <w:spacing w:val="-35"/>
              </w:rPr>
              <w:t xml:space="preserve"> </w:t>
            </w:r>
            <w:r>
              <w:rPr>
                <w:spacing w:val="7"/>
              </w:rPr>
              <w:t>2022年半年度报告存在</w:t>
            </w:r>
            <w:r>
              <w:rPr>
                <w:b/>
                <w:bCs/>
                <w:spacing w:val="7"/>
              </w:rPr>
              <w:t>虚假记载</w:t>
            </w:r>
            <w:r>
              <w:rPr>
                <w:spacing w:val="7"/>
              </w:rPr>
              <w:t>。</w:t>
            </w:r>
          </w:p>
        </w:tc>
      </w:tr>
      <w:tr>
        <w:trPr>
          <w:trHeight w:val="2890" w:hRule="atLeast"/>
        </w:trPr>
        <w:tc>
          <w:tcPr>
            <w:tcW w:w="8053" w:type="dxa"/>
            <w:vAlign w:val="top"/>
            <w:gridSpan w:val="3"/>
          </w:tcPr>
          <w:p>
            <w:pPr>
              <w:pStyle w:val="TableText"/>
              <w:ind w:left="122"/>
              <w:spacing w:before="47" w:line="237" w:lineRule="auto"/>
              <w:rPr/>
            </w:pPr>
            <w:r>
              <w:rPr>
                <w:b/>
                <w:bCs/>
                <w:spacing w:val="8"/>
              </w:rPr>
              <w:t>【行政处罚决定】</w:t>
            </w:r>
            <w:r>
              <w:rPr>
                <w:spacing w:val="8"/>
              </w:rPr>
              <w:t>中国证券监督管理委员会青海监管局决定 ：</w:t>
            </w:r>
          </w:p>
          <w:p>
            <w:pPr>
              <w:pStyle w:val="TableText"/>
              <w:ind w:left="120"/>
              <w:spacing w:before="64" w:line="189" w:lineRule="auto"/>
              <w:rPr/>
            </w:pPr>
            <w:r>
              <w:rPr>
                <w:spacing w:val="6"/>
              </w:rPr>
              <w:t>1、对正平路桥建设股份有限公司责令改正 ，给予警</w:t>
            </w:r>
            <w:r>
              <w:rPr>
                <w:spacing w:val="5"/>
              </w:rPr>
              <w:t>告 ，并处以150万元罚款；</w:t>
            </w:r>
          </w:p>
          <w:p>
            <w:pPr>
              <w:pStyle w:val="TableText"/>
              <w:ind w:left="105" w:right="102" w:firstLine="7"/>
              <w:spacing w:before="88" w:line="221" w:lineRule="auto"/>
              <w:rPr/>
            </w:pPr>
            <w:r>
              <w:rPr>
                <w:spacing w:val="8"/>
              </w:rPr>
              <w:t>2、对</w:t>
            </w:r>
            <w:r>
              <w:rPr>
                <w:color w:val="333333"/>
                <w:spacing w:val="8"/>
              </w:rPr>
              <w:t>实际控制人,时任董事</w:t>
            </w:r>
            <w:r>
              <w:rPr>
                <w:spacing w:val="8"/>
              </w:rPr>
              <w:t>金某辉给予警告 ，并处以230万元罚款 </w:t>
            </w:r>
            <w:r>
              <w:rPr>
                <w:spacing w:val="7"/>
              </w:rPr>
              <w:t>，其中 ，作为直接</w:t>
            </w:r>
            <w:r>
              <w:rPr/>
              <w:t xml:space="preserve"> </w:t>
            </w:r>
            <w:r>
              <w:rPr>
                <w:spacing w:val="7"/>
              </w:rPr>
              <w:t>负责的主管人员处以80万元罚款 ，作为实际控制人处以150万元罚款；</w:t>
            </w:r>
          </w:p>
          <w:p>
            <w:pPr>
              <w:pStyle w:val="TableText"/>
              <w:ind w:left="104" w:right="527" w:firstLine="12"/>
              <w:spacing w:before="88" w:line="221" w:lineRule="auto"/>
              <w:rPr/>
            </w:pPr>
            <w:r>
              <w:rPr>
                <w:spacing w:val="7"/>
              </w:rPr>
              <w:t>3、对实际控制人,时任董事长,时任总经理金某光给予警告 ，并处以80万元罚款；</w:t>
            </w:r>
            <w:r>
              <w:rPr>
                <w:spacing w:val="12"/>
              </w:rPr>
              <w:t xml:space="preserve"> </w:t>
            </w:r>
            <w:r>
              <w:rPr>
                <w:spacing w:val="7"/>
              </w:rPr>
              <w:t>4、对时任总经理任某伟给予警告 ，并处以70万元罚款；</w:t>
            </w:r>
          </w:p>
          <w:p>
            <w:pPr>
              <w:pStyle w:val="TableText"/>
              <w:ind w:left="120"/>
              <w:spacing w:before="88" w:line="190" w:lineRule="auto"/>
              <w:rPr/>
            </w:pPr>
            <w:r>
              <w:rPr>
                <w:spacing w:val="7"/>
              </w:rPr>
              <w:t>5、对时任高管,时任财务总监王某莹给予警告 ，并处以60万元罚款；</w:t>
            </w:r>
          </w:p>
          <w:p>
            <w:pPr>
              <w:pStyle w:val="TableText"/>
              <w:ind w:left="114"/>
              <w:spacing w:before="88" w:line="189" w:lineRule="auto"/>
              <w:rPr/>
            </w:pPr>
            <w:r>
              <w:rPr>
                <w:spacing w:val="6"/>
              </w:rPr>
              <w:t>6、对时任监事先某吉、</w:t>
            </w:r>
            <w:r>
              <w:rPr>
                <w:spacing w:val="-24"/>
              </w:rPr>
              <w:t xml:space="preserve"> </w:t>
            </w:r>
            <w:r>
              <w:rPr>
                <w:spacing w:val="6"/>
              </w:rPr>
              <w:t>时任高管李某兰给予警告 ，并分别处以50万元罚款。</w:t>
            </w:r>
          </w:p>
        </w:tc>
      </w:tr>
    </w:tbl>
    <w:p>
      <w:pPr>
        <w:pStyle w:val="BodyText"/>
        <w:spacing w:line="304"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8"/>
        </w:rPr>
        <w:t>（</w:t>
      </w:r>
      <w:r>
        <w:rPr>
          <w:rFonts w:ascii="Microsoft YaHei" w:hAnsi="Microsoft YaHei" w:eastAsia="Microsoft YaHei" w:cs="Microsoft YaHei"/>
          <w:sz w:val="24"/>
          <w:szCs w:val="24"/>
          <w:b/>
          <w:bCs/>
          <w:color w:val="333333"/>
          <w:spacing w:val="25"/>
        </w:rPr>
        <w:t xml:space="preserve">  </w:t>
      </w:r>
      <w:r>
        <w:rPr>
          <w:rFonts w:ascii="Microsoft YaHei" w:hAnsi="Microsoft YaHei" w:eastAsia="Microsoft YaHei" w:cs="Microsoft YaHei"/>
          <w:sz w:val="24"/>
          <w:szCs w:val="24"/>
          <w:b/>
          <w:bCs/>
          <w:color w:val="333333"/>
          <w:spacing w:val="-8"/>
        </w:rPr>
        <w:t>2</w:t>
      </w:r>
      <w:r>
        <w:rPr>
          <w:rFonts w:ascii="Microsoft YaHei" w:hAnsi="Microsoft YaHei" w:eastAsia="Microsoft YaHei" w:cs="Microsoft YaHei"/>
          <w:sz w:val="24"/>
          <w:szCs w:val="24"/>
          <w:b/>
          <w:bCs/>
          <w:color w:val="333333"/>
          <w:spacing w:val="19"/>
        </w:rPr>
        <w:t xml:space="preserve">  </w:t>
      </w:r>
      <w:r>
        <w:rPr>
          <w:rFonts w:ascii="Microsoft YaHei" w:hAnsi="Microsoft YaHei" w:eastAsia="Microsoft YaHei" w:cs="Microsoft YaHei"/>
          <w:sz w:val="24"/>
          <w:szCs w:val="24"/>
          <w:b/>
          <w:bCs/>
          <w:color w:val="333333"/>
          <w:spacing w:val="-8"/>
        </w:rPr>
        <w:t>）</w:t>
      </w:r>
      <w:r>
        <w:rPr>
          <w:rFonts w:ascii="Microsoft YaHei" w:hAnsi="Microsoft YaHei" w:eastAsia="Microsoft YaHei" w:cs="Microsoft YaHei"/>
          <w:sz w:val="24"/>
          <w:szCs w:val="24"/>
          <w:b/>
          <w:bCs/>
          <w:spacing w:val="-8"/>
        </w:rPr>
        <w:t>行政处罚决定事先告知书</w:t>
      </w:r>
    </w:p>
    <w:p>
      <w:pPr>
        <w:spacing w:line="191" w:lineRule="exact"/>
        <w:rPr/>
      </w:pPr>
      <w:r/>
    </w:p>
    <w:tbl>
      <w:tblPr>
        <w:tblStyle w:val="TableNormal"/>
        <w:tblW w:w="8053" w:type="dxa"/>
        <w:tblInd w:w="16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6" w:hRule="atLeast"/>
        </w:trPr>
        <w:tc>
          <w:tcPr>
            <w:shd w:val="clear" w:fill="4F81BD"/>
            <w:tcW w:w="1214" w:type="dxa"/>
            <w:vAlign w:val="top"/>
            <w:tcBorders>
              <w:bottom w:val="single" w:color="4F81BD" w:sz="2" w:space="0"/>
            </w:tcBorders>
          </w:tcPr>
          <w:p>
            <w:pPr>
              <w:pStyle w:val="TableText"/>
              <w:ind w:left="180"/>
              <w:spacing w:before="108" w:line="187"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3"/>
              <w:spacing w:before="108" w:line="187"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19"/>
              <w:spacing w:before="108" w:line="187" w:lineRule="auto"/>
              <w:rPr/>
            </w:pPr>
            <w:r>
              <w:rPr>
                <w:b/>
                <w:bCs/>
                <w:color w:val="FFFFFF"/>
                <w:spacing w:val="8"/>
              </w:rPr>
              <w:t>违规行为</w:t>
            </w:r>
          </w:p>
        </w:tc>
      </w:tr>
      <w:tr>
        <w:trPr>
          <w:trHeight w:val="727" w:hRule="atLeast"/>
        </w:trPr>
        <w:tc>
          <w:tcPr>
            <w:shd w:val="clear" w:fill="B8CCE4"/>
            <w:tcW w:w="1214" w:type="dxa"/>
            <w:vAlign w:val="top"/>
            <w:tcBorders>
              <w:top w:val="single" w:color="4F81BD" w:sz="2" w:space="0"/>
            </w:tcBorders>
          </w:tcPr>
          <w:p>
            <w:pPr>
              <w:pStyle w:val="TableText"/>
              <w:ind w:left="241"/>
              <w:spacing w:before="281" w:line="178" w:lineRule="auto"/>
              <w:rPr/>
            </w:pPr>
            <w:r>
              <w:rPr>
                <w:spacing w:val="3"/>
              </w:rPr>
              <w:t>600804</w:t>
            </w:r>
          </w:p>
        </w:tc>
        <w:tc>
          <w:tcPr>
            <w:shd w:val="clear" w:fill="B8CCE4"/>
            <w:tcW w:w="1343" w:type="dxa"/>
            <w:vAlign w:val="top"/>
            <w:tcBorders>
              <w:top w:val="single" w:color="4F81BD" w:sz="2" w:space="0"/>
            </w:tcBorders>
          </w:tcPr>
          <w:p>
            <w:pPr>
              <w:pStyle w:val="TableText"/>
              <w:ind w:left="238"/>
              <w:spacing w:before="266" w:line="189" w:lineRule="auto"/>
              <w:rPr/>
            </w:pPr>
            <w:r>
              <w:rPr/>
              <w:t>ST</w:t>
            </w:r>
            <w:r>
              <w:rPr>
                <w:spacing w:val="8"/>
              </w:rPr>
              <w:t>鹏博士</w:t>
            </w:r>
          </w:p>
        </w:tc>
        <w:tc>
          <w:tcPr>
            <w:shd w:val="clear" w:fill="B8CCE4"/>
            <w:tcW w:w="5496" w:type="dxa"/>
            <w:vAlign w:val="top"/>
            <w:tcBorders>
              <w:top w:val="single" w:color="4F81BD" w:sz="2" w:space="0"/>
            </w:tcBorders>
          </w:tcPr>
          <w:p>
            <w:pPr>
              <w:pStyle w:val="TableText"/>
              <w:ind w:left="107" w:right="129" w:hanging="8"/>
              <w:spacing w:before="84" w:line="221" w:lineRule="auto"/>
              <w:rPr/>
            </w:pPr>
            <w:r>
              <w:rPr>
                <w:spacing w:val="9"/>
              </w:rPr>
              <w:t>未按规定披露</w:t>
            </w:r>
            <w:r>
              <w:rPr>
                <w:b/>
                <w:bCs/>
                <w:spacing w:val="9"/>
              </w:rPr>
              <w:t>关联交易</w:t>
            </w:r>
            <w:r>
              <w:rPr>
                <w:spacing w:val="9"/>
              </w:rPr>
              <w:t>；未按规定披露</w:t>
            </w:r>
            <w:r>
              <w:rPr>
                <w:b/>
                <w:bCs/>
                <w:spacing w:val="9"/>
              </w:rPr>
              <w:t>重大合同</w:t>
            </w:r>
            <w:r>
              <w:rPr>
                <w:spacing w:val="9"/>
              </w:rPr>
              <w:t>;2</w:t>
            </w:r>
            <w:r>
              <w:rPr>
                <w:spacing w:val="8"/>
              </w:rPr>
              <w:t>012年-</w:t>
            </w:r>
            <w:r>
              <w:rPr/>
              <w:t xml:space="preserve"> </w:t>
            </w:r>
            <w:r>
              <w:rPr>
                <w:spacing w:val="7"/>
              </w:rPr>
              <w:t>2022年年报存在</w:t>
            </w:r>
            <w:r>
              <w:rPr>
                <w:b/>
                <w:bCs/>
                <w:spacing w:val="7"/>
              </w:rPr>
              <w:t>虚假记载。</w:t>
            </w:r>
          </w:p>
        </w:tc>
      </w:tr>
      <w:tr>
        <w:trPr>
          <w:trHeight w:val="2524" w:hRule="atLeast"/>
        </w:trPr>
        <w:tc>
          <w:tcPr>
            <w:tcW w:w="8053" w:type="dxa"/>
            <w:vAlign w:val="top"/>
            <w:gridSpan w:val="3"/>
          </w:tcPr>
          <w:p>
            <w:pPr>
              <w:pStyle w:val="TableText"/>
              <w:ind w:left="122"/>
              <w:spacing w:before="42" w:line="233" w:lineRule="auto"/>
              <w:rPr/>
            </w:pPr>
            <w:r>
              <w:rPr>
                <w:b/>
                <w:bCs/>
                <w:spacing w:val="7"/>
              </w:rPr>
              <w:t>【行政处罚决定（拟）】</w:t>
            </w:r>
            <w:r>
              <w:rPr>
                <w:spacing w:val="7"/>
              </w:rPr>
              <w:t>中国证监会拟决定 ：</w:t>
            </w:r>
          </w:p>
          <w:p>
            <w:pPr>
              <w:pStyle w:val="TableText"/>
              <w:ind w:left="108" w:right="104" w:hanging="22"/>
              <w:spacing w:before="31" w:line="234" w:lineRule="auto"/>
              <w:rPr/>
            </w:pPr>
            <w:r>
              <w:rPr>
                <w:spacing w:val="7"/>
              </w:rPr>
              <w:t>（ 一 ）对鹏博士电信传媒集团股份有限公司责令改正 ，给子警告 ，并</w:t>
            </w:r>
            <w:r>
              <w:rPr>
                <w:spacing w:val="6"/>
              </w:rPr>
              <w:t>处以1,000万元</w:t>
            </w:r>
            <w:r>
              <w:rPr/>
              <w:t xml:space="preserve"> </w:t>
            </w:r>
            <w:r>
              <w:rPr>
                <w:spacing w:val="10"/>
              </w:rPr>
              <w:t>罚款；</w:t>
            </w:r>
          </w:p>
          <w:p>
            <w:pPr>
              <w:pStyle w:val="TableText"/>
              <w:ind w:left="105" w:right="102" w:hanging="19"/>
              <w:spacing w:before="50" w:line="234" w:lineRule="auto"/>
              <w:rPr/>
            </w:pPr>
            <w:r>
              <w:rPr>
                <w:spacing w:val="6"/>
              </w:rPr>
              <w:t>（ 二 ）对董事长,实际控制人杨某平给予警告 ，并处</w:t>
            </w:r>
            <w:r>
              <w:rPr>
                <w:spacing w:val="5"/>
              </w:rPr>
              <w:t>以1,500万元罚款 ，其中对其作为</w:t>
            </w:r>
            <w:r>
              <w:rPr/>
              <w:t xml:space="preserve"> </w:t>
            </w:r>
            <w:r>
              <w:rPr>
                <w:spacing w:val="8"/>
              </w:rPr>
              <w:t>直接负责的主管人员处以500万元罚款 ，</w:t>
            </w:r>
            <w:r>
              <w:rPr>
                <w:spacing w:val="7"/>
              </w:rPr>
              <w:t>对其作为实际控制人处以1,000万元罚款；</w:t>
            </w:r>
          </w:p>
          <w:p>
            <w:pPr>
              <w:pStyle w:val="TableText"/>
              <w:ind w:left="106" w:right="104" w:hanging="20"/>
              <w:spacing w:before="54" w:line="232" w:lineRule="auto"/>
              <w:rPr/>
            </w:pPr>
            <w:r>
              <w:rPr>
                <w:spacing w:val="10"/>
              </w:rPr>
              <w:t>（ 三 ）对时任董事,时任总经理崔某、</w:t>
            </w:r>
            <w:r>
              <w:rPr>
                <w:spacing w:val="-34"/>
              </w:rPr>
              <w:t xml:space="preserve"> </w:t>
            </w:r>
            <w:r>
              <w:rPr>
                <w:spacing w:val="10"/>
              </w:rPr>
              <w:t>时任总</w:t>
            </w:r>
            <w:r>
              <w:rPr>
                <w:spacing w:val="9"/>
              </w:rPr>
              <w:t>经理吕某团、高管王某、</w:t>
            </w:r>
            <w:r>
              <w:rPr>
                <w:spacing w:val="-35"/>
              </w:rPr>
              <w:t xml:space="preserve"> </w:t>
            </w:r>
            <w:r>
              <w:rPr>
                <w:spacing w:val="9"/>
              </w:rPr>
              <w:t>时任高管,时任</w:t>
            </w:r>
            <w:r>
              <w:rPr/>
              <w:t xml:space="preserve"> </w:t>
            </w:r>
            <w:r>
              <w:rPr>
                <w:spacing w:val="7"/>
              </w:rPr>
              <w:t>董秘陈某、监事刘某给予警告 ，并分别处以100万元罚款；</w:t>
            </w:r>
          </w:p>
        </w:tc>
      </w:tr>
    </w:tbl>
    <w:p>
      <w:pPr>
        <w:pStyle w:val="BodyText"/>
        <w:spacing w:line="190" w:lineRule="exact"/>
        <w:rPr>
          <w:sz w:val="16"/>
        </w:rPr>
      </w:pPr>
      <w:r/>
    </w:p>
    <w:p>
      <w:pPr>
        <w:spacing w:line="190" w:lineRule="exact"/>
        <w:sectPr>
          <w:footerReference w:type="default" r:id="rId10"/>
          <w:pgSz w:w="11910" w:h="16840"/>
          <w:pgMar w:top="350" w:right="1786" w:bottom="1" w:left="1762" w:header="0" w:footer="0" w:gutter="0"/>
        </w:sectPr>
        <w:rPr>
          <w:sz w:val="16"/>
          <w:szCs w:val="16"/>
        </w:rPr>
      </w:pPr>
    </w:p>
    <w:tbl>
      <w:tblPr>
        <w:tblStyle w:val="TableNormal"/>
        <w:tblW w:w="8053" w:type="dxa"/>
        <w:tblInd w:w="14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2183" w:hRule="atLeast"/>
        </w:trPr>
        <w:tc>
          <w:tcPr>
            <w:tcW w:w="8053" w:type="dxa"/>
            <w:vAlign w:val="top"/>
            <w:gridSpan w:val="3"/>
            <w:tcBorders>
              <w:top w:val="single" w:color="4F81BD" w:sz="2" w:space="0"/>
            </w:tcBorders>
          </w:tcPr>
          <w:p>
            <w:pPr>
              <w:pStyle w:val="TableText"/>
              <w:ind w:left="104" w:right="150" w:hanging="18"/>
              <w:spacing w:before="63" w:line="234" w:lineRule="auto"/>
              <w:rPr/>
            </w:pPr>
            <w:r>
              <w:rPr>
                <w:spacing w:val="11"/>
              </w:rPr>
              <w:t>（四）对高管孙某东、高管陈某、其他关系方何某、林某、武某忠、</w:t>
            </w:r>
            <w:r>
              <w:rPr>
                <w:spacing w:val="10"/>
              </w:rPr>
              <w:t>王某、李某琴、</w:t>
            </w:r>
            <w:r>
              <w:rPr/>
              <w:t xml:space="preserve"> </w:t>
            </w:r>
            <w:r>
              <w:rPr>
                <w:spacing w:val="5"/>
              </w:rPr>
              <w:t>李某给予警告 ，并分别处以50万元罚款。</w:t>
            </w:r>
          </w:p>
          <w:p>
            <w:pPr>
              <w:pStyle w:val="TableText"/>
              <w:ind w:left="103" w:right="104" w:firstLine="9"/>
              <w:spacing w:before="90" w:line="236" w:lineRule="auto"/>
              <w:jc w:val="both"/>
              <w:rPr/>
            </w:pPr>
            <w:r>
              <w:rPr>
                <w:spacing w:val="8"/>
              </w:rPr>
              <w:t>当事人杨某平的违法行为情节较为严重 ，当事人崔某、王某</w:t>
            </w:r>
            <w:r>
              <w:rPr>
                <w:spacing w:val="7"/>
              </w:rPr>
              <w:t>的违法行为情节严重 ，依</w:t>
            </w:r>
            <w:r>
              <w:rPr/>
              <w:t xml:space="preserve"> </w:t>
            </w:r>
            <w:r>
              <w:rPr>
                <w:spacing w:val="13"/>
              </w:rPr>
              <w:t>据《证券法》第二百二十一条和《证券市场禁入</w:t>
            </w:r>
            <w:r>
              <w:rPr>
                <w:spacing w:val="12"/>
              </w:rPr>
              <w:t>规定》（证监会令第185号）第三条</w:t>
            </w:r>
            <w:r>
              <w:rPr/>
              <w:t xml:space="preserve"> </w:t>
            </w:r>
            <w:r>
              <w:rPr>
                <w:spacing w:val="7"/>
              </w:rPr>
              <w:t>第一项、第七条第一款的规定 ，中国证监会拟决定 ：对杨某平采取10年证</w:t>
            </w:r>
            <w:r>
              <w:rPr>
                <w:spacing w:val="6"/>
              </w:rPr>
              <w:t>券市场禁入</w:t>
            </w:r>
            <w:r>
              <w:rPr/>
              <w:t xml:space="preserve"> </w:t>
            </w:r>
            <w:r>
              <w:rPr>
                <w:spacing w:val="6"/>
              </w:rPr>
              <w:t>措施 ，对崔某、王某采取5年证券市场禁入措施。</w:t>
            </w:r>
          </w:p>
        </w:tc>
      </w:tr>
      <w:tr>
        <w:trPr>
          <w:trHeight w:val="1804" w:hRule="atLeast"/>
        </w:trPr>
        <w:tc>
          <w:tcPr>
            <w:shd w:val="clear" w:fill="B8CCE4"/>
            <w:tcW w:w="1214" w:type="dxa"/>
            <w:vAlign w:val="top"/>
          </w:tcPr>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238"/>
              <w:spacing w:before="86" w:line="178" w:lineRule="auto"/>
              <w:rPr/>
            </w:pPr>
            <w:r>
              <w:rPr>
                <w:spacing w:val="3"/>
              </w:rPr>
              <w:t>002092</w:t>
            </w:r>
          </w:p>
        </w:tc>
        <w:tc>
          <w:tcPr>
            <w:shd w:val="clear" w:fill="B8CCE4"/>
            <w:tcW w:w="1343" w:type="dxa"/>
            <w:vAlign w:val="top"/>
          </w:tcPr>
          <w:p>
            <w:pPr>
              <w:spacing w:line="356" w:lineRule="auto"/>
              <w:rPr>
                <w:rFonts w:ascii="Arial"/>
                <w:sz w:val="21"/>
              </w:rPr>
            </w:pPr>
            <w:r/>
          </w:p>
          <w:p>
            <w:pPr>
              <w:spacing w:line="357" w:lineRule="auto"/>
              <w:rPr>
                <w:rFonts w:ascii="Arial"/>
                <w:sz w:val="21"/>
              </w:rPr>
            </w:pPr>
            <w:r/>
          </w:p>
          <w:p>
            <w:pPr>
              <w:pStyle w:val="TableText"/>
              <w:ind w:left="256"/>
              <w:spacing w:before="86" w:line="189" w:lineRule="auto"/>
              <w:rPr/>
            </w:pPr>
            <w:r>
              <w:rPr>
                <w:spacing w:val="5"/>
              </w:rPr>
              <w:t>中泰化学</w:t>
            </w:r>
          </w:p>
        </w:tc>
        <w:tc>
          <w:tcPr>
            <w:shd w:val="clear" w:fill="B8CCE4"/>
            <w:tcW w:w="5496" w:type="dxa"/>
            <w:vAlign w:val="top"/>
          </w:tcPr>
          <w:p>
            <w:pPr>
              <w:pStyle w:val="TableText"/>
              <w:ind w:left="98" w:right="102" w:firstLine="15"/>
              <w:spacing w:before="85" w:line="239" w:lineRule="auto"/>
              <w:jc w:val="both"/>
              <w:rPr/>
            </w:pPr>
            <w:r>
              <w:rPr>
                <w:spacing w:val="10"/>
              </w:rPr>
              <w:t>中泰化学未及时披露控股股东及其关联方非经营性资金占</w:t>
            </w:r>
            <w:r>
              <w:rPr>
                <w:spacing w:val="11"/>
              </w:rPr>
              <w:t xml:space="preserve"> </w:t>
            </w:r>
            <w:r>
              <w:rPr>
                <w:spacing w:val="9"/>
              </w:rPr>
              <w:t>用的</w:t>
            </w:r>
            <w:r>
              <w:rPr>
                <w:b/>
                <w:bCs/>
                <w:spacing w:val="9"/>
              </w:rPr>
              <w:t>关联交易 </w:t>
            </w:r>
            <w:r>
              <w:rPr>
                <w:spacing w:val="9"/>
              </w:rPr>
              <w:t>，2021年年度报告、</w:t>
            </w:r>
            <w:r>
              <w:rPr>
                <w:spacing w:val="-35"/>
              </w:rPr>
              <w:t xml:space="preserve"> </w:t>
            </w:r>
            <w:r>
              <w:rPr>
                <w:spacing w:val="9"/>
              </w:rPr>
              <w:t>2022年年度</w:t>
            </w:r>
            <w:r>
              <w:rPr>
                <w:spacing w:val="8"/>
              </w:rPr>
              <w:t>报告中存</w:t>
            </w:r>
            <w:r>
              <w:rPr/>
              <w:t xml:space="preserve"> </w:t>
            </w:r>
            <w:r>
              <w:rPr>
                <w:spacing w:val="11"/>
              </w:rPr>
              <w:t>在</w:t>
            </w:r>
            <w:r>
              <w:rPr>
                <w:b/>
                <w:bCs/>
                <w:spacing w:val="11"/>
              </w:rPr>
              <w:t>重大遗漏</w:t>
            </w:r>
            <w:r>
              <w:rPr>
                <w:spacing w:val="11"/>
              </w:rPr>
              <w:t>；中泰化学案涉公司债券及债务融资工具存续</w:t>
            </w:r>
            <w:r>
              <w:rPr>
                <w:spacing w:val="1"/>
              </w:rPr>
              <w:t xml:space="preserve"> </w:t>
            </w:r>
            <w:r>
              <w:rPr>
                <w:spacing w:val="8"/>
              </w:rPr>
              <w:t>期披露的年度报告存在</w:t>
            </w:r>
            <w:r>
              <w:rPr>
                <w:b/>
                <w:bCs/>
                <w:spacing w:val="8"/>
              </w:rPr>
              <w:t>虚假记载、重大遗漏 </w:t>
            </w:r>
            <w:r>
              <w:rPr>
                <w:spacing w:val="8"/>
              </w:rPr>
              <w:t>，相关债券募</w:t>
            </w:r>
            <w:r>
              <w:rPr>
                <w:spacing w:val="9"/>
              </w:rPr>
              <w:t xml:space="preserve"> </w:t>
            </w:r>
            <w:r>
              <w:rPr>
                <w:spacing w:val="8"/>
              </w:rPr>
              <w:t>集说明书信息披露不准确。</w:t>
            </w:r>
          </w:p>
        </w:tc>
      </w:tr>
      <w:tr>
        <w:trPr>
          <w:trHeight w:val="1444" w:hRule="atLeast"/>
        </w:trPr>
        <w:tc>
          <w:tcPr>
            <w:tcW w:w="8053" w:type="dxa"/>
            <w:vAlign w:val="top"/>
            <w:gridSpan w:val="3"/>
          </w:tcPr>
          <w:p>
            <w:pPr>
              <w:pStyle w:val="TableText"/>
              <w:ind w:left="122"/>
              <w:spacing w:before="42" w:line="404" w:lineRule="exact"/>
              <w:rPr/>
            </w:pPr>
            <w:r>
              <w:rPr>
                <w:b/>
                <w:bCs/>
                <w:spacing w:val="9"/>
                <w:position w:val="12"/>
              </w:rPr>
              <w:t>【行政处罚决定（拟）】</w:t>
            </w:r>
            <w:r>
              <w:rPr>
                <w:spacing w:val="9"/>
                <w:position w:val="12"/>
              </w:rPr>
              <w:t>中国证券监督管理委员会拟决</w:t>
            </w:r>
            <w:r>
              <w:rPr>
                <w:spacing w:val="8"/>
                <w:position w:val="12"/>
              </w:rPr>
              <w:t>定:</w:t>
            </w:r>
          </w:p>
          <w:p>
            <w:pPr>
              <w:pStyle w:val="TableText"/>
              <w:ind w:left="120"/>
              <w:spacing w:line="189" w:lineRule="auto"/>
              <w:rPr/>
            </w:pPr>
            <w:r>
              <w:rPr>
                <w:spacing w:val="4"/>
              </w:rPr>
              <w:t>1、对中泰集团责令改正 ，给予警告 ，并处以500万元罚款；</w:t>
            </w:r>
          </w:p>
          <w:p>
            <w:pPr>
              <w:pStyle w:val="TableText"/>
              <w:ind w:left="113"/>
              <w:spacing w:before="89" w:line="360" w:lineRule="exact"/>
              <w:rPr/>
            </w:pPr>
            <w:r>
              <w:rPr>
                <w:spacing w:val="5"/>
                <w:position w:val="12"/>
              </w:rPr>
              <w:t>2、对龚某华给予警告 ，并处以200万元罚款。</w:t>
            </w:r>
          </w:p>
          <w:p>
            <w:pPr>
              <w:pStyle w:val="TableText"/>
              <w:ind w:left="116"/>
              <w:spacing w:line="187" w:lineRule="auto"/>
              <w:rPr/>
            </w:pPr>
            <w:r>
              <w:rPr>
                <w:spacing w:val="5"/>
              </w:rPr>
              <w:t>3、对王某欣给予警告 ，并处以250万元罚款。</w:t>
            </w:r>
          </w:p>
        </w:tc>
      </w:tr>
      <w:tr>
        <w:trPr>
          <w:trHeight w:val="725" w:hRule="atLeast"/>
        </w:trPr>
        <w:tc>
          <w:tcPr>
            <w:shd w:val="clear" w:fill="B8CCE4"/>
            <w:tcW w:w="1214" w:type="dxa"/>
            <w:vAlign w:val="top"/>
          </w:tcPr>
          <w:p>
            <w:pPr>
              <w:pStyle w:val="TableText"/>
              <w:ind w:left="241"/>
              <w:spacing w:before="279" w:line="179" w:lineRule="auto"/>
              <w:rPr/>
            </w:pPr>
            <w:r>
              <w:rPr>
                <w:spacing w:val="3"/>
              </w:rPr>
              <w:t>600771</w:t>
            </w:r>
          </w:p>
        </w:tc>
        <w:tc>
          <w:tcPr>
            <w:shd w:val="clear" w:fill="B8CCE4"/>
            <w:tcW w:w="1343" w:type="dxa"/>
            <w:vAlign w:val="top"/>
          </w:tcPr>
          <w:p>
            <w:pPr>
              <w:pStyle w:val="TableText"/>
              <w:ind w:left="347"/>
              <w:spacing w:before="266" w:line="189" w:lineRule="auto"/>
              <w:rPr/>
            </w:pPr>
            <w:r>
              <w:rPr>
                <w:spacing w:val="8"/>
              </w:rPr>
              <w:t>广誉远</w:t>
            </w:r>
          </w:p>
        </w:tc>
        <w:tc>
          <w:tcPr>
            <w:shd w:val="clear" w:fill="B8CCE4"/>
            <w:tcW w:w="5496" w:type="dxa"/>
            <w:vAlign w:val="top"/>
          </w:tcPr>
          <w:p>
            <w:pPr>
              <w:pStyle w:val="TableText"/>
              <w:ind w:left="107"/>
              <w:spacing w:before="87" w:line="190" w:lineRule="auto"/>
              <w:rPr/>
            </w:pPr>
            <w:r>
              <w:rPr>
                <w:spacing w:val="9"/>
              </w:rPr>
              <w:t>2016年至2022年年度报告及2023年半年</w:t>
            </w:r>
            <w:r>
              <w:rPr>
                <w:spacing w:val="8"/>
              </w:rPr>
              <w:t>报存在</w:t>
            </w:r>
            <w:r>
              <w:rPr>
                <w:b/>
                <w:bCs/>
                <w:spacing w:val="8"/>
              </w:rPr>
              <w:t>虚假记载</w:t>
            </w:r>
          </w:p>
          <w:p>
            <w:pPr>
              <w:pStyle w:val="TableText"/>
              <w:ind w:left="107"/>
              <w:spacing w:before="236" w:line="119" w:lineRule="exact"/>
              <w:rPr/>
            </w:pPr>
            <w:r>
              <w:rPr>
                <w:b/>
                <w:bCs/>
                <w:position w:val="3"/>
              </w:rPr>
              <w:t>。</w:t>
            </w:r>
          </w:p>
        </w:tc>
      </w:tr>
      <w:tr>
        <w:trPr>
          <w:trHeight w:val="6130" w:hRule="atLeast"/>
        </w:trPr>
        <w:tc>
          <w:tcPr>
            <w:tcW w:w="8053" w:type="dxa"/>
            <w:vAlign w:val="top"/>
            <w:gridSpan w:val="3"/>
          </w:tcPr>
          <w:p>
            <w:pPr>
              <w:pStyle w:val="TableText"/>
              <w:ind w:left="86" w:right="745" w:firstLine="35"/>
              <w:spacing w:before="44" w:line="242" w:lineRule="auto"/>
              <w:rPr/>
            </w:pPr>
            <w:r>
              <w:rPr>
                <w:b/>
                <w:bCs/>
                <w:spacing w:val="9"/>
              </w:rPr>
              <w:t>【行政处罚决定（拟）】</w:t>
            </w:r>
            <w:r>
              <w:rPr>
                <w:spacing w:val="9"/>
              </w:rPr>
              <w:t>中国证券监督管理委员会山西监管局拟作出以下决定:</w:t>
            </w:r>
            <w:r>
              <w:rPr>
                <w:spacing w:val="6"/>
              </w:rPr>
              <w:t xml:space="preserve"> </w:t>
            </w:r>
            <w:r>
              <w:rPr>
                <w:spacing w:val="3"/>
              </w:rPr>
              <w:t>（ 一 ）对广誉远股份给予警告 ，并处以800万元</w:t>
            </w:r>
            <w:r>
              <w:rPr>
                <w:spacing w:val="2"/>
              </w:rPr>
              <w:t>罚款；</w:t>
            </w:r>
          </w:p>
          <w:p>
            <w:pPr>
              <w:pStyle w:val="TableText"/>
              <w:ind w:left="86" w:right="318"/>
              <w:spacing w:before="33"/>
              <w:rPr/>
            </w:pPr>
            <w:r>
              <w:rPr>
                <w:spacing w:val="4"/>
              </w:rPr>
              <w:t>（ 二 ）对时任董事长,时任董事,时任总经理张某给予警告 ，并处以500万元罚款；    </w:t>
            </w:r>
            <w:r>
              <w:rPr>
                <w:spacing w:val="5"/>
              </w:rPr>
              <w:t>（ 三 ）对时任高管,时任董事,时任财务总监傅某红给予警告 ，并处以250万</w:t>
            </w:r>
            <w:r>
              <w:rPr>
                <w:spacing w:val="4"/>
              </w:rPr>
              <w:t>元罚款；</w:t>
            </w:r>
          </w:p>
          <w:p>
            <w:pPr>
              <w:pStyle w:val="TableText"/>
              <w:ind w:left="86"/>
              <w:spacing w:before="32" w:line="363" w:lineRule="exact"/>
              <w:rPr/>
            </w:pPr>
            <w:r>
              <w:rPr>
                <w:spacing w:val="8"/>
                <w:position w:val="9"/>
              </w:rPr>
              <w:t>（四）对时任监事张某治给予警告 ，并处以250万</w:t>
            </w:r>
            <w:r>
              <w:rPr>
                <w:spacing w:val="7"/>
                <w:position w:val="9"/>
              </w:rPr>
              <w:t>元罚款；</w:t>
            </w:r>
          </w:p>
          <w:p>
            <w:pPr>
              <w:pStyle w:val="TableText"/>
              <w:ind w:left="86"/>
              <w:spacing w:before="1" w:line="228" w:lineRule="auto"/>
              <w:rPr/>
            </w:pPr>
            <w:r>
              <w:rPr>
                <w:spacing w:val="8"/>
              </w:rPr>
              <w:t>（五）对财务总监王某波给予警告 ，并处以100万</w:t>
            </w:r>
            <w:r>
              <w:rPr>
                <w:spacing w:val="7"/>
              </w:rPr>
              <w:t>元罚款；</w:t>
            </w:r>
          </w:p>
          <w:p>
            <w:pPr>
              <w:pStyle w:val="TableText"/>
              <w:ind w:left="86" w:right="649"/>
              <w:spacing w:before="33"/>
              <w:rPr/>
            </w:pPr>
            <w:r>
              <w:rPr>
                <w:spacing w:val="8"/>
              </w:rPr>
              <w:t>（六）对时任高管,时任董事,时任总经理杨某飞给予警告 ，并处以80万元罚款；</w:t>
            </w:r>
            <w:r>
              <w:rPr>
                <w:spacing w:val="6"/>
              </w:rPr>
              <w:t xml:space="preserve"> </w:t>
            </w:r>
            <w:r>
              <w:rPr>
                <w:spacing w:val="8"/>
              </w:rPr>
              <w:t>（七）对时任高管李某给予警告 ，并处以80万元罚</w:t>
            </w:r>
            <w:r>
              <w:rPr>
                <w:spacing w:val="7"/>
              </w:rPr>
              <w:t>款；</w:t>
            </w:r>
          </w:p>
          <w:p>
            <w:pPr>
              <w:pStyle w:val="TableText"/>
              <w:ind w:left="86"/>
              <w:spacing w:before="32" w:line="229" w:lineRule="auto"/>
              <w:rPr/>
            </w:pPr>
            <w:r>
              <w:rPr>
                <w:spacing w:val="7"/>
              </w:rPr>
              <w:t>（八）对独立董事赵某民给予警告 ，并处以50万元罚款。</w:t>
            </w:r>
          </w:p>
          <w:p>
            <w:pPr>
              <w:pStyle w:val="TableText"/>
              <w:ind w:left="103" w:right="104" w:firstLine="9"/>
              <w:spacing w:before="33" w:line="243" w:lineRule="auto"/>
              <w:rPr/>
            </w:pPr>
            <w:r>
              <w:rPr>
                <w:spacing w:val="10"/>
              </w:rPr>
              <w:t>时任董事长,时任董事,时任总经理张某的违法情节较</w:t>
            </w:r>
            <w:r>
              <w:rPr>
                <w:spacing w:val="9"/>
              </w:rPr>
              <w:t>为严重 ，依据2005年《证券法》</w:t>
            </w:r>
            <w:r>
              <w:rPr/>
              <w:t xml:space="preserve"> </w:t>
            </w:r>
            <w:r>
              <w:rPr>
                <w:spacing w:val="15"/>
              </w:rPr>
              <w:t>第二百三十三条、《证券法》第二百二十一条和《证券市场禁入规定》(证监会令第</w:t>
            </w:r>
            <w:r>
              <w:rPr>
                <w:spacing w:val="7"/>
              </w:rPr>
              <w:t xml:space="preserve"> </w:t>
            </w:r>
            <w:r>
              <w:rPr>
                <w:spacing w:val="9"/>
              </w:rPr>
              <w:t>185号)第三条第一项、第四条第一款第一项、第五条、第七条第</w:t>
            </w:r>
            <w:r>
              <w:rPr>
                <w:spacing w:val="8"/>
              </w:rPr>
              <w:t>一款的规定 ，中国证</w:t>
            </w:r>
            <w:r>
              <w:rPr/>
              <w:t xml:space="preserve"> </w:t>
            </w:r>
            <w:r>
              <w:rPr>
                <w:spacing w:val="9"/>
              </w:rPr>
              <w:t>券监督管理委员会山西监管局拟作出以下决定:</w:t>
            </w:r>
          </w:p>
          <w:p>
            <w:pPr>
              <w:pStyle w:val="TableText"/>
              <w:ind w:left="103" w:right="104" w:firstLine="1"/>
              <w:spacing w:before="89" w:line="236" w:lineRule="auto"/>
              <w:jc w:val="both"/>
              <w:rPr/>
            </w:pPr>
            <w:r>
              <w:rPr>
                <w:spacing w:val="9"/>
              </w:rPr>
              <w:t>对张某采取10年证券市场禁入措施。</w:t>
            </w:r>
            <w:r>
              <w:rPr>
                <w:spacing w:val="-9"/>
              </w:rPr>
              <w:t xml:space="preserve"> </w:t>
            </w:r>
            <w:r>
              <w:rPr>
                <w:spacing w:val="9"/>
              </w:rPr>
              <w:t>自中国证券监督管理委员会山西监管局宣布决定</w:t>
            </w:r>
            <w:r>
              <w:rPr/>
              <w:t xml:space="preserve"> </w:t>
            </w:r>
            <w:r>
              <w:rPr>
                <w:spacing w:val="8"/>
              </w:rPr>
              <w:t>之日起 ，在禁入期间内 ，除不得继续担任原证券发行人的董事、监事、高级管</w:t>
            </w:r>
            <w:r>
              <w:rPr>
                <w:spacing w:val="7"/>
              </w:rPr>
              <w:t>理人员</w:t>
            </w:r>
            <w:r>
              <w:rPr/>
              <w:t xml:space="preserve"> </w:t>
            </w:r>
            <w:r>
              <w:rPr>
                <w:spacing w:val="10"/>
              </w:rPr>
              <w:t>职务外 ，也不得在其他任何机构中从事证券业务、证券服务</w:t>
            </w:r>
            <w:r>
              <w:rPr>
                <w:spacing w:val="9"/>
              </w:rPr>
              <w:t>业务或者担任其他证券发</w:t>
            </w:r>
            <w:r>
              <w:rPr/>
              <w:t xml:space="preserve"> </w:t>
            </w:r>
            <w:r>
              <w:rPr>
                <w:spacing w:val="9"/>
              </w:rPr>
              <w:t>行人的董事、监事、高级管理人员职务。</w:t>
            </w:r>
          </w:p>
        </w:tc>
      </w:tr>
    </w:tbl>
    <w:p>
      <w:pPr>
        <w:pStyle w:val="BodyText"/>
        <w:rPr/>
      </w:pPr>
      <w:r/>
    </w:p>
    <w:p>
      <w:pPr>
        <w:sectPr>
          <w:pgSz w:w="11910" w:h="16840"/>
          <w:pgMar w:top="400" w:right="1786" w:bottom="400" w:left="1786" w:header="0" w:footer="0" w:gutter="0"/>
        </w:sectPr>
        <w:rPr/>
      </w:pPr>
    </w:p>
    <w:p>
      <w:pPr>
        <w:spacing w:before="31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3"/>
        </w:rPr>
        <w:t>（</w:t>
      </w:r>
      <w:r>
        <w:rPr>
          <w:rFonts w:ascii="Microsoft YaHei" w:hAnsi="Microsoft YaHei" w:eastAsia="Microsoft YaHei" w:cs="Microsoft YaHei"/>
          <w:sz w:val="24"/>
          <w:szCs w:val="24"/>
          <w:b/>
          <w:bCs/>
          <w:color w:val="333333"/>
          <w:spacing w:val="27"/>
          <w:w w:val="101"/>
        </w:rPr>
        <w:t xml:space="preserve">  </w:t>
      </w:r>
      <w:r>
        <w:rPr>
          <w:rFonts w:ascii="Microsoft YaHei" w:hAnsi="Microsoft YaHei" w:eastAsia="Microsoft YaHei" w:cs="Microsoft YaHei"/>
          <w:sz w:val="24"/>
          <w:szCs w:val="24"/>
          <w:b/>
          <w:bCs/>
          <w:color w:val="333333"/>
          <w:spacing w:val="-13"/>
        </w:rPr>
        <w:t>3</w:t>
      </w:r>
      <w:r>
        <w:rPr>
          <w:rFonts w:ascii="Microsoft YaHei" w:hAnsi="Microsoft YaHei" w:eastAsia="Microsoft YaHei" w:cs="Microsoft YaHei"/>
          <w:sz w:val="24"/>
          <w:szCs w:val="24"/>
          <w:b/>
          <w:bCs/>
          <w:color w:val="333333"/>
          <w:spacing w:val="19"/>
        </w:rPr>
        <w:t xml:space="preserve">  </w:t>
      </w:r>
      <w:r>
        <w:rPr>
          <w:rFonts w:ascii="Microsoft YaHei" w:hAnsi="Microsoft YaHei" w:eastAsia="Microsoft YaHei" w:cs="Microsoft YaHei"/>
          <w:sz w:val="24"/>
          <w:szCs w:val="24"/>
          <w:b/>
          <w:bCs/>
          <w:color w:val="333333"/>
          <w:spacing w:val="-13"/>
        </w:rPr>
        <w:t>）行政监管措施</w:t>
      </w:r>
    </w:p>
    <w:p>
      <w:pPr>
        <w:spacing w:line="192" w:lineRule="exact"/>
        <w:rPr/>
      </w:pPr>
      <w:r/>
    </w:p>
    <w:tbl>
      <w:tblPr>
        <w:tblStyle w:val="TableNormal"/>
        <w:tblW w:w="8053" w:type="dxa"/>
        <w:tblInd w:w="62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4F81BD" w:sz="2" w:space="0"/>
            </w:tcBorders>
          </w:tcPr>
          <w:p>
            <w:pPr>
              <w:pStyle w:val="TableText"/>
              <w:ind w:left="181"/>
              <w:spacing w:before="108" w:line="188"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4"/>
              <w:spacing w:before="108" w:line="188"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20"/>
              <w:spacing w:before="108" w:line="188" w:lineRule="auto"/>
              <w:rPr/>
            </w:pPr>
            <w:r>
              <w:rPr>
                <w:b/>
                <w:bCs/>
                <w:color w:val="FFFFFF"/>
                <w:spacing w:val="8"/>
              </w:rPr>
              <w:t>违规行为</w:t>
            </w:r>
          </w:p>
        </w:tc>
      </w:tr>
      <w:tr>
        <w:trPr>
          <w:trHeight w:val="369" w:hRule="atLeast"/>
        </w:trPr>
        <w:tc>
          <w:tcPr>
            <w:shd w:val="clear" w:fill="B8CCE4"/>
            <w:tcW w:w="1214" w:type="dxa"/>
            <w:vAlign w:val="top"/>
            <w:tcBorders>
              <w:top w:val="single" w:color="4F81BD" w:sz="2" w:space="0"/>
            </w:tcBorders>
          </w:tcPr>
          <w:p>
            <w:pPr>
              <w:pStyle w:val="TableText"/>
              <w:ind w:left="236"/>
              <w:spacing w:before="102" w:line="178" w:lineRule="auto"/>
              <w:rPr/>
            </w:pPr>
            <w:r>
              <w:rPr>
                <w:spacing w:val="3"/>
              </w:rPr>
              <w:t>002824</w:t>
            </w:r>
          </w:p>
        </w:tc>
        <w:tc>
          <w:tcPr>
            <w:shd w:val="clear" w:fill="B8CCE4"/>
            <w:tcW w:w="1343" w:type="dxa"/>
            <w:vAlign w:val="top"/>
            <w:tcBorders>
              <w:top w:val="single" w:color="4F81BD" w:sz="2" w:space="0"/>
            </w:tcBorders>
          </w:tcPr>
          <w:p>
            <w:pPr>
              <w:pStyle w:val="TableText"/>
              <w:ind w:left="242"/>
              <w:spacing w:before="88" w:line="188" w:lineRule="auto"/>
              <w:rPr/>
            </w:pPr>
            <w:r>
              <w:rPr>
                <w:spacing w:val="8"/>
              </w:rPr>
              <w:t>和胜股份</w:t>
            </w:r>
          </w:p>
        </w:tc>
        <w:tc>
          <w:tcPr>
            <w:shd w:val="clear" w:fill="B8CCE4"/>
            <w:tcW w:w="5496" w:type="dxa"/>
            <w:vAlign w:val="top"/>
            <w:tcBorders>
              <w:top w:val="single" w:color="4F81BD" w:sz="2" w:space="0"/>
            </w:tcBorders>
          </w:tcPr>
          <w:p>
            <w:pPr>
              <w:pStyle w:val="TableText"/>
              <w:ind w:left="99"/>
              <w:spacing w:before="87" w:line="189" w:lineRule="auto"/>
              <w:rPr/>
            </w:pPr>
            <w:r>
              <w:rPr>
                <w:spacing w:val="8"/>
              </w:rPr>
              <w:t>存在前期</w:t>
            </w:r>
            <w:r>
              <w:rPr>
                <w:b/>
                <w:bCs/>
                <w:spacing w:val="8"/>
              </w:rPr>
              <w:t>会计差错。</w:t>
            </w:r>
          </w:p>
        </w:tc>
      </w:tr>
      <w:tr>
        <w:trPr>
          <w:trHeight w:val="725" w:hRule="atLeast"/>
        </w:trPr>
        <w:tc>
          <w:tcPr>
            <w:tcW w:w="8053" w:type="dxa"/>
            <w:vAlign w:val="top"/>
            <w:gridSpan w:val="3"/>
          </w:tcPr>
          <w:p>
            <w:pPr>
              <w:pStyle w:val="TableText"/>
              <w:ind w:left="105" w:right="103" w:firstLine="17"/>
              <w:spacing w:before="38" w:line="236" w:lineRule="auto"/>
              <w:rPr/>
            </w:pPr>
            <w:r>
              <w:rPr>
                <w:b/>
                <w:bCs/>
                <w:spacing w:val="11"/>
              </w:rPr>
              <w:t>【行政监管措施】</w:t>
            </w:r>
            <w:r>
              <w:rPr>
                <w:spacing w:val="11"/>
              </w:rPr>
              <w:t>中国证券监督管理委员会广东监管局决定对和胜股份、总经理李某</w:t>
            </w:r>
            <w:r>
              <w:rPr>
                <w:spacing w:val="3"/>
              </w:rPr>
              <w:t xml:space="preserve"> </w:t>
            </w:r>
            <w:r>
              <w:rPr>
                <w:spacing w:val="9"/>
              </w:rPr>
              <w:t>湘、财务总监李某采取出具警示函的行政监管措施。</w:t>
            </w:r>
          </w:p>
        </w:tc>
      </w:tr>
      <w:tr>
        <w:trPr>
          <w:trHeight w:val="724" w:hRule="atLeast"/>
        </w:trPr>
        <w:tc>
          <w:tcPr>
            <w:shd w:val="clear" w:fill="B8CCE4"/>
            <w:tcW w:w="1214" w:type="dxa"/>
            <w:vAlign w:val="top"/>
          </w:tcPr>
          <w:p>
            <w:pPr>
              <w:pStyle w:val="TableText"/>
              <w:ind w:left="242"/>
              <w:spacing w:before="275" w:line="179" w:lineRule="auto"/>
              <w:rPr/>
            </w:pPr>
            <w:r>
              <w:rPr>
                <w:spacing w:val="3"/>
              </w:rPr>
              <w:t>301218</w:t>
            </w:r>
          </w:p>
        </w:tc>
        <w:tc>
          <w:tcPr>
            <w:shd w:val="clear" w:fill="B8CCE4"/>
            <w:tcW w:w="1343" w:type="dxa"/>
            <w:vAlign w:val="top"/>
          </w:tcPr>
          <w:p>
            <w:pPr>
              <w:pStyle w:val="TableText"/>
              <w:ind w:left="244"/>
              <w:spacing w:before="261" w:line="189" w:lineRule="auto"/>
              <w:rPr/>
            </w:pPr>
            <w:r>
              <w:rPr>
                <w:spacing w:val="8"/>
              </w:rPr>
              <w:t>华是科技</w:t>
            </w:r>
          </w:p>
        </w:tc>
        <w:tc>
          <w:tcPr>
            <w:shd w:val="clear" w:fill="B8CCE4"/>
            <w:tcW w:w="5496" w:type="dxa"/>
            <w:vAlign w:val="top"/>
          </w:tcPr>
          <w:p>
            <w:pPr>
              <w:pStyle w:val="TableText"/>
              <w:ind w:left="100" w:right="103" w:hanging="1"/>
              <w:spacing w:before="84" w:line="220" w:lineRule="auto"/>
              <w:rPr/>
            </w:pPr>
            <w:r>
              <w:rPr>
                <w:spacing w:val="11"/>
              </w:rPr>
              <w:t>公司在知悉实际控制人之一、董事、总经理</w:t>
            </w:r>
            <w:r>
              <w:rPr>
                <w:b/>
                <w:bCs/>
                <w:spacing w:val="11"/>
              </w:rPr>
              <w:t>被实施留置及</w:t>
            </w:r>
            <w:r>
              <w:rPr>
                <w:b/>
                <w:bCs/>
                <w:spacing w:val="1"/>
              </w:rPr>
              <w:t xml:space="preserve"> </w:t>
            </w:r>
            <w:r>
              <w:rPr>
                <w:b/>
                <w:bCs/>
                <w:spacing w:val="6"/>
              </w:rPr>
              <w:t>立案调查</w:t>
            </w:r>
            <w:r>
              <w:rPr>
                <w:spacing w:val="6"/>
              </w:rPr>
              <w:t>事项后 ，未及时履行信息披露义</w:t>
            </w:r>
            <w:r>
              <w:rPr>
                <w:spacing w:val="5"/>
              </w:rPr>
              <w:t>务。</w:t>
            </w:r>
          </w:p>
        </w:tc>
      </w:tr>
      <w:tr>
        <w:trPr>
          <w:trHeight w:val="1084" w:hRule="atLeast"/>
        </w:trPr>
        <w:tc>
          <w:tcPr>
            <w:tcW w:w="8053" w:type="dxa"/>
            <w:vAlign w:val="top"/>
            <w:gridSpan w:val="3"/>
          </w:tcPr>
          <w:p>
            <w:pPr>
              <w:pStyle w:val="TableText"/>
              <w:ind w:left="106" w:right="103" w:firstLine="16"/>
              <w:spacing w:before="40" w:line="241" w:lineRule="auto"/>
              <w:rPr/>
            </w:pPr>
            <w:r>
              <w:rPr>
                <w:b/>
                <w:bCs/>
                <w:spacing w:val="11"/>
              </w:rPr>
              <w:t>【行政监管措施】</w:t>
            </w:r>
            <w:r>
              <w:rPr>
                <w:spacing w:val="11"/>
              </w:rPr>
              <w:t>中国证券监督管理委员会浙江监管局决定对公司、董事长俞某方、</w:t>
            </w:r>
            <w:r>
              <w:rPr>
                <w:spacing w:val="3"/>
              </w:rPr>
              <w:t xml:space="preserve"> </w:t>
            </w:r>
            <w:r>
              <w:rPr>
                <w:spacing w:val="10"/>
              </w:rPr>
              <w:t>董事会秘书叶某珍分别采取出具警示函的监督管理措施 </w:t>
            </w:r>
            <w:r>
              <w:rPr>
                <w:spacing w:val="9"/>
              </w:rPr>
              <w:t>，并记入证券期货市场诚信档</w:t>
            </w:r>
            <w:r>
              <w:rPr/>
              <w:t xml:space="preserve"> </w:t>
            </w:r>
            <w:r>
              <w:rPr>
                <w:spacing w:val="2"/>
              </w:rPr>
              <w:t>案。</w:t>
            </w:r>
          </w:p>
        </w:tc>
      </w:tr>
      <w:tr>
        <w:trPr>
          <w:trHeight w:val="2162" w:hRule="atLeast"/>
        </w:trPr>
        <w:tc>
          <w:tcPr>
            <w:shd w:val="clear" w:fill="B8CCE4"/>
            <w:tcW w:w="1214" w:type="dxa"/>
            <w:vAlign w:val="top"/>
          </w:tcPr>
          <w:p>
            <w:pPr>
              <w:spacing w:line="303" w:lineRule="auto"/>
              <w:rPr>
                <w:rFonts w:ascii="Arial"/>
                <w:sz w:val="21"/>
              </w:rPr>
            </w:pPr>
            <w:r/>
          </w:p>
          <w:p>
            <w:pPr>
              <w:spacing w:line="303" w:lineRule="auto"/>
              <w:rPr>
                <w:rFonts w:ascii="Arial"/>
                <w:sz w:val="21"/>
              </w:rPr>
            </w:pPr>
            <w:r/>
          </w:p>
          <w:p>
            <w:pPr>
              <w:spacing w:line="304" w:lineRule="auto"/>
              <w:rPr>
                <w:rFonts w:ascii="Arial"/>
                <w:sz w:val="21"/>
              </w:rPr>
            </w:pPr>
            <w:r/>
          </w:p>
          <w:p>
            <w:pPr>
              <w:pStyle w:val="TableText"/>
              <w:ind w:left="236"/>
              <w:spacing w:before="86" w:line="178" w:lineRule="auto"/>
              <w:rPr/>
            </w:pPr>
            <w:r>
              <w:rPr>
                <w:spacing w:val="3"/>
              </w:rPr>
              <w:t>002092</w:t>
            </w:r>
          </w:p>
        </w:tc>
        <w:tc>
          <w:tcPr>
            <w:shd w:val="clear" w:fill="B8CCE4"/>
            <w:tcW w:w="1343" w:type="dxa"/>
            <w:vAlign w:val="top"/>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pStyle w:val="TableText"/>
              <w:ind w:left="257"/>
              <w:spacing w:before="86" w:line="189" w:lineRule="auto"/>
              <w:rPr/>
            </w:pPr>
            <w:r>
              <w:rPr>
                <w:spacing w:val="5"/>
              </w:rPr>
              <w:t>中泰化学</w:t>
            </w:r>
          </w:p>
        </w:tc>
        <w:tc>
          <w:tcPr>
            <w:shd w:val="clear" w:fill="B8CCE4"/>
            <w:tcW w:w="5496" w:type="dxa"/>
            <w:vAlign w:val="top"/>
          </w:tcPr>
          <w:p>
            <w:pPr>
              <w:pStyle w:val="TableText"/>
              <w:ind w:left="99" w:right="103"/>
              <w:spacing w:before="84" w:line="241" w:lineRule="auto"/>
              <w:jc w:val="both"/>
              <w:rPr/>
            </w:pPr>
            <w:r>
              <w:rPr>
                <w:spacing w:val="15"/>
              </w:rPr>
              <w:t>控股股东及其关联方</w:t>
            </w:r>
            <w:r>
              <w:rPr>
                <w:b/>
                <w:bCs/>
                <w:spacing w:val="15"/>
              </w:rPr>
              <w:t>占用</w:t>
            </w:r>
            <w:r>
              <w:rPr>
                <w:spacing w:val="15"/>
              </w:rPr>
              <w:t>中泰化学资金；中泰化学2020</w:t>
            </w:r>
            <w:r>
              <w:rPr>
                <w:spacing w:val="14"/>
              </w:rPr>
              <w:t xml:space="preserve"> </w:t>
            </w:r>
            <w:r>
              <w:rPr>
                <w:spacing w:val="12"/>
              </w:rPr>
              <w:t>年至2022年定期报告以及2023年公司债券募集说明书等</w:t>
            </w:r>
            <w:r>
              <w:rPr>
                <w:spacing w:val="2"/>
              </w:rPr>
              <w:t xml:space="preserve"> </w:t>
            </w:r>
            <w:r>
              <w:rPr>
                <w:spacing w:val="9"/>
              </w:rPr>
              <w:t>发行文件存在</w:t>
            </w:r>
            <w:r>
              <w:rPr>
                <w:b/>
                <w:bCs/>
                <w:spacing w:val="9"/>
              </w:rPr>
              <w:t>披露不准确</w:t>
            </w:r>
            <w:r>
              <w:rPr>
                <w:spacing w:val="9"/>
              </w:rPr>
              <w:t>问题。</w:t>
            </w:r>
            <w:r>
              <w:rPr>
                <w:spacing w:val="-11"/>
              </w:rPr>
              <w:t xml:space="preserve"> </w:t>
            </w:r>
            <w:r>
              <w:rPr>
                <w:spacing w:val="9"/>
              </w:rPr>
              <w:t>中泰集团作为公司债券发</w:t>
            </w:r>
            <w:r>
              <w:rPr/>
              <w:t xml:space="preserve"> </w:t>
            </w:r>
            <w:r>
              <w:rPr>
                <w:spacing w:val="24"/>
              </w:rPr>
              <w:t>行人 ，因中泰化学财务数据披</w:t>
            </w:r>
            <w:r>
              <w:rPr>
                <w:spacing w:val="-18"/>
              </w:rPr>
              <w:t xml:space="preserve"> </w:t>
            </w:r>
            <w:r>
              <w:rPr>
                <w:spacing w:val="24"/>
              </w:rPr>
              <w:t>露不准确导致中泰集团</w:t>
            </w:r>
            <w:r>
              <w:rPr/>
              <w:t xml:space="preserve"> </w:t>
            </w:r>
            <w:r>
              <w:rPr>
                <w:spacing w:val="9"/>
              </w:rPr>
              <w:t>2020年至2022年定期报告以及2023年公司债券募集说明</w:t>
            </w:r>
            <w:r>
              <w:rPr/>
              <w:t xml:space="preserve"> </w:t>
            </w:r>
            <w:r>
              <w:rPr>
                <w:spacing w:val="9"/>
              </w:rPr>
              <w:t>书等发行文件存在披露不准确问题。</w:t>
            </w:r>
          </w:p>
        </w:tc>
      </w:tr>
      <w:tr>
        <w:trPr>
          <w:trHeight w:val="724" w:hRule="atLeast"/>
        </w:trPr>
        <w:tc>
          <w:tcPr>
            <w:tcW w:w="8053" w:type="dxa"/>
            <w:vAlign w:val="top"/>
            <w:gridSpan w:val="3"/>
          </w:tcPr>
          <w:p>
            <w:pPr>
              <w:pStyle w:val="TableText"/>
              <w:ind w:left="106" w:right="103" w:firstLine="16"/>
              <w:spacing w:before="47" w:line="233" w:lineRule="auto"/>
              <w:rPr/>
            </w:pPr>
            <w:r>
              <w:rPr>
                <w:b/>
                <w:bCs/>
                <w:spacing w:val="9"/>
              </w:rPr>
              <w:t>【行政监管措施】</w:t>
            </w:r>
            <w:r>
              <w:rPr>
                <w:spacing w:val="9"/>
              </w:rPr>
              <w:t>新疆证监局决定对龚某华采取出具警示函的监督管理措施 ，并记入</w:t>
            </w:r>
            <w:r>
              <w:rPr>
                <w:spacing w:val="8"/>
              </w:rPr>
              <w:t xml:space="preserve"> </w:t>
            </w:r>
            <w:r>
              <w:rPr>
                <w:spacing w:val="8"/>
              </w:rPr>
              <w:t>证券期货市场诚信档案。</w:t>
            </w:r>
          </w:p>
        </w:tc>
      </w:tr>
      <w:tr>
        <w:trPr>
          <w:trHeight w:val="2163" w:hRule="atLeast"/>
        </w:trPr>
        <w:tc>
          <w:tcPr>
            <w:shd w:val="clear" w:fill="B8CCE4"/>
            <w:tcW w:w="1214" w:type="dxa"/>
            <w:vAlign w:val="top"/>
          </w:tcPr>
          <w:p>
            <w:pPr>
              <w:spacing w:line="305"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236"/>
              <w:spacing w:before="85" w:line="178" w:lineRule="auto"/>
              <w:rPr/>
            </w:pPr>
            <w:r>
              <w:rPr>
                <w:spacing w:val="3"/>
              </w:rPr>
              <w:t>002092</w:t>
            </w:r>
          </w:p>
        </w:tc>
        <w:tc>
          <w:tcPr>
            <w:shd w:val="clear" w:fill="B8CCE4"/>
            <w:tcW w:w="1343" w:type="dxa"/>
            <w:vAlign w:val="top"/>
          </w:tcPr>
          <w:p>
            <w:pPr>
              <w:spacing w:line="300" w:lineRule="auto"/>
              <w:rPr>
                <w:rFonts w:ascii="Arial"/>
                <w:sz w:val="21"/>
              </w:rPr>
            </w:pPr>
            <w:r/>
          </w:p>
          <w:p>
            <w:pPr>
              <w:spacing w:line="300" w:lineRule="auto"/>
              <w:rPr>
                <w:rFonts w:ascii="Arial"/>
                <w:sz w:val="21"/>
              </w:rPr>
            </w:pPr>
            <w:r/>
          </w:p>
          <w:p>
            <w:pPr>
              <w:spacing w:line="300" w:lineRule="auto"/>
              <w:rPr>
                <w:rFonts w:ascii="Arial"/>
                <w:sz w:val="21"/>
              </w:rPr>
            </w:pPr>
            <w:r/>
          </w:p>
          <w:p>
            <w:pPr>
              <w:pStyle w:val="TableText"/>
              <w:ind w:left="257"/>
              <w:spacing w:before="86" w:line="189" w:lineRule="auto"/>
              <w:rPr/>
            </w:pPr>
            <w:r>
              <w:rPr>
                <w:spacing w:val="5"/>
              </w:rPr>
              <w:t>中泰化学</w:t>
            </w:r>
          </w:p>
        </w:tc>
        <w:tc>
          <w:tcPr>
            <w:shd w:val="clear" w:fill="B8CCE4"/>
            <w:tcW w:w="5496" w:type="dxa"/>
            <w:vAlign w:val="top"/>
          </w:tcPr>
          <w:p>
            <w:pPr>
              <w:pStyle w:val="TableText"/>
              <w:ind w:left="99" w:right="103"/>
              <w:spacing w:before="94"/>
              <w:jc w:val="both"/>
              <w:rPr/>
            </w:pPr>
            <w:r>
              <w:rPr>
                <w:spacing w:val="15"/>
              </w:rPr>
              <w:t>控股股东及其关联方</w:t>
            </w:r>
            <w:r>
              <w:rPr>
                <w:b/>
                <w:bCs/>
                <w:spacing w:val="15"/>
              </w:rPr>
              <w:t>占用</w:t>
            </w:r>
            <w:r>
              <w:rPr>
                <w:spacing w:val="15"/>
              </w:rPr>
              <w:t>中泰化学资金；中泰化学2020</w:t>
            </w:r>
            <w:r>
              <w:rPr>
                <w:spacing w:val="14"/>
              </w:rPr>
              <w:t xml:space="preserve"> </w:t>
            </w:r>
            <w:r>
              <w:rPr>
                <w:spacing w:val="12"/>
              </w:rPr>
              <w:t>年至2022年定期报告以及2023年公司债券募集说明书等</w:t>
            </w:r>
            <w:r>
              <w:rPr>
                <w:spacing w:val="2"/>
              </w:rPr>
              <w:t xml:space="preserve"> </w:t>
            </w:r>
            <w:r>
              <w:rPr>
                <w:spacing w:val="9"/>
              </w:rPr>
              <w:t>发行文件存在</w:t>
            </w:r>
            <w:r>
              <w:rPr>
                <w:b/>
                <w:bCs/>
                <w:spacing w:val="9"/>
              </w:rPr>
              <w:t>披露不准确</w:t>
            </w:r>
            <w:r>
              <w:rPr>
                <w:spacing w:val="9"/>
              </w:rPr>
              <w:t>问题。</w:t>
            </w:r>
            <w:r>
              <w:rPr>
                <w:spacing w:val="-11"/>
              </w:rPr>
              <w:t xml:space="preserve"> </w:t>
            </w:r>
            <w:r>
              <w:rPr>
                <w:spacing w:val="9"/>
              </w:rPr>
              <w:t>中泰集团作为公司债券发</w:t>
            </w:r>
            <w:r>
              <w:rPr/>
              <w:t xml:space="preserve"> </w:t>
            </w:r>
            <w:r>
              <w:rPr>
                <w:spacing w:val="24"/>
              </w:rPr>
              <w:t>行人 ，因中泰化学财务数据披</w:t>
            </w:r>
            <w:r>
              <w:rPr>
                <w:spacing w:val="-18"/>
              </w:rPr>
              <w:t xml:space="preserve"> </w:t>
            </w:r>
            <w:r>
              <w:rPr>
                <w:spacing w:val="24"/>
              </w:rPr>
              <w:t>露不准确导致中泰集团</w:t>
            </w:r>
            <w:r>
              <w:rPr/>
              <w:t xml:space="preserve"> </w:t>
            </w:r>
            <w:r>
              <w:rPr>
                <w:spacing w:val="9"/>
              </w:rPr>
              <w:t>2020年至2022年定期报告以及2023年公司债券募集说明</w:t>
            </w:r>
            <w:r>
              <w:rPr/>
              <w:t xml:space="preserve"> </w:t>
            </w:r>
            <w:r>
              <w:rPr>
                <w:spacing w:val="9"/>
              </w:rPr>
              <w:t>书等发行文件存在披露不准确问题。</w:t>
            </w:r>
          </w:p>
        </w:tc>
      </w:tr>
      <w:tr>
        <w:trPr>
          <w:trHeight w:val="724" w:hRule="atLeast"/>
        </w:trPr>
        <w:tc>
          <w:tcPr>
            <w:tcW w:w="8053" w:type="dxa"/>
            <w:vAlign w:val="top"/>
            <w:gridSpan w:val="3"/>
          </w:tcPr>
          <w:p>
            <w:pPr>
              <w:pStyle w:val="TableText"/>
              <w:ind w:left="105" w:right="103" w:firstLine="17"/>
              <w:spacing w:before="50" w:line="232" w:lineRule="auto"/>
              <w:rPr/>
            </w:pPr>
            <w:r>
              <w:rPr>
                <w:b/>
                <w:bCs/>
                <w:spacing w:val="9"/>
              </w:rPr>
              <w:t>【行政监管措施】</w:t>
            </w:r>
            <w:r>
              <w:rPr>
                <w:spacing w:val="9"/>
              </w:rPr>
              <w:t>新疆证监局决定对中泰集团采取出具警示函的监督管理措施 ，并记</w:t>
            </w:r>
            <w:r>
              <w:rPr>
                <w:spacing w:val="8"/>
              </w:rPr>
              <w:t xml:space="preserve"> </w:t>
            </w:r>
            <w:r>
              <w:rPr>
                <w:spacing w:val="8"/>
              </w:rPr>
              <w:t>入证券期货市场诚信档案。</w:t>
            </w:r>
          </w:p>
        </w:tc>
      </w:tr>
      <w:tr>
        <w:trPr>
          <w:trHeight w:val="2163" w:hRule="atLeast"/>
        </w:trPr>
        <w:tc>
          <w:tcPr>
            <w:shd w:val="clear" w:fill="B8CCE4"/>
            <w:tcW w:w="1214" w:type="dxa"/>
            <w:vAlign w:val="top"/>
          </w:tcPr>
          <w:p>
            <w:pPr>
              <w:spacing w:line="307" w:lineRule="auto"/>
              <w:rPr>
                <w:rFonts w:ascii="Arial"/>
                <w:sz w:val="21"/>
              </w:rPr>
            </w:pPr>
            <w:r/>
          </w:p>
          <w:p>
            <w:pPr>
              <w:spacing w:line="307" w:lineRule="auto"/>
              <w:rPr>
                <w:rFonts w:ascii="Arial"/>
                <w:sz w:val="21"/>
              </w:rPr>
            </w:pPr>
            <w:r/>
          </w:p>
          <w:p>
            <w:pPr>
              <w:spacing w:line="307" w:lineRule="auto"/>
              <w:rPr>
                <w:rFonts w:ascii="Arial"/>
                <w:sz w:val="21"/>
              </w:rPr>
            </w:pPr>
            <w:r/>
          </w:p>
          <w:p>
            <w:pPr>
              <w:pStyle w:val="TableText"/>
              <w:ind w:left="236"/>
              <w:spacing w:before="86" w:line="178" w:lineRule="auto"/>
              <w:rPr/>
            </w:pPr>
            <w:r>
              <w:rPr>
                <w:spacing w:val="3"/>
              </w:rPr>
              <w:t>002092</w:t>
            </w:r>
          </w:p>
        </w:tc>
        <w:tc>
          <w:tcPr>
            <w:shd w:val="clear" w:fill="B8CCE4"/>
            <w:tcW w:w="1343" w:type="dxa"/>
            <w:vAlign w:val="top"/>
          </w:tcPr>
          <w:p>
            <w:pPr>
              <w:spacing w:line="302" w:lineRule="auto"/>
              <w:rPr>
                <w:rFonts w:ascii="Arial"/>
                <w:sz w:val="21"/>
              </w:rPr>
            </w:pPr>
            <w:r/>
          </w:p>
          <w:p>
            <w:pPr>
              <w:spacing w:line="302" w:lineRule="auto"/>
              <w:rPr>
                <w:rFonts w:ascii="Arial"/>
                <w:sz w:val="21"/>
              </w:rPr>
            </w:pPr>
            <w:r/>
          </w:p>
          <w:p>
            <w:pPr>
              <w:spacing w:line="302" w:lineRule="auto"/>
              <w:rPr>
                <w:rFonts w:ascii="Arial"/>
                <w:sz w:val="21"/>
              </w:rPr>
            </w:pPr>
            <w:r/>
          </w:p>
          <w:p>
            <w:pPr>
              <w:pStyle w:val="TableText"/>
              <w:ind w:left="257"/>
              <w:spacing w:before="86" w:line="189" w:lineRule="auto"/>
              <w:rPr/>
            </w:pPr>
            <w:r>
              <w:rPr>
                <w:spacing w:val="5"/>
              </w:rPr>
              <w:t>中泰化学</w:t>
            </w:r>
          </w:p>
        </w:tc>
        <w:tc>
          <w:tcPr>
            <w:shd w:val="clear" w:fill="B8CCE4"/>
            <w:tcW w:w="5496" w:type="dxa"/>
            <w:vAlign w:val="top"/>
          </w:tcPr>
          <w:p>
            <w:pPr>
              <w:pStyle w:val="TableText"/>
              <w:ind w:left="99" w:right="103"/>
              <w:spacing w:before="94"/>
              <w:jc w:val="both"/>
              <w:rPr/>
            </w:pPr>
            <w:r>
              <w:rPr>
                <w:spacing w:val="15"/>
              </w:rPr>
              <w:t>控股股东及其关联方</w:t>
            </w:r>
            <w:r>
              <w:rPr>
                <w:b/>
                <w:bCs/>
                <w:spacing w:val="15"/>
              </w:rPr>
              <w:t>占用</w:t>
            </w:r>
            <w:r>
              <w:rPr>
                <w:spacing w:val="15"/>
              </w:rPr>
              <w:t>中泰化学资金；中泰化学2020</w:t>
            </w:r>
            <w:r>
              <w:rPr>
                <w:spacing w:val="14"/>
              </w:rPr>
              <w:t xml:space="preserve"> </w:t>
            </w:r>
            <w:r>
              <w:rPr>
                <w:spacing w:val="12"/>
              </w:rPr>
              <w:t>年至2022年定期报告以及2023年公司债券募集说明书等</w:t>
            </w:r>
            <w:r>
              <w:rPr>
                <w:spacing w:val="2"/>
              </w:rPr>
              <w:t xml:space="preserve"> </w:t>
            </w:r>
            <w:r>
              <w:rPr>
                <w:spacing w:val="9"/>
              </w:rPr>
              <w:t>发行文件存在</w:t>
            </w:r>
            <w:r>
              <w:rPr>
                <w:b/>
                <w:bCs/>
                <w:spacing w:val="9"/>
              </w:rPr>
              <w:t>披露不准确</w:t>
            </w:r>
            <w:r>
              <w:rPr>
                <w:spacing w:val="9"/>
              </w:rPr>
              <w:t>问题。</w:t>
            </w:r>
            <w:r>
              <w:rPr>
                <w:spacing w:val="-11"/>
              </w:rPr>
              <w:t xml:space="preserve"> </w:t>
            </w:r>
            <w:r>
              <w:rPr>
                <w:spacing w:val="9"/>
              </w:rPr>
              <w:t>中泰集团作为公司债券发</w:t>
            </w:r>
            <w:r>
              <w:rPr/>
              <w:t xml:space="preserve"> </w:t>
            </w:r>
            <w:r>
              <w:rPr>
                <w:spacing w:val="24"/>
              </w:rPr>
              <w:t>行人 ，因中泰化学财务数据披</w:t>
            </w:r>
            <w:r>
              <w:rPr>
                <w:spacing w:val="-18"/>
              </w:rPr>
              <w:t xml:space="preserve"> </w:t>
            </w:r>
            <w:r>
              <w:rPr>
                <w:spacing w:val="24"/>
              </w:rPr>
              <w:t>露不准确导致中泰集团</w:t>
            </w:r>
            <w:r>
              <w:rPr/>
              <w:t xml:space="preserve"> </w:t>
            </w:r>
            <w:r>
              <w:rPr>
                <w:spacing w:val="9"/>
              </w:rPr>
              <w:t>2020年至2022年定期报告以及2023年公司债券募集说明</w:t>
            </w:r>
            <w:r>
              <w:rPr/>
              <w:t xml:space="preserve"> </w:t>
            </w:r>
            <w:r>
              <w:rPr>
                <w:spacing w:val="9"/>
              </w:rPr>
              <w:t>书等发行文件存在披露不准确问题。</w:t>
            </w:r>
          </w:p>
        </w:tc>
      </w:tr>
      <w:tr>
        <w:trPr>
          <w:trHeight w:val="724" w:hRule="atLeast"/>
        </w:trPr>
        <w:tc>
          <w:tcPr>
            <w:tcW w:w="8053" w:type="dxa"/>
            <w:vAlign w:val="top"/>
            <w:gridSpan w:val="3"/>
          </w:tcPr>
          <w:p>
            <w:pPr>
              <w:pStyle w:val="TableText"/>
              <w:ind w:left="185" w:right="103" w:hanging="63"/>
              <w:spacing w:before="59" w:line="229" w:lineRule="auto"/>
              <w:rPr/>
            </w:pPr>
            <w:r>
              <w:rPr>
                <w:b/>
                <w:bCs/>
                <w:spacing w:val="11"/>
              </w:rPr>
              <w:t>【行政监管措施】</w:t>
            </w:r>
            <w:r>
              <w:rPr>
                <w:spacing w:val="11"/>
              </w:rPr>
              <w:t>新疆证监局局决定对董事长王某欣采取出具警示函的监督管理措施</w:t>
            </w:r>
            <w:r>
              <w:rPr>
                <w:spacing w:val="3"/>
              </w:rPr>
              <w:t xml:space="preserve"> </w:t>
            </w:r>
            <w:r>
              <w:rPr>
                <w:spacing w:val="7"/>
              </w:rPr>
              <w:t>,</w:t>
            </w:r>
            <w:r>
              <w:rPr>
                <w:spacing w:val="40"/>
              </w:rPr>
              <w:t xml:space="preserve"> </w:t>
            </w:r>
            <w:r>
              <w:rPr>
                <w:spacing w:val="7"/>
              </w:rPr>
              <w:t>并记入证券期货市场诚信档案。</w:t>
            </w:r>
          </w:p>
        </w:tc>
      </w:tr>
      <w:tr>
        <w:trPr>
          <w:trHeight w:val="364" w:hRule="atLeast"/>
        </w:trPr>
        <w:tc>
          <w:tcPr>
            <w:shd w:val="clear" w:fill="B8CCE4"/>
            <w:tcW w:w="1214" w:type="dxa"/>
            <w:vAlign w:val="top"/>
          </w:tcPr>
          <w:p>
            <w:pPr>
              <w:pStyle w:val="TableText"/>
              <w:ind w:left="239"/>
              <w:spacing w:before="116" w:line="166" w:lineRule="auto"/>
              <w:rPr/>
            </w:pPr>
            <w:r>
              <w:rPr>
                <w:spacing w:val="3"/>
              </w:rPr>
              <w:t>603353</w:t>
            </w:r>
          </w:p>
        </w:tc>
        <w:tc>
          <w:tcPr>
            <w:shd w:val="clear" w:fill="B8CCE4"/>
            <w:tcW w:w="1343" w:type="dxa"/>
            <w:vAlign w:val="top"/>
          </w:tcPr>
          <w:p>
            <w:pPr>
              <w:pStyle w:val="TableText"/>
              <w:ind w:left="242"/>
              <w:spacing w:before="103" w:line="175" w:lineRule="auto"/>
              <w:rPr/>
            </w:pPr>
            <w:r>
              <w:rPr>
                <w:spacing w:val="8"/>
              </w:rPr>
              <w:t>和顺石油</w:t>
            </w:r>
          </w:p>
        </w:tc>
        <w:tc>
          <w:tcPr>
            <w:shd w:val="clear" w:fill="B8CCE4"/>
            <w:tcW w:w="5496" w:type="dxa"/>
            <w:vAlign w:val="top"/>
          </w:tcPr>
          <w:p>
            <w:pPr>
              <w:pStyle w:val="TableText"/>
              <w:ind w:left="101"/>
              <w:spacing w:before="102" w:line="176" w:lineRule="auto"/>
              <w:rPr/>
            </w:pPr>
            <w:r>
              <w:rPr>
                <w:spacing w:val="8"/>
              </w:rPr>
              <w:t>董事配偶</w:t>
            </w:r>
            <w:r>
              <w:rPr>
                <w:b/>
                <w:bCs/>
                <w:spacing w:val="8"/>
              </w:rPr>
              <w:t>短线交易。</w:t>
            </w:r>
          </w:p>
        </w:tc>
      </w:tr>
      <w:tr>
        <w:trPr>
          <w:trHeight w:val="364" w:hRule="atLeast"/>
        </w:trPr>
        <w:tc>
          <w:tcPr>
            <w:tcW w:w="8053" w:type="dxa"/>
            <w:vAlign w:val="top"/>
            <w:gridSpan w:val="3"/>
          </w:tcPr>
          <w:p>
            <w:pPr>
              <w:pStyle w:val="TableText"/>
              <w:ind w:left="122"/>
              <w:spacing w:before="60" w:line="205" w:lineRule="auto"/>
              <w:rPr/>
            </w:pPr>
            <w:r>
              <w:rPr>
                <w:b/>
                <w:bCs/>
                <w:spacing w:val="9"/>
              </w:rPr>
              <w:t>【行政监管措施】</w:t>
            </w:r>
            <w:r>
              <w:rPr>
                <w:spacing w:val="9"/>
              </w:rPr>
              <w:t>湖北证监局决定对董事吴某宇采取出具警示函的行政监管措施。</w:t>
            </w:r>
          </w:p>
        </w:tc>
      </w:tr>
      <w:tr>
        <w:trPr>
          <w:trHeight w:val="1084" w:hRule="atLeast"/>
        </w:trPr>
        <w:tc>
          <w:tcPr>
            <w:shd w:val="clear" w:fill="B8CCE4"/>
            <w:tcW w:w="1214" w:type="dxa"/>
            <w:vAlign w:val="top"/>
          </w:tcPr>
          <w:p>
            <w:pPr>
              <w:spacing w:line="391" w:lineRule="auto"/>
              <w:rPr>
                <w:rFonts w:ascii="Arial"/>
                <w:sz w:val="21"/>
              </w:rPr>
            </w:pPr>
            <w:r/>
          </w:p>
          <w:p>
            <w:pPr>
              <w:pStyle w:val="TableText"/>
              <w:ind w:left="236"/>
              <w:spacing w:before="85" w:line="178" w:lineRule="auto"/>
              <w:rPr/>
            </w:pPr>
            <w:r>
              <w:rPr>
                <w:spacing w:val="3"/>
              </w:rPr>
              <w:t>002092</w:t>
            </w:r>
          </w:p>
        </w:tc>
        <w:tc>
          <w:tcPr>
            <w:shd w:val="clear" w:fill="B8CCE4"/>
            <w:tcW w:w="1343" w:type="dxa"/>
            <w:vAlign w:val="top"/>
          </w:tcPr>
          <w:p>
            <w:pPr>
              <w:spacing w:line="376" w:lineRule="auto"/>
              <w:rPr>
                <w:rFonts w:ascii="Arial"/>
                <w:sz w:val="21"/>
              </w:rPr>
            </w:pPr>
            <w:r/>
          </w:p>
          <w:p>
            <w:pPr>
              <w:pStyle w:val="TableText"/>
              <w:ind w:left="257"/>
              <w:spacing w:before="86" w:line="189" w:lineRule="auto"/>
              <w:rPr/>
            </w:pPr>
            <w:r>
              <w:rPr>
                <w:spacing w:val="5"/>
              </w:rPr>
              <w:t>中泰化学</w:t>
            </w:r>
          </w:p>
        </w:tc>
        <w:tc>
          <w:tcPr>
            <w:shd w:val="clear" w:fill="B8CCE4"/>
            <w:tcW w:w="5496" w:type="dxa"/>
            <w:vAlign w:val="top"/>
          </w:tcPr>
          <w:p>
            <w:pPr>
              <w:pStyle w:val="TableText"/>
              <w:ind w:left="99" w:right="103"/>
              <w:spacing w:before="104" w:line="226" w:lineRule="auto"/>
              <w:jc w:val="both"/>
              <w:rPr/>
            </w:pPr>
            <w:r>
              <w:rPr>
                <w:spacing w:val="15"/>
              </w:rPr>
              <w:t>控股股东及其关联方</w:t>
            </w:r>
            <w:r>
              <w:rPr>
                <w:b/>
                <w:bCs/>
                <w:spacing w:val="15"/>
              </w:rPr>
              <w:t>占用</w:t>
            </w:r>
            <w:r>
              <w:rPr>
                <w:spacing w:val="15"/>
              </w:rPr>
              <w:t>中泰化学资金；中泰化学2020</w:t>
            </w:r>
            <w:r>
              <w:rPr>
                <w:spacing w:val="14"/>
              </w:rPr>
              <w:t xml:space="preserve"> </w:t>
            </w:r>
            <w:r>
              <w:rPr>
                <w:spacing w:val="12"/>
              </w:rPr>
              <w:t>年至2022年定期报告以及2023年公司债券募集说明书等</w:t>
            </w:r>
            <w:r>
              <w:rPr>
                <w:spacing w:val="2"/>
              </w:rPr>
              <w:t xml:space="preserve"> </w:t>
            </w:r>
            <w:r>
              <w:rPr>
                <w:spacing w:val="9"/>
              </w:rPr>
              <w:t>发行文件存在</w:t>
            </w:r>
            <w:r>
              <w:rPr>
                <w:b/>
                <w:bCs/>
                <w:spacing w:val="9"/>
              </w:rPr>
              <w:t>披露不准确</w:t>
            </w:r>
            <w:r>
              <w:rPr>
                <w:spacing w:val="9"/>
              </w:rPr>
              <w:t>问题。</w:t>
            </w:r>
          </w:p>
        </w:tc>
      </w:tr>
      <w:tr>
        <w:trPr>
          <w:trHeight w:val="725" w:hRule="atLeast"/>
        </w:trPr>
        <w:tc>
          <w:tcPr>
            <w:tcW w:w="8053" w:type="dxa"/>
            <w:vAlign w:val="top"/>
            <w:gridSpan w:val="3"/>
          </w:tcPr>
          <w:p>
            <w:pPr>
              <w:pStyle w:val="TableText"/>
              <w:ind w:left="106" w:right="103" w:firstLine="16"/>
              <w:spacing w:before="63" w:line="228" w:lineRule="auto"/>
              <w:rPr/>
            </w:pPr>
            <w:r>
              <w:rPr>
                <w:b/>
                <w:bCs/>
                <w:spacing w:val="9"/>
              </w:rPr>
              <w:t>【行政监管措施】</w:t>
            </w:r>
            <w:r>
              <w:rPr>
                <w:spacing w:val="9"/>
              </w:rPr>
              <w:t>新疆证监局定对董事长杨某红采取出具警示函的监督管理措施 ，并</w:t>
            </w:r>
            <w:r>
              <w:rPr>
                <w:spacing w:val="8"/>
              </w:rPr>
              <w:t xml:space="preserve"> </w:t>
            </w:r>
            <w:r>
              <w:rPr>
                <w:spacing w:val="8"/>
              </w:rPr>
              <w:t>记入证券期货市场诚信档案。</w:t>
            </w:r>
          </w:p>
        </w:tc>
      </w:tr>
      <w:tr>
        <w:trPr>
          <w:trHeight w:val="731" w:hRule="atLeast"/>
        </w:trPr>
        <w:tc>
          <w:tcPr>
            <w:shd w:val="clear" w:fill="B8CCE4"/>
            <w:tcW w:w="1214" w:type="dxa"/>
            <w:vAlign w:val="top"/>
          </w:tcPr>
          <w:p>
            <w:pPr>
              <w:pStyle w:val="TableText"/>
              <w:ind w:left="236"/>
              <w:spacing w:before="301" w:line="178" w:lineRule="auto"/>
              <w:rPr/>
            </w:pPr>
            <w:r>
              <w:rPr>
                <w:spacing w:val="3"/>
              </w:rPr>
              <w:t>002092</w:t>
            </w:r>
          </w:p>
        </w:tc>
        <w:tc>
          <w:tcPr>
            <w:shd w:val="clear" w:fill="B8CCE4"/>
            <w:tcW w:w="1343" w:type="dxa"/>
            <w:vAlign w:val="top"/>
          </w:tcPr>
          <w:p>
            <w:pPr>
              <w:pStyle w:val="TableText"/>
              <w:ind w:left="257"/>
              <w:spacing w:before="286" w:line="189" w:lineRule="auto"/>
              <w:rPr/>
            </w:pPr>
            <w:r>
              <w:rPr>
                <w:spacing w:val="5"/>
              </w:rPr>
              <w:t>中泰化学</w:t>
            </w:r>
          </w:p>
        </w:tc>
        <w:tc>
          <w:tcPr>
            <w:shd w:val="clear" w:fill="B8CCE4"/>
            <w:tcW w:w="5496" w:type="dxa"/>
            <w:vAlign w:val="top"/>
          </w:tcPr>
          <w:p>
            <w:pPr>
              <w:pStyle w:val="TableText"/>
              <w:ind w:left="101" w:right="103" w:hanging="1"/>
              <w:spacing w:before="106" w:line="215" w:lineRule="auto"/>
              <w:rPr/>
            </w:pPr>
            <w:r>
              <w:rPr>
                <w:spacing w:val="15"/>
              </w:rPr>
              <w:t>控股股东及其关联方</w:t>
            </w:r>
            <w:r>
              <w:rPr>
                <w:b/>
                <w:bCs/>
                <w:spacing w:val="15"/>
              </w:rPr>
              <w:t>占用</w:t>
            </w:r>
            <w:r>
              <w:rPr>
                <w:spacing w:val="15"/>
              </w:rPr>
              <w:t>中泰化学资金；中泰化学2020</w:t>
            </w:r>
            <w:r>
              <w:rPr>
                <w:spacing w:val="14"/>
              </w:rPr>
              <w:t xml:space="preserve"> </w:t>
            </w:r>
            <w:r>
              <w:rPr>
                <w:spacing w:val="12"/>
              </w:rPr>
              <w:t>年至2022年定期报告以及2023年公司债券募集说明书等</w:t>
            </w:r>
          </w:p>
        </w:tc>
      </w:tr>
    </w:tbl>
    <w:p>
      <w:pPr>
        <w:pStyle w:val="BodyText"/>
        <w:spacing w:line="14" w:lineRule="auto"/>
        <w:rPr>
          <w:sz w:val="2"/>
        </w:rPr>
      </w:pPr>
      <w:r/>
    </w:p>
    <w:p>
      <w:pPr>
        <w:spacing w:line="14" w:lineRule="auto"/>
        <w:sectPr>
          <w:pgSz w:w="11910" w:h="16840"/>
          <w:pgMar w:top="400" w:right="1786" w:bottom="75" w:left="833" w:header="0" w:footer="0" w:gutter="0"/>
        </w:sectPr>
        <w:rPr>
          <w:sz w:val="2"/>
          <w:szCs w:val="2"/>
        </w:rPr>
      </w:pPr>
    </w:p>
    <w:tbl>
      <w:tblPr>
        <w:tblStyle w:val="TableNormal"/>
        <w:tblW w:w="805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4" w:hRule="atLeast"/>
        </w:trPr>
        <w:tc>
          <w:tcPr>
            <w:shd w:val="clear" w:fill="B8CCE4"/>
            <w:tcW w:w="1214" w:type="dxa"/>
            <w:vAlign w:val="top"/>
            <w:tcBorders>
              <w:top w:val="single" w:color="4F81BD" w:sz="2" w:space="0"/>
            </w:tcBorders>
          </w:tcPr>
          <w:p>
            <w:pPr>
              <w:rPr>
                <w:rFonts w:ascii="Arial"/>
                <w:sz w:val="21"/>
              </w:rPr>
            </w:pPr>
            <w:r/>
          </w:p>
        </w:tc>
        <w:tc>
          <w:tcPr>
            <w:shd w:val="clear" w:fill="B8CCE4"/>
            <w:tcW w:w="1343" w:type="dxa"/>
            <w:vAlign w:val="top"/>
            <w:tcBorders>
              <w:top w:val="single" w:color="4F81BD" w:sz="2" w:space="0"/>
            </w:tcBorders>
          </w:tcPr>
          <w:p>
            <w:pPr>
              <w:rPr>
                <w:rFonts w:ascii="Arial"/>
                <w:sz w:val="21"/>
              </w:rPr>
            </w:pPr>
            <w:r/>
          </w:p>
        </w:tc>
        <w:tc>
          <w:tcPr>
            <w:shd w:val="clear" w:fill="B8CCE4"/>
            <w:tcW w:w="5496" w:type="dxa"/>
            <w:vAlign w:val="top"/>
            <w:tcBorders>
              <w:top w:val="single" w:color="4F81BD" w:sz="2" w:space="0"/>
            </w:tcBorders>
          </w:tcPr>
          <w:p>
            <w:pPr>
              <w:pStyle w:val="TableText"/>
              <w:ind w:left="99"/>
              <w:spacing w:before="101" w:line="190" w:lineRule="auto"/>
              <w:rPr/>
            </w:pPr>
            <w:r>
              <w:rPr>
                <w:spacing w:val="9"/>
              </w:rPr>
              <w:t>发行文件存在</w:t>
            </w:r>
            <w:r>
              <w:rPr>
                <w:b/>
                <w:bCs/>
                <w:spacing w:val="9"/>
              </w:rPr>
              <w:t>披露不准确</w:t>
            </w:r>
            <w:r>
              <w:rPr>
                <w:spacing w:val="9"/>
              </w:rPr>
              <w:t>问题。</w:t>
            </w:r>
          </w:p>
        </w:tc>
      </w:tr>
      <w:tr>
        <w:trPr>
          <w:trHeight w:val="1084" w:hRule="atLeast"/>
        </w:trPr>
        <w:tc>
          <w:tcPr>
            <w:tcW w:w="8053" w:type="dxa"/>
            <w:vAlign w:val="top"/>
            <w:gridSpan w:val="3"/>
          </w:tcPr>
          <w:p>
            <w:pPr>
              <w:pStyle w:val="TableText"/>
              <w:ind w:left="104" w:right="103" w:firstLine="18"/>
              <w:spacing w:before="39" w:line="241" w:lineRule="auto"/>
              <w:jc w:val="both"/>
              <w:rPr/>
            </w:pPr>
            <w:r>
              <w:rPr>
                <w:b/>
                <w:bCs/>
                <w:spacing w:val="10"/>
              </w:rPr>
              <w:t>【行政监管措施】</w:t>
            </w:r>
            <w:r>
              <w:rPr>
                <w:spacing w:val="10"/>
              </w:rPr>
              <w:t>新疆证监局决定对时任总经理冯斌、</w:t>
            </w:r>
            <w:r>
              <w:rPr>
                <w:spacing w:val="-20"/>
              </w:rPr>
              <w:t xml:space="preserve"> </w:t>
            </w:r>
            <w:r>
              <w:rPr>
                <w:spacing w:val="10"/>
              </w:rPr>
              <w:t>时任总经理刘洪、总经理江军</w:t>
            </w:r>
            <w:r>
              <w:rPr/>
              <w:t xml:space="preserve"> </w:t>
            </w:r>
            <w:r>
              <w:rPr>
                <w:spacing w:val="10"/>
              </w:rPr>
              <w:t>、</w:t>
            </w:r>
            <w:r>
              <w:rPr>
                <w:spacing w:val="-24"/>
              </w:rPr>
              <w:t xml:space="preserve"> </w:t>
            </w:r>
            <w:r>
              <w:rPr>
                <w:spacing w:val="10"/>
              </w:rPr>
              <w:t>时任财务总监王海玲、</w:t>
            </w:r>
            <w:r>
              <w:rPr>
                <w:spacing w:val="-37"/>
              </w:rPr>
              <w:t xml:space="preserve"> </w:t>
            </w:r>
            <w:r>
              <w:rPr>
                <w:spacing w:val="10"/>
              </w:rPr>
              <w:t>时任财务总监彭江玲、财务总监黄增伟采取出具警示函的监</w:t>
            </w:r>
            <w:r>
              <w:rPr/>
              <w:t xml:space="preserve"> </w:t>
            </w:r>
            <w:r>
              <w:rPr>
                <w:spacing w:val="6"/>
              </w:rPr>
              <w:t>督管理措施 ，并记入证券期货市场诚信档案。</w:t>
            </w:r>
          </w:p>
        </w:tc>
      </w:tr>
      <w:tr>
        <w:trPr>
          <w:trHeight w:val="1803" w:hRule="atLeast"/>
        </w:trPr>
        <w:tc>
          <w:tcPr>
            <w:shd w:val="clear" w:fill="B8CCE4"/>
            <w:tcW w:w="1214"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239"/>
              <w:spacing w:before="85" w:line="179" w:lineRule="auto"/>
              <w:rPr/>
            </w:pPr>
            <w:r>
              <w:rPr>
                <w:spacing w:val="3"/>
              </w:rPr>
              <w:t>601788</w:t>
            </w:r>
          </w:p>
        </w:tc>
        <w:tc>
          <w:tcPr>
            <w:shd w:val="clear" w:fill="B8CCE4"/>
            <w:tcW w:w="1343" w:type="dxa"/>
            <w:vAlign w:val="top"/>
          </w:tcPr>
          <w:p>
            <w:pPr>
              <w:spacing w:line="357" w:lineRule="auto"/>
              <w:rPr>
                <w:rFonts w:ascii="Arial"/>
                <w:sz w:val="21"/>
              </w:rPr>
            </w:pPr>
            <w:r/>
          </w:p>
          <w:p>
            <w:pPr>
              <w:spacing w:line="357" w:lineRule="auto"/>
              <w:rPr>
                <w:rFonts w:ascii="Arial"/>
                <w:sz w:val="21"/>
              </w:rPr>
            </w:pPr>
            <w:r/>
          </w:p>
          <w:p>
            <w:pPr>
              <w:pStyle w:val="TableText"/>
              <w:ind w:left="241"/>
              <w:spacing w:before="86" w:line="188" w:lineRule="auto"/>
              <w:rPr/>
            </w:pPr>
            <w:r>
              <w:rPr>
                <w:spacing w:val="9"/>
              </w:rPr>
              <w:t>光大证券</w:t>
            </w:r>
          </w:p>
        </w:tc>
        <w:tc>
          <w:tcPr>
            <w:shd w:val="clear" w:fill="B8CCE4"/>
            <w:tcW w:w="5496" w:type="dxa"/>
            <w:vAlign w:val="top"/>
          </w:tcPr>
          <w:p>
            <w:pPr>
              <w:pStyle w:val="TableText"/>
              <w:ind w:left="98" w:right="103"/>
              <w:spacing w:before="84" w:line="239" w:lineRule="auto"/>
              <w:jc w:val="both"/>
              <w:rPr/>
            </w:pPr>
            <w:r>
              <w:rPr>
                <w:spacing w:val="11"/>
              </w:rPr>
              <w:t>光大证券股份有限公司银川凤凰北街证券营业部从业人员</w:t>
            </w:r>
            <w:r>
              <w:rPr>
                <w:spacing w:val="2"/>
              </w:rPr>
              <w:t xml:space="preserve"> </w:t>
            </w:r>
            <w:r>
              <w:rPr>
                <w:spacing w:val="17"/>
              </w:rPr>
              <w:t>在从业期间,存在向投资者提供风险测评答案、对投资者</w:t>
            </w:r>
            <w:r>
              <w:rPr>
                <w:spacing w:val="5"/>
              </w:rPr>
              <w:t xml:space="preserve"> </w:t>
            </w:r>
            <w:r>
              <w:rPr>
                <w:spacing w:val="11"/>
              </w:rPr>
              <w:t>证券买卖的收益或者赔偿证券买卖的损失作出承诺、与投</w:t>
            </w:r>
            <w:r>
              <w:rPr>
                <w:spacing w:val="3"/>
              </w:rPr>
              <w:t xml:space="preserve"> </w:t>
            </w:r>
            <w:r>
              <w:rPr>
                <w:spacing w:val="11"/>
              </w:rPr>
              <w:t>资者约定分享投资收益或者分担投资损失、委托他人招揽</w:t>
            </w:r>
            <w:r>
              <w:rPr>
                <w:spacing w:val="3"/>
              </w:rPr>
              <w:t xml:space="preserve"> </w:t>
            </w:r>
            <w:r>
              <w:rPr>
                <w:spacing w:val="9"/>
              </w:rPr>
              <w:t>客户、私自销售非公司代销的私募基金产品的行为。</w:t>
            </w:r>
          </w:p>
        </w:tc>
      </w:tr>
      <w:tr>
        <w:trPr>
          <w:trHeight w:val="724" w:hRule="atLeast"/>
        </w:trPr>
        <w:tc>
          <w:tcPr>
            <w:tcW w:w="8053" w:type="dxa"/>
            <w:vAlign w:val="top"/>
            <w:gridSpan w:val="3"/>
          </w:tcPr>
          <w:p>
            <w:pPr>
              <w:pStyle w:val="TableText"/>
              <w:ind w:left="122"/>
              <w:spacing w:before="43" w:line="237" w:lineRule="auto"/>
              <w:rPr/>
            </w:pPr>
            <w:r>
              <w:rPr>
                <w:b/>
                <w:bCs/>
                <w:spacing w:val="11"/>
              </w:rPr>
              <w:t>【行政监管措施】</w:t>
            </w:r>
            <w:r>
              <w:rPr>
                <w:spacing w:val="11"/>
              </w:rPr>
              <w:t>宁夏证监局决定对从业人员王某皓采取出具警示函的行政监管措施</w:t>
            </w:r>
          </w:p>
          <w:p>
            <w:pPr>
              <w:pStyle w:val="TableText"/>
              <w:ind w:left="116"/>
              <w:spacing w:before="213" w:line="118" w:lineRule="exact"/>
              <w:rPr/>
            </w:pPr>
            <w:r>
              <w:rPr>
                <w:position w:val="3"/>
              </w:rPr>
              <w:t>。</w:t>
            </w:r>
          </w:p>
        </w:tc>
      </w:tr>
      <w:tr>
        <w:trPr>
          <w:trHeight w:val="2163" w:hRule="atLeast"/>
        </w:trPr>
        <w:tc>
          <w:tcPr>
            <w:shd w:val="clear" w:fill="B8CCE4"/>
            <w:tcW w:w="1214" w:type="dxa"/>
            <w:vAlign w:val="top"/>
          </w:tcPr>
          <w:p>
            <w:pPr>
              <w:spacing w:line="303" w:lineRule="auto"/>
              <w:rPr>
                <w:rFonts w:ascii="Arial"/>
                <w:sz w:val="21"/>
              </w:rPr>
            </w:pPr>
            <w:r/>
          </w:p>
          <w:p>
            <w:pPr>
              <w:spacing w:line="304" w:lineRule="auto"/>
              <w:rPr>
                <w:rFonts w:ascii="Arial"/>
                <w:sz w:val="21"/>
              </w:rPr>
            </w:pPr>
            <w:r/>
          </w:p>
          <w:p>
            <w:pPr>
              <w:spacing w:line="304" w:lineRule="auto"/>
              <w:rPr>
                <w:rFonts w:ascii="Arial"/>
                <w:sz w:val="21"/>
              </w:rPr>
            </w:pPr>
            <w:r/>
          </w:p>
          <w:p>
            <w:pPr>
              <w:pStyle w:val="TableText"/>
              <w:ind w:left="239"/>
              <w:spacing w:before="85" w:line="179" w:lineRule="auto"/>
              <w:rPr/>
            </w:pPr>
            <w:r>
              <w:rPr>
                <w:spacing w:val="3"/>
              </w:rPr>
              <w:t>601788</w:t>
            </w:r>
          </w:p>
        </w:tc>
        <w:tc>
          <w:tcPr>
            <w:shd w:val="clear" w:fill="B8CCE4"/>
            <w:tcW w:w="1343" w:type="dxa"/>
            <w:vAlign w:val="top"/>
          </w:tcPr>
          <w:p>
            <w:pPr>
              <w:spacing w:line="299" w:lineRule="auto"/>
              <w:rPr>
                <w:rFonts w:ascii="Arial"/>
                <w:sz w:val="21"/>
              </w:rPr>
            </w:pPr>
            <w:r/>
          </w:p>
          <w:p>
            <w:pPr>
              <w:spacing w:line="300" w:lineRule="auto"/>
              <w:rPr>
                <w:rFonts w:ascii="Arial"/>
                <w:sz w:val="21"/>
              </w:rPr>
            </w:pPr>
            <w:r/>
          </w:p>
          <w:p>
            <w:pPr>
              <w:spacing w:line="300" w:lineRule="auto"/>
              <w:rPr>
                <w:rFonts w:ascii="Arial"/>
                <w:sz w:val="21"/>
              </w:rPr>
            </w:pPr>
            <w:r/>
          </w:p>
          <w:p>
            <w:pPr>
              <w:pStyle w:val="TableText"/>
              <w:ind w:left="241"/>
              <w:spacing w:before="86" w:line="188" w:lineRule="auto"/>
              <w:rPr/>
            </w:pPr>
            <w:r>
              <w:rPr>
                <w:spacing w:val="9"/>
              </w:rPr>
              <w:t>光大证券</w:t>
            </w:r>
          </w:p>
        </w:tc>
        <w:tc>
          <w:tcPr>
            <w:shd w:val="clear" w:fill="B8CCE4"/>
            <w:tcW w:w="5496" w:type="dxa"/>
            <w:vAlign w:val="top"/>
          </w:tcPr>
          <w:p>
            <w:pPr>
              <w:pStyle w:val="TableText"/>
              <w:ind w:left="98" w:right="103"/>
              <w:spacing w:before="85" w:line="241" w:lineRule="auto"/>
              <w:jc w:val="both"/>
              <w:rPr/>
            </w:pPr>
            <w:r>
              <w:rPr>
                <w:spacing w:val="11"/>
              </w:rPr>
              <w:t>光大证券股份有限公司银川凤凰北街证券营业部从业人员</w:t>
            </w:r>
            <w:r>
              <w:rPr>
                <w:spacing w:val="2"/>
              </w:rPr>
              <w:t xml:space="preserve"> </w:t>
            </w:r>
            <w:r>
              <w:rPr>
                <w:spacing w:val="17"/>
              </w:rPr>
              <w:t>在从事证券经纪业务营销活动期间,存在向投资者提供风</w:t>
            </w:r>
            <w:r>
              <w:rPr>
                <w:spacing w:val="3"/>
              </w:rPr>
              <w:t xml:space="preserve"> </w:t>
            </w:r>
            <w:r>
              <w:rPr>
                <w:spacing w:val="11"/>
              </w:rPr>
              <w:t>险测评答案、对投资者证券买卖的收益或者赔偿证券买卖</w:t>
            </w:r>
            <w:r>
              <w:rPr>
                <w:spacing w:val="1"/>
              </w:rPr>
              <w:t xml:space="preserve"> </w:t>
            </w:r>
            <w:r>
              <w:rPr>
                <w:spacing w:val="11"/>
              </w:rPr>
              <w:t>的损失作出承诺、与投资者约定分享投资收益或者分担投</w:t>
            </w:r>
            <w:r>
              <w:rPr>
                <w:spacing w:val="1"/>
              </w:rPr>
              <w:t xml:space="preserve"> </w:t>
            </w:r>
            <w:r>
              <w:rPr>
                <w:spacing w:val="11"/>
              </w:rPr>
              <w:t>资损失、委托他人招揽客户、私自销售非公司代销的私募</w:t>
            </w:r>
            <w:r>
              <w:rPr>
                <w:spacing w:val="1"/>
              </w:rPr>
              <w:t xml:space="preserve"> </w:t>
            </w:r>
            <w:r>
              <w:rPr>
                <w:spacing w:val="8"/>
              </w:rPr>
              <w:t>基金产品的情形。</w:t>
            </w:r>
          </w:p>
        </w:tc>
      </w:tr>
      <w:tr>
        <w:trPr>
          <w:trHeight w:val="724" w:hRule="atLeast"/>
        </w:trPr>
        <w:tc>
          <w:tcPr>
            <w:tcW w:w="8053" w:type="dxa"/>
            <w:vAlign w:val="top"/>
            <w:gridSpan w:val="3"/>
          </w:tcPr>
          <w:p>
            <w:pPr>
              <w:pStyle w:val="TableText"/>
              <w:ind w:left="105" w:right="103" w:firstLine="17"/>
              <w:spacing w:before="47" w:line="233" w:lineRule="auto"/>
              <w:rPr/>
            </w:pPr>
            <w:r>
              <w:rPr>
                <w:b/>
                <w:bCs/>
                <w:spacing w:val="11"/>
              </w:rPr>
              <w:t>【行政监管措施】</w:t>
            </w:r>
            <w:r>
              <w:rPr>
                <w:spacing w:val="11"/>
              </w:rPr>
              <w:t>宁夏证监局决定对光大证券股份有限公司银川凤凰北街证券营业部</w:t>
            </w:r>
            <w:r>
              <w:rPr>
                <w:spacing w:val="3"/>
              </w:rPr>
              <w:t xml:space="preserve"> </w:t>
            </w:r>
            <w:r>
              <w:rPr>
                <w:spacing w:val="8"/>
              </w:rPr>
              <w:t>采取出具警示函的行政监管措施。</w:t>
            </w:r>
          </w:p>
        </w:tc>
      </w:tr>
      <w:tr>
        <w:trPr>
          <w:trHeight w:val="364" w:hRule="atLeast"/>
        </w:trPr>
        <w:tc>
          <w:tcPr>
            <w:shd w:val="clear" w:fill="B8CCE4"/>
            <w:tcW w:w="1214" w:type="dxa"/>
            <w:vAlign w:val="top"/>
          </w:tcPr>
          <w:p>
            <w:pPr>
              <w:pStyle w:val="TableText"/>
              <w:ind w:left="236"/>
              <w:spacing w:before="106" w:line="173" w:lineRule="auto"/>
              <w:rPr/>
            </w:pPr>
            <w:r>
              <w:rPr>
                <w:spacing w:val="3"/>
              </w:rPr>
              <w:t>000630</w:t>
            </w:r>
          </w:p>
        </w:tc>
        <w:tc>
          <w:tcPr>
            <w:shd w:val="clear" w:fill="B8CCE4"/>
            <w:tcW w:w="1343" w:type="dxa"/>
            <w:vAlign w:val="top"/>
          </w:tcPr>
          <w:p>
            <w:pPr>
              <w:pStyle w:val="TableText"/>
              <w:ind w:left="243"/>
              <w:spacing w:before="92" w:line="183" w:lineRule="auto"/>
              <w:rPr/>
            </w:pPr>
            <w:r>
              <w:rPr>
                <w:spacing w:val="8"/>
              </w:rPr>
              <w:t>铜陵有色</w:t>
            </w:r>
          </w:p>
        </w:tc>
        <w:tc>
          <w:tcPr>
            <w:shd w:val="clear" w:fill="B8CCE4"/>
            <w:tcW w:w="5496" w:type="dxa"/>
            <w:vAlign w:val="top"/>
          </w:tcPr>
          <w:p>
            <w:pPr>
              <w:pStyle w:val="TableText"/>
              <w:ind w:left="101"/>
              <w:spacing w:before="92" w:line="183" w:lineRule="auto"/>
              <w:rPr/>
            </w:pPr>
            <w:r>
              <w:rPr>
                <w:spacing w:val="8"/>
              </w:rPr>
              <w:t>监事配偶</w:t>
            </w:r>
            <w:r>
              <w:rPr>
                <w:b/>
                <w:bCs/>
                <w:spacing w:val="8"/>
              </w:rPr>
              <w:t>短线交易。</w:t>
            </w:r>
          </w:p>
        </w:tc>
      </w:tr>
      <w:tr>
        <w:trPr>
          <w:trHeight w:val="725" w:hRule="atLeast"/>
        </w:trPr>
        <w:tc>
          <w:tcPr>
            <w:tcW w:w="8053" w:type="dxa"/>
            <w:vAlign w:val="top"/>
            <w:gridSpan w:val="3"/>
          </w:tcPr>
          <w:p>
            <w:pPr>
              <w:pStyle w:val="TableText"/>
              <w:ind w:left="106" w:right="103" w:firstLine="16"/>
              <w:spacing w:before="51" w:line="232" w:lineRule="auto"/>
              <w:rPr/>
            </w:pPr>
            <w:r>
              <w:rPr>
                <w:b/>
                <w:bCs/>
                <w:spacing w:val="9"/>
              </w:rPr>
              <w:t>【行政监管措施】</w:t>
            </w:r>
            <w:r>
              <w:rPr>
                <w:spacing w:val="9"/>
              </w:rPr>
              <w:t>安徽证监局决定对陈帮国采取出具警示函的行政监管措施 ，并记入</w:t>
            </w:r>
            <w:r>
              <w:rPr>
                <w:spacing w:val="8"/>
              </w:rPr>
              <w:t xml:space="preserve"> </w:t>
            </w:r>
            <w:r>
              <w:rPr>
                <w:spacing w:val="8"/>
              </w:rPr>
              <w:t>证券期货市场诚信档案。</w:t>
            </w:r>
          </w:p>
        </w:tc>
      </w:tr>
      <w:tr>
        <w:trPr>
          <w:trHeight w:val="364" w:hRule="atLeast"/>
        </w:trPr>
        <w:tc>
          <w:tcPr>
            <w:shd w:val="clear" w:fill="B8CCE4"/>
            <w:tcW w:w="1214" w:type="dxa"/>
            <w:vAlign w:val="top"/>
          </w:tcPr>
          <w:p>
            <w:pPr>
              <w:pStyle w:val="TableText"/>
              <w:ind w:left="239"/>
              <w:spacing w:before="109" w:line="171" w:lineRule="auto"/>
              <w:rPr/>
            </w:pPr>
            <w:r>
              <w:rPr>
                <w:spacing w:val="3"/>
              </w:rPr>
              <w:t>600983</w:t>
            </w:r>
          </w:p>
        </w:tc>
        <w:tc>
          <w:tcPr>
            <w:shd w:val="clear" w:fill="B8CCE4"/>
            <w:tcW w:w="1343" w:type="dxa"/>
            <w:vAlign w:val="top"/>
          </w:tcPr>
          <w:p>
            <w:pPr>
              <w:pStyle w:val="TableText"/>
              <w:ind w:left="347"/>
              <w:spacing w:before="95" w:line="181" w:lineRule="auto"/>
              <w:rPr/>
            </w:pPr>
            <w:r>
              <w:rPr>
                <w:spacing w:val="8"/>
              </w:rPr>
              <w:t>惠而浦</w:t>
            </w:r>
          </w:p>
        </w:tc>
        <w:tc>
          <w:tcPr>
            <w:shd w:val="clear" w:fill="B8CCE4"/>
            <w:tcW w:w="5496" w:type="dxa"/>
            <w:vAlign w:val="top"/>
          </w:tcPr>
          <w:p>
            <w:pPr>
              <w:pStyle w:val="TableText"/>
              <w:ind w:left="102"/>
              <w:spacing w:before="95" w:line="181" w:lineRule="auto"/>
              <w:rPr/>
            </w:pPr>
            <w:r>
              <w:rPr>
                <w:spacing w:val="8"/>
              </w:rPr>
              <w:t>副董事长配偶</w:t>
            </w:r>
            <w:r>
              <w:rPr>
                <w:b/>
                <w:bCs/>
                <w:spacing w:val="8"/>
              </w:rPr>
              <w:t>短线交易</w:t>
            </w:r>
            <w:r>
              <w:rPr>
                <w:spacing w:val="8"/>
              </w:rPr>
              <w:t>。</w:t>
            </w:r>
          </w:p>
        </w:tc>
      </w:tr>
      <w:tr>
        <w:trPr>
          <w:trHeight w:val="724" w:hRule="atLeast"/>
        </w:trPr>
        <w:tc>
          <w:tcPr>
            <w:tcW w:w="8053" w:type="dxa"/>
            <w:vAlign w:val="top"/>
            <w:gridSpan w:val="3"/>
          </w:tcPr>
          <w:p>
            <w:pPr>
              <w:pStyle w:val="TableText"/>
              <w:ind w:left="185" w:right="103" w:hanging="63"/>
              <w:spacing w:before="53" w:line="231" w:lineRule="auto"/>
              <w:rPr/>
            </w:pPr>
            <w:r>
              <w:rPr>
                <w:b/>
                <w:bCs/>
                <w:spacing w:val="11"/>
              </w:rPr>
              <w:t>【行政监管措施】</w:t>
            </w:r>
            <w:r>
              <w:rPr>
                <w:spacing w:val="11"/>
              </w:rPr>
              <w:t>安徽证监局决定对副董事长吴某波采取出具警示函的行政监管措施</w:t>
            </w:r>
            <w:r>
              <w:rPr>
                <w:spacing w:val="3"/>
              </w:rPr>
              <w:t xml:space="preserve"> </w:t>
            </w:r>
            <w:r>
              <w:rPr>
                <w:spacing w:val="7"/>
              </w:rPr>
              <w:t>,</w:t>
            </w:r>
            <w:r>
              <w:rPr>
                <w:spacing w:val="40"/>
              </w:rPr>
              <w:t xml:space="preserve"> </w:t>
            </w:r>
            <w:r>
              <w:rPr>
                <w:spacing w:val="7"/>
              </w:rPr>
              <w:t>并记入证券期货市场诚信档案。</w:t>
            </w:r>
          </w:p>
        </w:tc>
      </w:tr>
      <w:tr>
        <w:trPr>
          <w:trHeight w:val="1443" w:hRule="atLeast"/>
        </w:trPr>
        <w:tc>
          <w:tcPr>
            <w:shd w:val="clear" w:fill="B8CCE4"/>
            <w:tcW w:w="1214" w:type="dxa"/>
            <w:vAlign w:val="top"/>
          </w:tcPr>
          <w:p>
            <w:pPr>
              <w:spacing w:line="281" w:lineRule="auto"/>
              <w:rPr>
                <w:rFonts w:ascii="Arial"/>
                <w:sz w:val="21"/>
              </w:rPr>
            </w:pPr>
            <w:r/>
          </w:p>
          <w:p>
            <w:pPr>
              <w:spacing w:line="282" w:lineRule="auto"/>
              <w:rPr>
                <w:rFonts w:ascii="Arial"/>
                <w:sz w:val="21"/>
              </w:rPr>
            </w:pPr>
            <w:r/>
          </w:p>
          <w:p>
            <w:pPr>
              <w:pStyle w:val="TableText"/>
              <w:ind w:left="239"/>
              <w:spacing w:before="85" w:line="178" w:lineRule="auto"/>
              <w:rPr/>
            </w:pPr>
            <w:r>
              <w:rPr>
                <w:spacing w:val="3"/>
              </w:rPr>
              <w:t>600306</w:t>
            </w:r>
          </w:p>
        </w:tc>
        <w:tc>
          <w:tcPr>
            <w:shd w:val="clear" w:fill="B8CCE4"/>
            <w:tcW w:w="1343" w:type="dxa"/>
            <w:vAlign w:val="top"/>
          </w:tcPr>
          <w:p>
            <w:pPr>
              <w:spacing w:line="274" w:lineRule="auto"/>
              <w:rPr>
                <w:rFonts w:ascii="Arial"/>
                <w:sz w:val="21"/>
              </w:rPr>
            </w:pPr>
            <w:r/>
          </w:p>
          <w:p>
            <w:pPr>
              <w:spacing w:line="274" w:lineRule="auto"/>
              <w:rPr>
                <w:rFonts w:ascii="Arial"/>
                <w:sz w:val="21"/>
              </w:rPr>
            </w:pPr>
            <w:r/>
          </w:p>
          <w:p>
            <w:pPr>
              <w:pStyle w:val="TableText"/>
              <w:ind w:left="289"/>
              <w:spacing w:before="86" w:line="189" w:lineRule="auto"/>
              <w:rPr/>
            </w:pPr>
            <w:r>
              <w:rPr>
                <w:spacing w:val="8"/>
              </w:rPr>
              <w:t>*</w:t>
            </w:r>
            <w:r>
              <w:rPr/>
              <w:t>ST</w:t>
            </w:r>
            <w:r>
              <w:rPr>
                <w:spacing w:val="8"/>
              </w:rPr>
              <w:t>商城</w:t>
            </w:r>
          </w:p>
        </w:tc>
        <w:tc>
          <w:tcPr>
            <w:shd w:val="clear" w:fill="B8CCE4"/>
            <w:tcW w:w="5496" w:type="dxa"/>
            <w:vAlign w:val="top"/>
          </w:tcPr>
          <w:p>
            <w:pPr>
              <w:pStyle w:val="TableText"/>
              <w:ind w:left="99" w:right="103"/>
              <w:spacing w:before="94" w:line="234" w:lineRule="auto"/>
              <w:jc w:val="both"/>
              <w:rPr/>
            </w:pPr>
            <w:r>
              <w:rPr>
                <w:spacing w:val="11"/>
              </w:rPr>
              <w:t>公司审计委员会在对</w:t>
            </w:r>
            <w:r>
              <w:rPr>
                <w:b/>
                <w:bCs/>
                <w:spacing w:val="11"/>
              </w:rPr>
              <w:t>改聘会计师事务所事项</w:t>
            </w:r>
            <w:r>
              <w:rPr>
                <w:spacing w:val="11"/>
              </w:rPr>
              <w:t>审议过程中会</w:t>
            </w:r>
            <w:r>
              <w:rPr>
                <w:spacing w:val="1"/>
              </w:rPr>
              <w:t xml:space="preserve"> </w:t>
            </w:r>
            <w:r>
              <w:rPr>
                <w:spacing w:val="11"/>
              </w:rPr>
              <w:t>议召开程序不规范。担任审计委员会委员的独立董事未对</w:t>
            </w:r>
            <w:r>
              <w:rPr>
                <w:spacing w:val="1"/>
              </w:rPr>
              <w:t xml:space="preserve"> </w:t>
            </w:r>
            <w:r>
              <w:rPr>
                <w:spacing w:val="8"/>
              </w:rPr>
              <w:t>公司更换年报审计机构事项予以高度谨慎和关注 ，未充分</w:t>
            </w:r>
            <w:r>
              <w:rPr>
                <w:spacing w:val="9"/>
              </w:rPr>
              <w:t xml:space="preserve"> </w:t>
            </w:r>
            <w:r>
              <w:rPr>
                <w:spacing w:val="8"/>
              </w:rPr>
              <w:t>履行勤勉尽责义务。</w:t>
            </w:r>
          </w:p>
        </w:tc>
      </w:tr>
      <w:tr>
        <w:trPr>
          <w:trHeight w:val="725" w:hRule="atLeast"/>
        </w:trPr>
        <w:tc>
          <w:tcPr>
            <w:tcW w:w="8053" w:type="dxa"/>
            <w:vAlign w:val="top"/>
            <w:gridSpan w:val="3"/>
          </w:tcPr>
          <w:p>
            <w:pPr>
              <w:pStyle w:val="TableText"/>
              <w:ind w:left="113" w:right="103" w:firstLine="9"/>
              <w:spacing w:before="57" w:line="230" w:lineRule="auto"/>
              <w:rPr/>
            </w:pPr>
            <w:r>
              <w:rPr>
                <w:b/>
                <w:bCs/>
                <w:spacing w:val="11"/>
              </w:rPr>
              <w:t>【行政监管措施】</w:t>
            </w:r>
            <w:r>
              <w:rPr>
                <w:spacing w:val="11"/>
              </w:rPr>
              <w:t>中国证券监督管理委员会辽宁监管局决定对商业城、独立董事魏某</w:t>
            </w:r>
            <w:r>
              <w:rPr>
                <w:spacing w:val="3"/>
              </w:rPr>
              <w:t xml:space="preserve"> </w:t>
            </w:r>
            <w:r>
              <w:rPr>
                <w:spacing w:val="8"/>
              </w:rPr>
              <w:t>峰、刘某涛采取监管谈话的行政监管措施。</w:t>
            </w:r>
          </w:p>
        </w:tc>
      </w:tr>
      <w:tr>
        <w:trPr>
          <w:trHeight w:val="724" w:hRule="atLeast"/>
        </w:trPr>
        <w:tc>
          <w:tcPr>
            <w:shd w:val="clear" w:fill="B8CCE4"/>
            <w:tcW w:w="1214" w:type="dxa"/>
            <w:vAlign w:val="top"/>
          </w:tcPr>
          <w:p>
            <w:pPr>
              <w:pStyle w:val="TableText"/>
              <w:ind w:left="239"/>
              <w:spacing w:before="295" w:line="178" w:lineRule="auto"/>
              <w:rPr/>
            </w:pPr>
            <w:r>
              <w:rPr>
                <w:spacing w:val="3"/>
              </w:rPr>
              <w:t>600077</w:t>
            </w:r>
          </w:p>
        </w:tc>
        <w:tc>
          <w:tcPr>
            <w:shd w:val="clear" w:fill="B8CCE4"/>
            <w:tcW w:w="1343" w:type="dxa"/>
            <w:vAlign w:val="top"/>
          </w:tcPr>
          <w:p>
            <w:pPr>
              <w:pStyle w:val="TableText"/>
              <w:ind w:left="289"/>
              <w:spacing w:before="280" w:line="189" w:lineRule="auto"/>
              <w:rPr/>
            </w:pPr>
            <w:r>
              <w:rPr>
                <w:spacing w:val="8"/>
              </w:rPr>
              <w:t>*</w:t>
            </w:r>
            <w:r>
              <w:rPr/>
              <w:t>ST</w:t>
            </w:r>
            <w:r>
              <w:rPr>
                <w:spacing w:val="8"/>
              </w:rPr>
              <w:t>宋都</w:t>
            </w:r>
          </w:p>
        </w:tc>
        <w:tc>
          <w:tcPr>
            <w:shd w:val="clear" w:fill="B8CCE4"/>
            <w:tcW w:w="5496" w:type="dxa"/>
            <w:vAlign w:val="top"/>
          </w:tcPr>
          <w:p>
            <w:pPr>
              <w:pStyle w:val="TableText"/>
              <w:ind w:left="100" w:right="103"/>
              <w:spacing w:before="99" w:line="215" w:lineRule="auto"/>
              <w:rPr/>
            </w:pPr>
            <w:r>
              <w:rPr>
                <w:spacing w:val="11"/>
              </w:rPr>
              <w:t>幸福健控股、实际控制人未按照公开披露的承诺函履行承</w:t>
            </w:r>
            <w:r>
              <w:rPr/>
              <w:t xml:space="preserve"> </w:t>
            </w:r>
            <w:r>
              <w:rPr>
                <w:spacing w:val="8"/>
              </w:rPr>
              <w:t>诺消除互保情形。</w:t>
            </w:r>
          </w:p>
        </w:tc>
      </w:tr>
      <w:tr>
        <w:trPr>
          <w:trHeight w:val="725" w:hRule="atLeast"/>
        </w:trPr>
        <w:tc>
          <w:tcPr>
            <w:tcW w:w="8053" w:type="dxa"/>
            <w:vAlign w:val="top"/>
            <w:gridSpan w:val="3"/>
          </w:tcPr>
          <w:p>
            <w:pPr>
              <w:pStyle w:val="TableText"/>
              <w:ind w:left="106" w:right="103" w:firstLine="16"/>
              <w:spacing w:before="60" w:line="229" w:lineRule="auto"/>
              <w:rPr/>
            </w:pPr>
            <w:r>
              <w:rPr>
                <w:b/>
                <w:bCs/>
                <w:spacing w:val="11"/>
              </w:rPr>
              <w:t>【行政监管措施】</w:t>
            </w:r>
            <w:r>
              <w:rPr>
                <w:spacing w:val="11"/>
              </w:rPr>
              <w:t>中国证券监督管理委员会浙江监管局决定对幸福健控股、实际控制</w:t>
            </w:r>
            <w:r>
              <w:rPr>
                <w:spacing w:val="3"/>
              </w:rPr>
              <w:t xml:space="preserve"> </w:t>
            </w:r>
            <w:r>
              <w:rPr>
                <w:spacing w:val="7"/>
              </w:rPr>
              <w:t>人俞某午采取出具警示函的监督管理措施 ，并记入证券期货市场诚信档案。</w:t>
            </w:r>
          </w:p>
        </w:tc>
      </w:tr>
      <w:tr>
        <w:trPr>
          <w:trHeight w:val="1803" w:hRule="atLeast"/>
        </w:trPr>
        <w:tc>
          <w:tcPr>
            <w:shd w:val="clear" w:fill="B8CCE4"/>
            <w:tcW w:w="1214" w:type="dxa"/>
            <w:vAlign w:val="top"/>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242"/>
              <w:spacing w:before="86" w:line="178" w:lineRule="auto"/>
              <w:rPr/>
            </w:pPr>
            <w:r>
              <w:rPr>
                <w:spacing w:val="3"/>
              </w:rPr>
              <w:t>300496</w:t>
            </w:r>
          </w:p>
        </w:tc>
        <w:tc>
          <w:tcPr>
            <w:shd w:val="clear" w:fill="B8CCE4"/>
            <w:tcW w:w="1343" w:type="dxa"/>
            <w:vAlign w:val="top"/>
          </w:tcPr>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57"/>
              <w:spacing w:before="86" w:line="189" w:lineRule="auto"/>
              <w:rPr/>
            </w:pPr>
            <w:r>
              <w:rPr>
                <w:spacing w:val="5"/>
              </w:rPr>
              <w:t>中科创达</w:t>
            </w:r>
          </w:p>
        </w:tc>
        <w:tc>
          <w:tcPr>
            <w:shd w:val="clear" w:fill="B8CCE4"/>
            <w:tcW w:w="5496" w:type="dxa"/>
            <w:vAlign w:val="top"/>
          </w:tcPr>
          <w:p>
            <w:pPr>
              <w:pStyle w:val="TableText"/>
              <w:ind w:left="98" w:right="99" w:firstLine="16"/>
              <w:spacing w:before="62" w:line="242" w:lineRule="auto"/>
              <w:rPr/>
            </w:pPr>
            <w:r>
              <w:rPr>
                <w:spacing w:val="9"/>
              </w:rPr>
              <w:t>中科创达软件股份有限公司于2024年3月19日披露《</w:t>
            </w:r>
            <w:r>
              <w:rPr>
                <w:b/>
                <w:bCs/>
                <w:spacing w:val="9"/>
              </w:rPr>
              <w:t>202</w:t>
            </w:r>
            <w:r>
              <w:rPr>
                <w:b/>
                <w:bCs/>
                <w:spacing w:val="13"/>
              </w:rPr>
              <w:t xml:space="preserve"> </w:t>
            </w:r>
            <w:r>
              <w:rPr>
                <w:b/>
                <w:bCs/>
                <w:spacing w:val="15"/>
              </w:rPr>
              <w:t>3年年度报告</w:t>
            </w:r>
            <w:r>
              <w:rPr>
                <w:spacing w:val="15"/>
              </w:rPr>
              <w:t>》</w:t>
            </w:r>
            <w:r>
              <w:rPr>
                <w:spacing w:val="-23"/>
              </w:rPr>
              <w:t xml:space="preserve"> </w:t>
            </w:r>
            <w:r>
              <w:rPr>
                <w:spacing w:val="15"/>
              </w:rPr>
              <w:t>,报告中2021年加权平均净资产收益率、</w:t>
            </w:r>
            <w:r>
              <w:rPr/>
              <w:t xml:space="preserve"> </w:t>
            </w:r>
            <w:r>
              <w:rPr>
                <w:spacing w:val="15"/>
              </w:rPr>
              <w:t>2023年第四季度归属于上市公司股东的净利润、报告期</w:t>
            </w:r>
            <w:r>
              <w:rPr>
                <w:spacing w:val="18"/>
                <w:w w:val="101"/>
              </w:rPr>
              <w:t xml:space="preserve"> </w:t>
            </w:r>
            <w:r>
              <w:rPr>
                <w:spacing w:val="11"/>
              </w:rPr>
              <w:t>内以权益结算的股份支付确认的费用总额等数据披露不准</w:t>
            </w:r>
            <w:r>
              <w:rPr>
                <w:spacing w:val="2"/>
              </w:rPr>
              <w:t xml:space="preserve"> </w:t>
            </w:r>
            <w:r>
              <w:rPr>
                <w:spacing w:val="3"/>
              </w:rPr>
              <w:t>确。</w:t>
            </w:r>
          </w:p>
        </w:tc>
      </w:tr>
      <w:tr>
        <w:trPr>
          <w:trHeight w:val="1083" w:hRule="atLeast"/>
        </w:trPr>
        <w:tc>
          <w:tcPr>
            <w:tcW w:w="8053" w:type="dxa"/>
            <w:vAlign w:val="top"/>
            <w:gridSpan w:val="3"/>
          </w:tcPr>
          <w:p>
            <w:pPr>
              <w:pStyle w:val="TableText"/>
              <w:ind w:left="105" w:right="103" w:firstLine="17"/>
              <w:spacing w:before="61" w:line="236" w:lineRule="auto"/>
              <w:rPr/>
            </w:pPr>
            <w:r>
              <w:rPr>
                <w:b/>
                <w:bCs/>
                <w:spacing w:val="11"/>
              </w:rPr>
              <w:t>【行政监管措施】</w:t>
            </w:r>
            <w:r>
              <w:rPr>
                <w:spacing w:val="11"/>
              </w:rPr>
              <w:t>中国证券监督管理委员会北京监管局决定对中科创达软件股份有限</w:t>
            </w:r>
            <w:r>
              <w:rPr>
                <w:spacing w:val="3"/>
              </w:rPr>
              <w:t xml:space="preserve"> </w:t>
            </w:r>
            <w:r>
              <w:rPr>
                <w:spacing w:val="10"/>
              </w:rPr>
              <w:t>公司、财务总监王某欣采取出具警示函的行政监管措施,并记入证券期货市场诚信档案</w:t>
            </w:r>
          </w:p>
          <w:p>
            <w:pPr>
              <w:pStyle w:val="TableText"/>
              <w:ind w:left="116"/>
              <w:spacing w:before="238" w:line="98" w:lineRule="exact"/>
              <w:rPr/>
            </w:pPr>
            <w:r>
              <w:rPr>
                <w:position w:val="3"/>
              </w:rPr>
              <w:t>。</w:t>
            </w:r>
          </w:p>
        </w:tc>
      </w:tr>
      <w:tr>
        <w:trPr>
          <w:trHeight w:val="373" w:hRule="atLeast"/>
        </w:trPr>
        <w:tc>
          <w:tcPr>
            <w:shd w:val="clear" w:fill="B8CCE4"/>
            <w:tcW w:w="1214" w:type="dxa"/>
            <w:vAlign w:val="top"/>
          </w:tcPr>
          <w:p>
            <w:pPr>
              <w:pStyle w:val="TableText"/>
              <w:ind w:left="242"/>
              <w:spacing w:before="122" w:line="168" w:lineRule="auto"/>
              <w:rPr/>
            </w:pPr>
            <w:r>
              <w:rPr>
                <w:spacing w:val="3"/>
              </w:rPr>
              <w:t>300163</w:t>
            </w:r>
          </w:p>
        </w:tc>
        <w:tc>
          <w:tcPr>
            <w:shd w:val="clear" w:fill="B8CCE4"/>
            <w:tcW w:w="1343" w:type="dxa"/>
            <w:vAlign w:val="top"/>
          </w:tcPr>
          <w:p>
            <w:pPr>
              <w:pStyle w:val="TableText"/>
              <w:ind w:left="241"/>
              <w:spacing w:before="109" w:line="177" w:lineRule="auto"/>
              <w:rPr/>
            </w:pPr>
            <w:r>
              <w:rPr>
                <w:spacing w:val="9"/>
              </w:rPr>
              <w:t>先锋新材</w:t>
            </w:r>
          </w:p>
        </w:tc>
        <w:tc>
          <w:tcPr>
            <w:shd w:val="clear" w:fill="B8CCE4"/>
            <w:tcW w:w="5496" w:type="dxa"/>
            <w:vAlign w:val="top"/>
          </w:tcPr>
          <w:p>
            <w:pPr>
              <w:pStyle w:val="TableText"/>
              <w:ind w:left="98"/>
              <w:spacing w:before="108" w:line="178" w:lineRule="auto"/>
              <w:rPr/>
            </w:pPr>
            <w:r>
              <w:rPr>
                <w:spacing w:val="11"/>
              </w:rPr>
              <w:t>先锋新材控股股东、实际控制人在与贺某铭签订</w:t>
            </w:r>
            <w:r>
              <w:rPr>
                <w:b/>
                <w:bCs/>
                <w:spacing w:val="11"/>
              </w:rPr>
              <w:t>股权转让</w:t>
            </w:r>
          </w:p>
        </w:tc>
      </w:tr>
    </w:tbl>
    <w:p>
      <w:pPr>
        <w:pStyle w:val="BodyText"/>
        <w:spacing w:line="14" w:lineRule="auto"/>
        <w:rPr>
          <w:sz w:val="2"/>
        </w:rPr>
      </w:pPr>
      <w:r/>
    </w:p>
    <w:p>
      <w:pPr>
        <w:spacing w:line="14" w:lineRule="auto"/>
        <w:sectPr>
          <w:pgSz w:w="11910" w:h="16840"/>
          <w:pgMar w:top="400" w:right="1786" w:bottom="232" w:left="1456" w:header="0" w:footer="0" w:gutter="0"/>
        </w:sectPr>
        <w:rPr>
          <w:sz w:val="2"/>
          <w:szCs w:val="2"/>
        </w:rPr>
      </w:pPr>
    </w:p>
    <w:tbl>
      <w:tblPr>
        <w:tblStyle w:val="TableNormal"/>
        <w:tblW w:w="8053"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4" w:hRule="atLeast"/>
        </w:trPr>
        <w:tc>
          <w:tcPr>
            <w:shd w:val="clear" w:fill="B8CCE4"/>
            <w:tcW w:w="1214" w:type="dxa"/>
            <w:vAlign w:val="top"/>
            <w:tcBorders>
              <w:top w:val="single" w:color="4F81BD" w:sz="2" w:space="0"/>
            </w:tcBorders>
          </w:tcPr>
          <w:p>
            <w:pPr>
              <w:rPr>
                <w:rFonts w:ascii="Arial"/>
                <w:sz w:val="21"/>
              </w:rPr>
            </w:pPr>
            <w:r/>
          </w:p>
        </w:tc>
        <w:tc>
          <w:tcPr>
            <w:shd w:val="clear" w:fill="B8CCE4"/>
            <w:tcW w:w="1343" w:type="dxa"/>
            <w:vAlign w:val="top"/>
            <w:tcBorders>
              <w:top w:val="single" w:color="4F81BD" w:sz="2" w:space="0"/>
            </w:tcBorders>
          </w:tcPr>
          <w:p>
            <w:pPr>
              <w:rPr>
                <w:rFonts w:ascii="Arial"/>
                <w:sz w:val="21"/>
              </w:rPr>
            </w:pPr>
            <w:r/>
          </w:p>
        </w:tc>
        <w:tc>
          <w:tcPr>
            <w:shd w:val="clear" w:fill="B8CCE4"/>
            <w:tcW w:w="5496" w:type="dxa"/>
            <w:vAlign w:val="top"/>
            <w:tcBorders>
              <w:top w:val="single" w:color="4F81BD" w:sz="2" w:space="0"/>
            </w:tcBorders>
          </w:tcPr>
          <w:p>
            <w:pPr>
              <w:pStyle w:val="TableText"/>
              <w:ind w:left="100" w:right="103" w:firstLine="1"/>
              <w:spacing w:before="100" w:line="221" w:lineRule="auto"/>
              <w:rPr/>
            </w:pPr>
            <w:r>
              <w:rPr>
                <w:b/>
                <w:bCs/>
                <w:spacing w:val="8"/>
              </w:rPr>
              <w:t>协议</w:t>
            </w:r>
            <w:r>
              <w:rPr>
                <w:spacing w:val="8"/>
              </w:rPr>
              <w:t>后未及时告知先锋新材 ，未配合上市公司做好信息披</w:t>
            </w:r>
            <w:r>
              <w:rPr>
                <w:spacing w:val="7"/>
              </w:rPr>
              <w:t xml:space="preserve"> </w:t>
            </w:r>
            <w:r>
              <w:rPr>
                <w:spacing w:val="6"/>
              </w:rPr>
              <w:t>露工作。</w:t>
            </w:r>
          </w:p>
        </w:tc>
      </w:tr>
      <w:tr>
        <w:trPr>
          <w:trHeight w:val="1085" w:hRule="atLeast"/>
        </w:trPr>
        <w:tc>
          <w:tcPr>
            <w:tcW w:w="8053" w:type="dxa"/>
            <w:vAlign w:val="top"/>
            <w:gridSpan w:val="3"/>
          </w:tcPr>
          <w:p>
            <w:pPr>
              <w:pStyle w:val="TableText"/>
              <w:ind w:left="105" w:right="101" w:firstLine="17"/>
              <w:spacing w:before="39" w:line="241" w:lineRule="auto"/>
              <w:jc w:val="both"/>
              <w:rPr/>
            </w:pPr>
            <w:r>
              <w:rPr>
                <w:b/>
                <w:bCs/>
                <w:spacing w:val="10"/>
              </w:rPr>
              <w:t>【行政监管措施】</w:t>
            </w:r>
            <w:r>
              <w:rPr>
                <w:spacing w:val="10"/>
              </w:rPr>
              <w:t>宁波证监局决定对宁波先锋</w:t>
            </w:r>
            <w:r>
              <w:rPr>
                <w:spacing w:val="9"/>
              </w:rPr>
              <w:t>新材料股份有限公司、董事长,实际控制</w:t>
            </w:r>
            <w:r>
              <w:rPr/>
              <w:t xml:space="preserve"> </w:t>
            </w:r>
            <w:r>
              <w:rPr>
                <w:spacing w:val="12"/>
              </w:rPr>
              <w:t>人,总经理,控股股东卢某锋采取出具警示函的行政监管措施 ，并记入证券期货市场诚</w:t>
            </w:r>
            <w:r>
              <w:rPr>
                <w:spacing w:val="6"/>
              </w:rPr>
              <w:t xml:space="preserve"> </w:t>
            </w:r>
            <w:r>
              <w:rPr>
                <w:spacing w:val="4"/>
              </w:rPr>
              <w:t>信档案 ，</w:t>
            </w:r>
          </w:p>
        </w:tc>
      </w:tr>
      <w:tr>
        <w:trPr>
          <w:trHeight w:val="365" w:hRule="atLeast"/>
        </w:trPr>
        <w:tc>
          <w:tcPr>
            <w:shd w:val="clear" w:fill="B8CCE4"/>
            <w:tcW w:w="1214" w:type="dxa"/>
            <w:vAlign w:val="top"/>
          </w:tcPr>
          <w:p>
            <w:pPr>
              <w:pStyle w:val="TableText"/>
              <w:ind w:left="239"/>
              <w:spacing w:before="97" w:line="179" w:lineRule="auto"/>
              <w:rPr/>
            </w:pPr>
            <w:r>
              <w:rPr>
                <w:spacing w:val="3"/>
              </w:rPr>
              <w:t>600152</w:t>
            </w:r>
          </w:p>
        </w:tc>
        <w:tc>
          <w:tcPr>
            <w:shd w:val="clear" w:fill="B8CCE4"/>
            <w:tcW w:w="1343" w:type="dxa"/>
            <w:vAlign w:val="top"/>
          </w:tcPr>
          <w:p>
            <w:pPr>
              <w:pStyle w:val="TableText"/>
              <w:ind w:left="242"/>
              <w:spacing w:before="84" w:line="189" w:lineRule="auto"/>
              <w:rPr/>
            </w:pPr>
            <w:r>
              <w:rPr>
                <w:spacing w:val="8"/>
              </w:rPr>
              <w:t>维科技术</w:t>
            </w:r>
          </w:p>
        </w:tc>
        <w:tc>
          <w:tcPr>
            <w:shd w:val="clear" w:fill="B8CCE4"/>
            <w:tcW w:w="5496" w:type="dxa"/>
            <w:vAlign w:val="top"/>
          </w:tcPr>
          <w:p>
            <w:pPr>
              <w:pStyle w:val="TableText"/>
              <w:ind w:left="100"/>
              <w:spacing w:before="83" w:line="190" w:lineRule="auto"/>
              <w:rPr/>
            </w:pPr>
            <w:r>
              <w:rPr>
                <w:b/>
                <w:bCs/>
                <w:spacing w:val="8"/>
              </w:rPr>
              <w:t>重大交易</w:t>
            </w:r>
            <w:r>
              <w:rPr>
                <w:spacing w:val="8"/>
              </w:rPr>
              <w:t>未及时审议披露。</w:t>
            </w:r>
          </w:p>
        </w:tc>
      </w:tr>
      <w:tr>
        <w:trPr>
          <w:trHeight w:val="1085" w:hRule="atLeast"/>
        </w:trPr>
        <w:tc>
          <w:tcPr>
            <w:tcW w:w="8053" w:type="dxa"/>
            <w:vAlign w:val="top"/>
            <w:gridSpan w:val="3"/>
          </w:tcPr>
          <w:p>
            <w:pPr>
              <w:pStyle w:val="TableText"/>
              <w:ind w:left="106" w:right="103" w:firstLine="16"/>
              <w:spacing w:before="40" w:line="241" w:lineRule="auto"/>
              <w:jc w:val="both"/>
              <w:rPr/>
            </w:pPr>
            <w:r>
              <w:rPr>
                <w:b/>
                <w:bCs/>
                <w:spacing w:val="11"/>
              </w:rPr>
              <w:t>【行政监管措施】</w:t>
            </w:r>
            <w:r>
              <w:rPr>
                <w:spacing w:val="11"/>
              </w:rPr>
              <w:t>中国证券监督管理委员会宁波监管局决定对维科技术股份有限公司</w:t>
            </w:r>
            <w:r>
              <w:rPr>
                <w:spacing w:val="3"/>
              </w:rPr>
              <w:t xml:space="preserve"> </w:t>
            </w:r>
            <w:r>
              <w:rPr>
                <w:spacing w:val="12"/>
              </w:rPr>
              <w:t>、时任董事长何某命、时任总经理杨某文、</w:t>
            </w:r>
            <w:r>
              <w:rPr>
                <w:spacing w:val="11"/>
              </w:rPr>
              <w:t>时任董秘薛某林采取出具警示函的行政监</w:t>
            </w:r>
            <w:r>
              <w:rPr/>
              <w:t xml:space="preserve"> </w:t>
            </w:r>
            <w:r>
              <w:rPr>
                <w:spacing w:val="5"/>
              </w:rPr>
              <w:t>管措施 ，并记入证券期货市场诚信档案。</w:t>
            </w:r>
          </w:p>
        </w:tc>
      </w:tr>
      <w:tr>
        <w:trPr>
          <w:trHeight w:val="365" w:hRule="atLeast"/>
        </w:trPr>
        <w:tc>
          <w:tcPr>
            <w:shd w:val="clear" w:fill="B8CCE4"/>
            <w:tcW w:w="1214" w:type="dxa"/>
            <w:vAlign w:val="top"/>
          </w:tcPr>
          <w:p>
            <w:pPr>
              <w:pStyle w:val="TableText"/>
              <w:ind w:left="236"/>
              <w:spacing w:before="97" w:line="178" w:lineRule="auto"/>
              <w:rPr/>
            </w:pPr>
            <w:r>
              <w:rPr>
                <w:spacing w:val="3"/>
              </w:rPr>
              <w:t>002069</w:t>
            </w:r>
          </w:p>
        </w:tc>
        <w:tc>
          <w:tcPr>
            <w:shd w:val="clear" w:fill="B8CCE4"/>
            <w:tcW w:w="1343" w:type="dxa"/>
            <w:vAlign w:val="top"/>
          </w:tcPr>
          <w:p>
            <w:pPr>
              <w:pStyle w:val="TableText"/>
              <w:ind w:left="345"/>
              <w:spacing w:before="81" w:line="190" w:lineRule="auto"/>
              <w:rPr/>
            </w:pPr>
            <w:r>
              <w:rPr>
                <w:spacing w:val="8"/>
              </w:rPr>
              <w:t>獐子岛</w:t>
            </w:r>
          </w:p>
        </w:tc>
        <w:tc>
          <w:tcPr>
            <w:shd w:val="clear" w:fill="B8CCE4"/>
            <w:tcW w:w="5496" w:type="dxa"/>
            <w:vAlign w:val="top"/>
          </w:tcPr>
          <w:p>
            <w:pPr>
              <w:pStyle w:val="TableText"/>
              <w:ind w:left="101"/>
              <w:spacing w:before="82" w:line="189" w:lineRule="auto"/>
              <w:rPr/>
            </w:pPr>
            <w:r>
              <w:rPr>
                <w:spacing w:val="8"/>
              </w:rPr>
              <w:t>董事配偶</w:t>
            </w:r>
            <w:r>
              <w:rPr>
                <w:b/>
                <w:bCs/>
                <w:spacing w:val="8"/>
              </w:rPr>
              <w:t>短线交易。</w:t>
            </w:r>
          </w:p>
        </w:tc>
      </w:tr>
      <w:tr>
        <w:trPr>
          <w:trHeight w:val="725" w:hRule="atLeast"/>
        </w:trPr>
        <w:tc>
          <w:tcPr>
            <w:tcW w:w="8053" w:type="dxa"/>
            <w:vAlign w:val="top"/>
            <w:gridSpan w:val="3"/>
          </w:tcPr>
          <w:p>
            <w:pPr>
              <w:pStyle w:val="TableText"/>
              <w:ind w:left="106" w:right="103" w:firstLine="16"/>
              <w:spacing w:before="39" w:line="236" w:lineRule="auto"/>
              <w:rPr/>
            </w:pPr>
            <w:r>
              <w:rPr>
                <w:b/>
                <w:bCs/>
                <w:spacing w:val="11"/>
              </w:rPr>
              <w:t>【行政监管措施】</w:t>
            </w:r>
            <w:r>
              <w:rPr>
                <w:spacing w:val="11"/>
              </w:rPr>
              <w:t>中国证券监督管理委员会大连监管局决定对董事姜某全采取出具警</w:t>
            </w:r>
            <w:r>
              <w:rPr>
                <w:spacing w:val="3"/>
              </w:rPr>
              <w:t xml:space="preserve"> </w:t>
            </w:r>
            <w:r>
              <w:rPr>
                <w:spacing w:val="6"/>
              </w:rPr>
              <w:t>示函的行政监管措施 ，并记入证券期货市场诚信档案。</w:t>
            </w:r>
          </w:p>
        </w:tc>
      </w:tr>
      <w:tr>
        <w:trPr>
          <w:trHeight w:val="1084" w:hRule="atLeast"/>
        </w:trPr>
        <w:tc>
          <w:tcPr>
            <w:shd w:val="clear" w:fill="B8CCE4"/>
            <w:tcW w:w="1214" w:type="dxa"/>
            <w:vAlign w:val="top"/>
          </w:tcPr>
          <w:p>
            <w:pPr>
              <w:spacing w:line="370" w:lineRule="auto"/>
              <w:rPr>
                <w:rFonts w:ascii="Arial"/>
                <w:sz w:val="21"/>
              </w:rPr>
            </w:pPr>
            <w:r/>
          </w:p>
          <w:p>
            <w:pPr>
              <w:pStyle w:val="TableText"/>
              <w:ind w:left="236"/>
              <w:spacing w:before="86" w:line="178" w:lineRule="auto"/>
              <w:rPr/>
            </w:pPr>
            <w:r>
              <w:rPr>
                <w:spacing w:val="3"/>
              </w:rPr>
              <w:t>002092</w:t>
            </w:r>
          </w:p>
        </w:tc>
        <w:tc>
          <w:tcPr>
            <w:shd w:val="clear" w:fill="B8CCE4"/>
            <w:tcW w:w="1343" w:type="dxa"/>
            <w:vAlign w:val="top"/>
          </w:tcPr>
          <w:p>
            <w:pPr>
              <w:spacing w:line="355" w:lineRule="auto"/>
              <w:rPr>
                <w:rFonts w:ascii="Arial"/>
                <w:sz w:val="21"/>
              </w:rPr>
            </w:pPr>
            <w:r/>
          </w:p>
          <w:p>
            <w:pPr>
              <w:pStyle w:val="TableText"/>
              <w:ind w:left="257"/>
              <w:spacing w:before="86" w:line="189" w:lineRule="auto"/>
              <w:rPr/>
            </w:pPr>
            <w:r>
              <w:rPr>
                <w:spacing w:val="5"/>
              </w:rPr>
              <w:t>中泰化学</w:t>
            </w:r>
          </w:p>
        </w:tc>
        <w:tc>
          <w:tcPr>
            <w:shd w:val="clear" w:fill="B8CCE4"/>
            <w:tcW w:w="5496" w:type="dxa"/>
            <w:vAlign w:val="top"/>
          </w:tcPr>
          <w:p>
            <w:pPr>
              <w:pStyle w:val="TableText"/>
              <w:ind w:left="99" w:right="103"/>
              <w:spacing w:before="83" w:line="231" w:lineRule="auto"/>
              <w:jc w:val="both"/>
              <w:rPr/>
            </w:pPr>
            <w:r>
              <w:rPr>
                <w:spacing w:val="15"/>
              </w:rPr>
              <w:t>控股股东及其关联方</w:t>
            </w:r>
            <w:r>
              <w:rPr>
                <w:b/>
                <w:bCs/>
                <w:spacing w:val="15"/>
              </w:rPr>
              <w:t>占用</w:t>
            </w:r>
            <w:r>
              <w:rPr>
                <w:spacing w:val="15"/>
              </w:rPr>
              <w:t>中泰化学资金；中泰化学2020</w:t>
            </w:r>
            <w:r>
              <w:rPr>
                <w:spacing w:val="14"/>
              </w:rPr>
              <w:t xml:space="preserve"> </w:t>
            </w:r>
            <w:r>
              <w:rPr>
                <w:spacing w:val="12"/>
              </w:rPr>
              <w:t>年至2022年定期报告以及2023年公司债券募集说明书等</w:t>
            </w:r>
            <w:r>
              <w:rPr>
                <w:spacing w:val="2"/>
              </w:rPr>
              <w:t xml:space="preserve"> </w:t>
            </w:r>
            <w:r>
              <w:rPr>
                <w:spacing w:val="9"/>
              </w:rPr>
              <w:t>发行文件存在</w:t>
            </w:r>
            <w:r>
              <w:rPr>
                <w:b/>
                <w:bCs/>
                <w:spacing w:val="9"/>
              </w:rPr>
              <w:t>披露不准确</w:t>
            </w:r>
            <w:r>
              <w:rPr>
                <w:spacing w:val="9"/>
              </w:rPr>
              <w:t>问题。</w:t>
            </w:r>
          </w:p>
        </w:tc>
      </w:tr>
      <w:tr>
        <w:trPr>
          <w:trHeight w:val="725" w:hRule="atLeast"/>
        </w:trPr>
        <w:tc>
          <w:tcPr>
            <w:tcW w:w="8053" w:type="dxa"/>
            <w:vAlign w:val="top"/>
            <w:gridSpan w:val="3"/>
          </w:tcPr>
          <w:p>
            <w:pPr>
              <w:pStyle w:val="TableText"/>
              <w:ind w:left="107" w:right="101" w:firstLine="15"/>
              <w:spacing w:before="42" w:line="235" w:lineRule="auto"/>
              <w:rPr/>
            </w:pPr>
            <w:r>
              <w:rPr>
                <w:b/>
                <w:bCs/>
                <w:spacing w:val="10"/>
              </w:rPr>
              <w:t>【行政监管措施】</w:t>
            </w:r>
            <w:r>
              <w:rPr>
                <w:spacing w:val="10"/>
              </w:rPr>
              <w:t>中国证券监督管理委员会新疆监</w:t>
            </w:r>
            <w:r>
              <w:rPr>
                <w:spacing w:val="9"/>
              </w:rPr>
              <w:t>管局决定对董事会秘书张某、董事,</w:t>
            </w:r>
            <w:r>
              <w:rPr/>
              <w:t xml:space="preserve"> </w:t>
            </w:r>
            <w:r>
              <w:rPr>
                <w:spacing w:val="8"/>
              </w:rPr>
              <w:t>董事长,高管于某静采取出具警示函的监督管理措</w:t>
            </w:r>
            <w:r>
              <w:rPr>
                <w:spacing w:val="7"/>
              </w:rPr>
              <w:t>施 ，并记入证券期货市场诚信档案。</w:t>
            </w:r>
          </w:p>
        </w:tc>
      </w:tr>
      <w:tr>
        <w:trPr>
          <w:trHeight w:val="724" w:hRule="atLeast"/>
        </w:trPr>
        <w:tc>
          <w:tcPr>
            <w:shd w:val="clear" w:fill="B8CCE4"/>
            <w:tcW w:w="1214" w:type="dxa"/>
            <w:vAlign w:val="top"/>
          </w:tcPr>
          <w:p>
            <w:pPr>
              <w:pStyle w:val="TableText"/>
              <w:ind w:left="239"/>
              <w:spacing w:before="280" w:line="178" w:lineRule="auto"/>
              <w:rPr/>
            </w:pPr>
            <w:r>
              <w:rPr>
                <w:spacing w:val="3"/>
              </w:rPr>
              <w:t>603220</w:t>
            </w:r>
          </w:p>
        </w:tc>
        <w:tc>
          <w:tcPr>
            <w:shd w:val="clear" w:fill="B8CCE4"/>
            <w:tcW w:w="1343" w:type="dxa"/>
            <w:vAlign w:val="top"/>
          </w:tcPr>
          <w:p>
            <w:pPr>
              <w:pStyle w:val="TableText"/>
              <w:ind w:left="257"/>
              <w:spacing w:before="265" w:line="189" w:lineRule="auto"/>
              <w:rPr/>
            </w:pPr>
            <w:r>
              <w:rPr>
                <w:spacing w:val="5"/>
              </w:rPr>
              <w:t>中贝通信</w:t>
            </w:r>
          </w:p>
        </w:tc>
        <w:tc>
          <w:tcPr>
            <w:shd w:val="clear" w:fill="B8CCE4"/>
            <w:tcW w:w="5496" w:type="dxa"/>
            <w:vAlign w:val="top"/>
          </w:tcPr>
          <w:p>
            <w:pPr>
              <w:pStyle w:val="TableText"/>
              <w:ind w:left="99" w:right="103"/>
              <w:spacing w:before="84" w:line="220" w:lineRule="auto"/>
              <w:rPr/>
            </w:pPr>
            <w:r>
              <w:rPr>
                <w:spacing w:val="11"/>
              </w:rPr>
              <w:t>对外投资等事项在其他信息披露渠道先于官方指定信息披</w:t>
            </w:r>
            <w:r>
              <w:rPr>
                <w:spacing w:val="1"/>
              </w:rPr>
              <w:t xml:space="preserve"> </w:t>
            </w:r>
            <w:r>
              <w:rPr>
                <w:spacing w:val="5"/>
              </w:rPr>
              <w:t>露平台披露 ，部分事项未及时审议披露。</w:t>
            </w:r>
          </w:p>
        </w:tc>
      </w:tr>
      <w:tr>
        <w:trPr>
          <w:trHeight w:val="1085" w:hRule="atLeast"/>
        </w:trPr>
        <w:tc>
          <w:tcPr>
            <w:tcW w:w="8053" w:type="dxa"/>
            <w:vAlign w:val="top"/>
            <w:gridSpan w:val="3"/>
          </w:tcPr>
          <w:p>
            <w:pPr>
              <w:pStyle w:val="TableText"/>
              <w:ind w:left="105" w:right="103" w:firstLine="17"/>
              <w:spacing w:before="45"/>
              <w:jc w:val="both"/>
              <w:rPr/>
            </w:pPr>
            <w:r>
              <w:rPr>
                <w:b/>
                <w:bCs/>
                <w:spacing w:val="11"/>
              </w:rPr>
              <w:t>【行政监管措施】</w:t>
            </w:r>
            <w:r>
              <w:rPr>
                <w:spacing w:val="11"/>
              </w:rPr>
              <w:t>中国证券监督管理委员会湖北监管局决定对中贝通信集团股份有限</w:t>
            </w:r>
            <w:r>
              <w:rPr>
                <w:spacing w:val="3"/>
              </w:rPr>
              <w:t xml:space="preserve"> </w:t>
            </w:r>
            <w:r>
              <w:rPr>
                <w:spacing w:val="14"/>
              </w:rPr>
              <w:t>公司、董事长,总经理李某兵、董事会秘书陆某庆采取出具警示函的行政监管措施,并</w:t>
            </w:r>
            <w:r>
              <w:rPr/>
              <w:t xml:space="preserve"> </w:t>
            </w:r>
            <w:r>
              <w:rPr>
                <w:spacing w:val="8"/>
              </w:rPr>
              <w:t>记入证券期货市场诚信档案。</w:t>
            </w:r>
          </w:p>
        </w:tc>
      </w:tr>
      <w:tr>
        <w:trPr>
          <w:trHeight w:val="365" w:hRule="atLeast"/>
        </w:trPr>
        <w:tc>
          <w:tcPr>
            <w:shd w:val="clear" w:fill="B8CCE4"/>
            <w:tcW w:w="1214" w:type="dxa"/>
            <w:vAlign w:val="top"/>
          </w:tcPr>
          <w:p>
            <w:pPr>
              <w:pStyle w:val="TableText"/>
              <w:ind w:left="242"/>
              <w:spacing w:before="103" w:line="176" w:lineRule="auto"/>
              <w:rPr/>
            </w:pPr>
            <w:r>
              <w:rPr>
                <w:spacing w:val="3"/>
              </w:rPr>
              <w:t>300798</w:t>
            </w:r>
          </w:p>
        </w:tc>
        <w:tc>
          <w:tcPr>
            <w:shd w:val="clear" w:fill="B8CCE4"/>
            <w:tcW w:w="1343" w:type="dxa"/>
            <w:vAlign w:val="top"/>
          </w:tcPr>
          <w:p>
            <w:pPr>
              <w:pStyle w:val="TableText"/>
              <w:ind w:left="243"/>
              <w:spacing w:before="90" w:line="185" w:lineRule="auto"/>
              <w:rPr/>
            </w:pPr>
            <w:r>
              <w:rPr>
                <w:spacing w:val="8"/>
              </w:rPr>
              <w:t>锦鸡股份</w:t>
            </w:r>
          </w:p>
        </w:tc>
        <w:tc>
          <w:tcPr>
            <w:shd w:val="clear" w:fill="B8CCE4"/>
            <w:tcW w:w="5496" w:type="dxa"/>
            <w:vAlign w:val="top"/>
          </w:tcPr>
          <w:p>
            <w:pPr>
              <w:pStyle w:val="TableText"/>
              <w:ind w:left="108"/>
              <w:spacing w:before="87" w:line="187" w:lineRule="auto"/>
              <w:rPr/>
            </w:pPr>
            <w:r>
              <w:rPr>
                <w:spacing w:val="7"/>
              </w:rPr>
              <w:t>时任高管亲属</w:t>
            </w:r>
            <w:r>
              <w:rPr>
                <w:b/>
                <w:bCs/>
                <w:spacing w:val="7"/>
              </w:rPr>
              <w:t>短线交易</w:t>
            </w:r>
            <w:r>
              <w:rPr>
                <w:spacing w:val="7"/>
              </w:rPr>
              <w:t>。</w:t>
            </w:r>
          </w:p>
        </w:tc>
      </w:tr>
      <w:tr>
        <w:trPr>
          <w:trHeight w:val="724" w:hRule="atLeast"/>
        </w:trPr>
        <w:tc>
          <w:tcPr>
            <w:tcW w:w="8053" w:type="dxa"/>
            <w:vAlign w:val="top"/>
            <w:gridSpan w:val="3"/>
          </w:tcPr>
          <w:p>
            <w:pPr>
              <w:pStyle w:val="TableText"/>
              <w:ind w:left="106" w:right="103" w:firstLine="16"/>
              <w:spacing w:before="44" w:line="234" w:lineRule="auto"/>
              <w:rPr/>
            </w:pPr>
            <w:r>
              <w:rPr>
                <w:b/>
                <w:bCs/>
                <w:spacing w:val="11"/>
              </w:rPr>
              <w:t>【行政监管措施】</w:t>
            </w:r>
            <w:r>
              <w:rPr>
                <w:spacing w:val="11"/>
              </w:rPr>
              <w:t>中国证券监督管理委员会江苏监管局决定对高管苏某奇采取出具警</w:t>
            </w:r>
            <w:r>
              <w:rPr>
                <w:spacing w:val="3"/>
              </w:rPr>
              <w:t xml:space="preserve"> </w:t>
            </w:r>
            <w:r>
              <w:rPr>
                <w:spacing w:val="9"/>
              </w:rPr>
              <w:t>示函的行政监管措施,并记入证券期货市场诚信档案。</w:t>
            </w:r>
          </w:p>
        </w:tc>
      </w:tr>
      <w:tr>
        <w:trPr>
          <w:trHeight w:val="725" w:hRule="atLeast"/>
        </w:trPr>
        <w:tc>
          <w:tcPr>
            <w:shd w:val="clear" w:fill="B8CCE4"/>
            <w:tcW w:w="1214" w:type="dxa"/>
            <w:vAlign w:val="top"/>
          </w:tcPr>
          <w:p>
            <w:pPr>
              <w:pStyle w:val="TableText"/>
              <w:ind w:left="242"/>
              <w:spacing w:before="283" w:line="178" w:lineRule="auto"/>
              <w:rPr/>
            </w:pPr>
            <w:r>
              <w:rPr>
                <w:spacing w:val="3"/>
              </w:rPr>
              <w:t>300798</w:t>
            </w:r>
          </w:p>
        </w:tc>
        <w:tc>
          <w:tcPr>
            <w:shd w:val="clear" w:fill="B8CCE4"/>
            <w:tcW w:w="1343" w:type="dxa"/>
            <w:vAlign w:val="top"/>
          </w:tcPr>
          <w:p>
            <w:pPr>
              <w:pStyle w:val="TableText"/>
              <w:ind w:left="243"/>
              <w:spacing w:before="269" w:line="189" w:lineRule="auto"/>
              <w:rPr/>
            </w:pPr>
            <w:r>
              <w:rPr>
                <w:spacing w:val="8"/>
              </w:rPr>
              <w:t>锦鸡股份</w:t>
            </w:r>
          </w:p>
        </w:tc>
        <w:tc>
          <w:tcPr>
            <w:shd w:val="clear" w:fill="B8CCE4"/>
            <w:tcW w:w="5496" w:type="dxa"/>
            <w:vAlign w:val="top"/>
          </w:tcPr>
          <w:p>
            <w:pPr>
              <w:pStyle w:val="TableText"/>
              <w:ind w:left="100" w:right="103" w:hanging="1"/>
              <w:spacing w:before="91" w:line="218" w:lineRule="auto"/>
              <w:rPr/>
            </w:pPr>
            <w:r>
              <w:rPr>
                <w:spacing w:val="11"/>
              </w:rPr>
              <w:t>公司未就募集资金专户</w:t>
            </w:r>
            <w:r>
              <w:rPr>
                <w:b/>
                <w:bCs/>
                <w:spacing w:val="11"/>
              </w:rPr>
              <w:t>签订三方监管协议</w:t>
            </w:r>
            <w:r>
              <w:rPr>
                <w:spacing w:val="11"/>
              </w:rPr>
              <w:t>且募集资金存放</w:t>
            </w:r>
            <w:r>
              <w:rPr>
                <w:spacing w:val="1"/>
              </w:rPr>
              <w:t xml:space="preserve"> </w:t>
            </w:r>
            <w:r>
              <w:rPr>
                <w:spacing w:val="9"/>
              </w:rPr>
              <w:t>与使用情况的专项报告中披露不准确。</w:t>
            </w:r>
          </w:p>
        </w:tc>
      </w:tr>
      <w:tr>
        <w:trPr>
          <w:trHeight w:val="724" w:hRule="atLeast"/>
        </w:trPr>
        <w:tc>
          <w:tcPr>
            <w:tcW w:w="8053" w:type="dxa"/>
            <w:vAlign w:val="top"/>
            <w:gridSpan w:val="3"/>
          </w:tcPr>
          <w:p>
            <w:pPr>
              <w:pStyle w:val="TableText"/>
              <w:ind w:left="123" w:right="103" w:hanging="1"/>
              <w:spacing w:before="47" w:line="233" w:lineRule="auto"/>
              <w:rPr/>
            </w:pPr>
            <w:r>
              <w:rPr>
                <w:b/>
                <w:bCs/>
                <w:spacing w:val="11"/>
              </w:rPr>
              <w:t>【行政监管措施】</w:t>
            </w:r>
            <w:r>
              <w:rPr>
                <w:spacing w:val="11"/>
              </w:rPr>
              <w:t>中国证券监督管理委员会江苏监管局决定对锦鸡股份、董事会秘书</w:t>
            </w:r>
            <w:r>
              <w:rPr>
                <w:spacing w:val="3"/>
              </w:rPr>
              <w:t xml:space="preserve"> </w:t>
            </w:r>
            <w:r>
              <w:rPr>
                <w:spacing w:val="9"/>
              </w:rPr>
              <w:t>肖某兵、财务总监肖某采取出具警示函的监管措施,并记入证券期货市场</w:t>
            </w:r>
            <w:r>
              <w:rPr>
                <w:spacing w:val="8"/>
              </w:rPr>
              <w:t>诚信档案。</w:t>
            </w:r>
          </w:p>
        </w:tc>
      </w:tr>
      <w:tr>
        <w:trPr>
          <w:trHeight w:val="1085" w:hRule="atLeast"/>
        </w:trPr>
        <w:tc>
          <w:tcPr>
            <w:shd w:val="clear" w:fill="B8CCE4"/>
            <w:tcW w:w="1214" w:type="dxa"/>
            <w:vAlign w:val="top"/>
          </w:tcPr>
          <w:p>
            <w:pPr>
              <w:spacing w:line="377" w:lineRule="auto"/>
              <w:rPr>
                <w:rFonts w:ascii="Arial"/>
                <w:sz w:val="21"/>
              </w:rPr>
            </w:pPr>
            <w:r/>
          </w:p>
          <w:p>
            <w:pPr>
              <w:pStyle w:val="TableText"/>
              <w:ind w:left="239"/>
              <w:spacing w:before="86" w:line="178" w:lineRule="auto"/>
              <w:rPr/>
            </w:pPr>
            <w:r>
              <w:rPr>
                <w:spacing w:val="3"/>
              </w:rPr>
              <w:t>600804</w:t>
            </w:r>
          </w:p>
        </w:tc>
        <w:tc>
          <w:tcPr>
            <w:shd w:val="clear" w:fill="B8CCE4"/>
            <w:tcW w:w="1343" w:type="dxa"/>
            <w:vAlign w:val="top"/>
          </w:tcPr>
          <w:p>
            <w:pPr>
              <w:spacing w:line="362" w:lineRule="auto"/>
              <w:rPr>
                <w:rFonts w:ascii="Arial"/>
                <w:sz w:val="21"/>
              </w:rPr>
            </w:pPr>
            <w:r/>
          </w:p>
          <w:p>
            <w:pPr>
              <w:pStyle w:val="TableText"/>
              <w:ind w:left="236"/>
              <w:spacing w:before="86" w:line="189" w:lineRule="auto"/>
              <w:rPr/>
            </w:pPr>
            <w:r>
              <w:rPr/>
              <w:t>ST</w:t>
            </w:r>
            <w:r>
              <w:rPr>
                <w:spacing w:val="9"/>
              </w:rPr>
              <w:t>鹏博士</w:t>
            </w:r>
          </w:p>
        </w:tc>
        <w:tc>
          <w:tcPr>
            <w:shd w:val="clear" w:fill="B8CCE4"/>
            <w:tcW w:w="5496" w:type="dxa"/>
            <w:vAlign w:val="top"/>
          </w:tcPr>
          <w:p>
            <w:pPr>
              <w:pStyle w:val="TableText"/>
              <w:ind w:left="98" w:right="103" w:firstLine="1"/>
              <w:spacing w:before="92" w:line="229" w:lineRule="auto"/>
              <w:jc w:val="both"/>
              <w:rPr/>
            </w:pPr>
            <w:r>
              <w:rPr>
                <w:spacing w:val="11"/>
              </w:rPr>
              <w:t>未按规定披露</w:t>
            </w:r>
            <w:r>
              <w:rPr>
                <w:b/>
                <w:bCs/>
                <w:spacing w:val="11"/>
              </w:rPr>
              <w:t>未能清偿到期债务及债务重组</w:t>
            </w:r>
            <w:r>
              <w:rPr>
                <w:spacing w:val="11"/>
              </w:rPr>
              <w:t>事项；</w:t>
            </w:r>
            <w:r>
              <w:rPr>
                <w:b/>
                <w:bCs/>
                <w:spacing w:val="11"/>
              </w:rPr>
              <w:t>业绩预</w:t>
            </w:r>
            <w:r>
              <w:rPr>
                <w:b/>
                <w:bCs/>
                <w:spacing w:val="1"/>
              </w:rPr>
              <w:t xml:space="preserve"> </w:t>
            </w:r>
            <w:r>
              <w:rPr>
                <w:b/>
                <w:bCs/>
                <w:spacing w:val="11"/>
              </w:rPr>
              <w:t>告</w:t>
            </w:r>
            <w:r>
              <w:rPr>
                <w:spacing w:val="11"/>
              </w:rPr>
              <w:t>信息披露不准确；实际控制人</w:t>
            </w:r>
            <w:r>
              <w:rPr>
                <w:b/>
                <w:bCs/>
                <w:spacing w:val="11"/>
              </w:rPr>
              <w:t>非经营性占用</w:t>
            </w:r>
            <w:r>
              <w:rPr>
                <w:spacing w:val="11"/>
              </w:rPr>
              <w:t>上市公司资</w:t>
            </w:r>
            <w:r>
              <w:rPr>
                <w:spacing w:val="2"/>
              </w:rPr>
              <w:t xml:space="preserve"> </w:t>
            </w:r>
            <w:r>
              <w:rPr>
                <w:spacing w:val="3"/>
              </w:rPr>
              <w:t>金。</w:t>
            </w:r>
          </w:p>
        </w:tc>
      </w:tr>
      <w:tr>
        <w:trPr>
          <w:trHeight w:val="1804" w:hRule="atLeast"/>
        </w:trPr>
        <w:tc>
          <w:tcPr>
            <w:tcW w:w="8053" w:type="dxa"/>
            <w:vAlign w:val="top"/>
            <w:gridSpan w:val="3"/>
          </w:tcPr>
          <w:p>
            <w:pPr>
              <w:pStyle w:val="TableText"/>
              <w:ind w:left="104" w:right="103" w:firstLine="18"/>
              <w:spacing w:before="49" w:line="244" w:lineRule="auto"/>
              <w:rPr/>
            </w:pPr>
            <w:r>
              <w:rPr>
                <w:b/>
                <w:bCs/>
                <w:spacing w:val="9"/>
              </w:rPr>
              <w:t>【行政监管措施】</w:t>
            </w:r>
            <w:r>
              <w:rPr>
                <w:spacing w:val="9"/>
              </w:rPr>
              <w:t>中国证券监督管理委员会青岛监管局决定 ，针对公司债券、业绩预</w:t>
            </w:r>
            <w:r>
              <w:rPr>
                <w:spacing w:val="8"/>
              </w:rPr>
              <w:t xml:space="preserve"> </w:t>
            </w:r>
            <w:r>
              <w:rPr>
                <w:spacing w:val="10"/>
              </w:rPr>
              <w:t>告信息披露不规范问题 ，对鹏博士电信传媒集团股份有限公</w:t>
            </w:r>
            <w:r>
              <w:rPr>
                <w:spacing w:val="9"/>
              </w:rPr>
              <w:t>司及公司董事长杨某平、</w:t>
            </w:r>
            <w:r>
              <w:rPr/>
              <w:t xml:space="preserve"> </w:t>
            </w:r>
            <w:r>
              <w:rPr>
                <w:spacing w:val="12"/>
              </w:rPr>
              <w:t>总经理吕某团、财务总监徐某岗、时任董事会秘</w:t>
            </w:r>
            <w:r>
              <w:rPr>
                <w:spacing w:val="11"/>
              </w:rPr>
              <w:t>书刘某采取出具警示函措施；针对资</w:t>
            </w:r>
            <w:r>
              <w:rPr/>
              <w:t xml:space="preserve"> </w:t>
            </w:r>
            <w:r>
              <w:rPr>
                <w:spacing w:val="10"/>
              </w:rPr>
              <w:t>金占用问题 ，对鹏博士电信传媒集团股份有限公司及实际控</w:t>
            </w:r>
            <w:r>
              <w:rPr>
                <w:spacing w:val="9"/>
              </w:rPr>
              <w:t>制人杨某平采取责令改正</w:t>
            </w:r>
            <w:r>
              <w:rPr/>
              <w:t xml:space="preserve"> </w:t>
            </w:r>
            <w:r>
              <w:rPr>
                <w:spacing w:val="6"/>
              </w:rPr>
              <w:t>的行政监管措施 ，记入证券期货市场诚信档案。</w:t>
            </w:r>
          </w:p>
        </w:tc>
      </w:tr>
      <w:tr>
        <w:trPr>
          <w:trHeight w:val="365" w:hRule="atLeast"/>
        </w:trPr>
        <w:tc>
          <w:tcPr>
            <w:shd w:val="clear" w:fill="B8CCE4"/>
            <w:tcW w:w="1214" w:type="dxa"/>
            <w:vAlign w:val="top"/>
          </w:tcPr>
          <w:p>
            <w:pPr>
              <w:pStyle w:val="TableText"/>
              <w:ind w:left="236"/>
              <w:spacing w:before="109" w:line="172" w:lineRule="auto"/>
              <w:rPr/>
            </w:pPr>
            <w:r>
              <w:rPr>
                <w:spacing w:val="3"/>
              </w:rPr>
              <w:t>002092</w:t>
            </w:r>
          </w:p>
        </w:tc>
        <w:tc>
          <w:tcPr>
            <w:shd w:val="clear" w:fill="B8CCE4"/>
            <w:tcW w:w="1343" w:type="dxa"/>
            <w:vAlign w:val="top"/>
          </w:tcPr>
          <w:p>
            <w:pPr>
              <w:pStyle w:val="TableText"/>
              <w:ind w:left="257"/>
              <w:spacing w:before="94" w:line="182" w:lineRule="auto"/>
              <w:rPr/>
            </w:pPr>
            <w:r>
              <w:rPr>
                <w:spacing w:val="5"/>
              </w:rPr>
              <w:t>中泰化学</w:t>
            </w:r>
          </w:p>
        </w:tc>
        <w:tc>
          <w:tcPr>
            <w:shd w:val="clear" w:fill="B8CCE4"/>
            <w:tcW w:w="5496" w:type="dxa"/>
            <w:vAlign w:val="top"/>
          </w:tcPr>
          <w:p>
            <w:pPr>
              <w:pStyle w:val="TableText"/>
              <w:ind w:left="99"/>
              <w:spacing w:before="94" w:line="182" w:lineRule="auto"/>
              <w:rPr/>
            </w:pPr>
            <w:r>
              <w:rPr>
                <w:spacing w:val="9"/>
              </w:rPr>
              <w:t>未按规定披露</w:t>
            </w:r>
            <w:r>
              <w:rPr>
                <w:b/>
                <w:bCs/>
                <w:spacing w:val="9"/>
              </w:rPr>
              <w:t>非经营性资金占用</w:t>
            </w:r>
            <w:r>
              <w:rPr>
                <w:spacing w:val="9"/>
              </w:rPr>
              <w:t>；</w:t>
            </w:r>
            <w:r>
              <w:rPr>
                <w:b/>
                <w:bCs/>
                <w:spacing w:val="9"/>
              </w:rPr>
              <w:t>财务数据</w:t>
            </w:r>
            <w:r>
              <w:rPr>
                <w:spacing w:val="9"/>
              </w:rPr>
              <w:t>披露不准确。</w:t>
            </w:r>
          </w:p>
        </w:tc>
      </w:tr>
      <w:tr>
        <w:trPr>
          <w:trHeight w:val="725" w:hRule="atLeast"/>
        </w:trPr>
        <w:tc>
          <w:tcPr>
            <w:tcW w:w="8053" w:type="dxa"/>
            <w:vAlign w:val="top"/>
            <w:gridSpan w:val="3"/>
          </w:tcPr>
          <w:p>
            <w:pPr>
              <w:pStyle w:val="TableText"/>
              <w:ind w:left="106" w:right="103" w:firstLine="16"/>
              <w:spacing w:before="51" w:line="232" w:lineRule="auto"/>
              <w:rPr/>
            </w:pPr>
            <w:r>
              <w:rPr>
                <w:b/>
                <w:bCs/>
                <w:spacing w:val="11"/>
              </w:rPr>
              <w:t>【行政监管措施】</w:t>
            </w:r>
            <w:r>
              <w:rPr>
                <w:spacing w:val="11"/>
              </w:rPr>
              <w:t>新疆证监局决定对新疆中泰化学股份有限公司采取责令改正的监督</w:t>
            </w:r>
            <w:r>
              <w:rPr>
                <w:spacing w:val="3"/>
              </w:rPr>
              <w:t xml:space="preserve"> </w:t>
            </w:r>
            <w:r>
              <w:rPr>
                <w:spacing w:val="5"/>
              </w:rPr>
              <w:t>管理措施 ，并记入证券期货市场诚信档案 ，</w:t>
            </w:r>
          </w:p>
        </w:tc>
      </w:tr>
      <w:tr>
        <w:trPr>
          <w:trHeight w:val="1092" w:hRule="atLeast"/>
        </w:trPr>
        <w:tc>
          <w:tcPr>
            <w:shd w:val="clear" w:fill="B8CCE4"/>
            <w:tcW w:w="1214" w:type="dxa"/>
            <w:vAlign w:val="top"/>
          </w:tcPr>
          <w:p>
            <w:pPr>
              <w:spacing w:line="380" w:lineRule="auto"/>
              <w:rPr>
                <w:rFonts w:ascii="Arial"/>
                <w:sz w:val="21"/>
              </w:rPr>
            </w:pPr>
            <w:r/>
          </w:p>
          <w:p>
            <w:pPr>
              <w:pStyle w:val="TableText"/>
              <w:ind w:left="236"/>
              <w:spacing w:before="85" w:line="178" w:lineRule="auto"/>
              <w:rPr/>
            </w:pPr>
            <w:r>
              <w:rPr>
                <w:spacing w:val="3"/>
              </w:rPr>
              <w:t>002739</w:t>
            </w:r>
          </w:p>
        </w:tc>
        <w:tc>
          <w:tcPr>
            <w:shd w:val="clear" w:fill="B8CCE4"/>
            <w:tcW w:w="1343" w:type="dxa"/>
            <w:vAlign w:val="top"/>
          </w:tcPr>
          <w:p>
            <w:pPr>
              <w:spacing w:line="366" w:lineRule="auto"/>
              <w:rPr>
                <w:rFonts w:ascii="Arial"/>
                <w:sz w:val="21"/>
              </w:rPr>
            </w:pPr>
            <w:r/>
          </w:p>
          <w:p>
            <w:pPr>
              <w:pStyle w:val="TableText"/>
              <w:ind w:left="243"/>
              <w:spacing w:before="86" w:line="188" w:lineRule="auto"/>
              <w:rPr/>
            </w:pPr>
            <w:r>
              <w:rPr>
                <w:spacing w:val="8"/>
              </w:rPr>
              <w:t>万达电影</w:t>
            </w:r>
          </w:p>
        </w:tc>
        <w:tc>
          <w:tcPr>
            <w:shd w:val="clear" w:fill="B8CCE4"/>
            <w:tcW w:w="5496" w:type="dxa"/>
            <w:vAlign w:val="top"/>
          </w:tcPr>
          <w:p>
            <w:pPr>
              <w:pStyle w:val="TableText"/>
              <w:ind w:left="100" w:right="103"/>
              <w:spacing w:before="95" w:line="230" w:lineRule="auto"/>
              <w:rPr/>
            </w:pPr>
            <w:r>
              <w:rPr>
                <w:spacing w:val="13"/>
              </w:rPr>
              <w:t>万达影视2022年未能完成承诺业绩。截至目前,北京万达</w:t>
            </w:r>
            <w:r>
              <w:rPr>
                <w:spacing w:val="7"/>
              </w:rPr>
              <w:t xml:space="preserve"> </w:t>
            </w:r>
            <w:r>
              <w:rPr>
                <w:spacing w:val="13"/>
              </w:rPr>
              <w:t>投资有限公司、莘县融智兴业管理咨询中心(有限合伙)、</w:t>
            </w:r>
            <w:r>
              <w:rPr>
                <w:spacing w:val="4"/>
              </w:rPr>
              <w:t xml:space="preserve"> </w:t>
            </w:r>
            <w:r>
              <w:rPr>
                <w:spacing w:val="8"/>
              </w:rPr>
              <w:t>林某仍未履行</w:t>
            </w:r>
            <w:r>
              <w:rPr>
                <w:b/>
                <w:bCs/>
                <w:spacing w:val="8"/>
              </w:rPr>
              <w:t>业绩承诺补偿</w:t>
            </w:r>
            <w:r>
              <w:rPr>
                <w:spacing w:val="8"/>
              </w:rPr>
              <w:t>义务。</w:t>
            </w:r>
          </w:p>
        </w:tc>
      </w:tr>
    </w:tbl>
    <w:p>
      <w:pPr>
        <w:pStyle w:val="BodyText"/>
        <w:spacing w:line="143" w:lineRule="exact"/>
        <w:rPr>
          <w:sz w:val="12"/>
        </w:rPr>
      </w:pPr>
      <w:r/>
    </w:p>
    <w:p>
      <w:pPr>
        <w:spacing w:line="143" w:lineRule="exact"/>
        <w:sectPr>
          <w:pgSz w:w="11910" w:h="16840"/>
          <w:pgMar w:top="400" w:right="1786" w:bottom="400" w:left="1456" w:header="0" w:footer="0" w:gutter="0"/>
        </w:sectPr>
        <w:rPr>
          <w:sz w:val="12"/>
          <w:szCs w:val="12"/>
        </w:rPr>
      </w:pPr>
    </w:p>
    <w:tbl>
      <w:tblPr>
        <w:tblStyle w:val="TableNormal"/>
        <w:tblW w:w="8053" w:type="dxa"/>
        <w:tblInd w:w="62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1100" w:hRule="atLeast"/>
        </w:trPr>
        <w:tc>
          <w:tcPr>
            <w:tcW w:w="8053" w:type="dxa"/>
            <w:vAlign w:val="top"/>
            <w:gridSpan w:val="3"/>
            <w:tcBorders>
              <w:top w:val="single" w:color="4F81BD" w:sz="2" w:space="0"/>
            </w:tcBorders>
          </w:tcPr>
          <w:p>
            <w:pPr>
              <w:pStyle w:val="TableText"/>
              <w:ind w:left="106" w:right="103" w:firstLine="16"/>
              <w:spacing w:before="60"/>
              <w:jc w:val="both"/>
              <w:rPr/>
            </w:pPr>
            <w:r>
              <w:rPr>
                <w:b/>
                <w:bCs/>
                <w:spacing w:val="11"/>
              </w:rPr>
              <w:t>【行政监管措施】</w:t>
            </w:r>
            <w:r>
              <w:rPr>
                <w:spacing w:val="11"/>
              </w:rPr>
              <w:t>北京证监局决定对北京万达投资有限公司、莘县融智兴业管理咨询</w:t>
            </w:r>
            <w:r>
              <w:rPr>
                <w:spacing w:val="3"/>
              </w:rPr>
              <w:t xml:space="preserve"> </w:t>
            </w:r>
            <w:r>
              <w:rPr>
                <w:spacing w:val="11"/>
              </w:rPr>
              <w:t>中心(有限合伙)、林某采取责令改正的行政监管措施,并将相关行为记入证券期货市场</w:t>
            </w:r>
            <w:r>
              <w:rPr>
                <w:spacing w:val="16"/>
              </w:rPr>
              <w:t xml:space="preserve"> </w:t>
            </w:r>
            <w:r>
              <w:rPr>
                <w:spacing w:val="6"/>
              </w:rPr>
              <w:t>诚信档案。</w:t>
            </w:r>
          </w:p>
        </w:tc>
      </w:tr>
      <w:tr>
        <w:trPr>
          <w:trHeight w:val="722" w:hRule="atLeast"/>
        </w:trPr>
        <w:tc>
          <w:tcPr>
            <w:shd w:val="clear" w:fill="B8CCE4"/>
            <w:tcW w:w="1214" w:type="dxa"/>
            <w:vAlign w:val="top"/>
          </w:tcPr>
          <w:p>
            <w:pPr>
              <w:pStyle w:val="TableText"/>
              <w:ind w:left="242"/>
              <w:spacing w:before="279" w:line="178" w:lineRule="auto"/>
              <w:rPr/>
            </w:pPr>
            <w:r>
              <w:rPr>
                <w:spacing w:val="3"/>
              </w:rPr>
              <w:t>300097</w:t>
            </w:r>
          </w:p>
        </w:tc>
        <w:tc>
          <w:tcPr>
            <w:shd w:val="clear" w:fill="B8CCE4"/>
            <w:tcW w:w="1343" w:type="dxa"/>
            <w:vAlign w:val="top"/>
          </w:tcPr>
          <w:p>
            <w:pPr>
              <w:pStyle w:val="TableText"/>
              <w:ind w:left="242"/>
              <w:spacing w:before="264" w:line="189" w:lineRule="auto"/>
              <w:rPr/>
            </w:pPr>
            <w:r>
              <w:rPr>
                <w:spacing w:val="8"/>
              </w:rPr>
              <w:t>智云股份</w:t>
            </w:r>
          </w:p>
        </w:tc>
        <w:tc>
          <w:tcPr>
            <w:shd w:val="clear" w:fill="B8CCE4"/>
            <w:tcW w:w="5496" w:type="dxa"/>
            <w:vAlign w:val="top"/>
          </w:tcPr>
          <w:p>
            <w:pPr>
              <w:pStyle w:val="TableText"/>
              <w:ind w:left="100" w:right="103"/>
              <w:spacing w:before="85" w:line="219" w:lineRule="auto"/>
              <w:rPr/>
            </w:pPr>
            <w:r>
              <w:rPr>
                <w:spacing w:val="11"/>
              </w:rPr>
              <w:t>业绩承诺补偿义务人未按照公开披露的信息及时、足额履</w:t>
            </w:r>
            <w:r>
              <w:rPr/>
              <w:t xml:space="preserve"> </w:t>
            </w:r>
            <w:r>
              <w:rPr>
                <w:spacing w:val="8"/>
              </w:rPr>
              <w:t>行</w:t>
            </w:r>
            <w:r>
              <w:rPr>
                <w:b/>
                <w:bCs/>
                <w:spacing w:val="8"/>
              </w:rPr>
              <w:t>业绩补偿义务。</w:t>
            </w:r>
          </w:p>
        </w:tc>
      </w:tr>
      <w:tr>
        <w:trPr>
          <w:trHeight w:val="1449" w:hRule="atLeast"/>
        </w:trPr>
        <w:tc>
          <w:tcPr>
            <w:tcW w:w="8053" w:type="dxa"/>
            <w:vAlign w:val="top"/>
            <w:gridSpan w:val="3"/>
          </w:tcPr>
          <w:p>
            <w:pPr>
              <w:pStyle w:val="TableText"/>
              <w:ind w:left="105" w:right="103" w:firstLine="17"/>
              <w:spacing w:before="49" w:line="243" w:lineRule="auto"/>
              <w:jc w:val="both"/>
              <w:rPr/>
            </w:pPr>
            <w:r>
              <w:rPr>
                <w:b/>
                <w:bCs/>
                <w:spacing w:val="11"/>
              </w:rPr>
              <w:t>【行政监管措施】</w:t>
            </w:r>
            <w:r>
              <w:rPr>
                <w:spacing w:val="11"/>
              </w:rPr>
              <w:t>中国证券监督管理委员会大连监管局决定对安吉凯盛企业管理咨询</w:t>
            </w:r>
            <w:r>
              <w:rPr>
                <w:spacing w:val="3"/>
              </w:rPr>
              <w:t xml:space="preserve"> </w:t>
            </w:r>
            <w:r>
              <w:rPr>
                <w:spacing w:val="10"/>
              </w:rPr>
              <w:t>合伙企业（有限合伙）</w:t>
            </w:r>
            <w:r>
              <w:rPr>
                <w:spacing w:val="-29"/>
              </w:rPr>
              <w:t xml:space="preserve"> </w:t>
            </w:r>
            <w:r>
              <w:rPr>
                <w:spacing w:val="10"/>
              </w:rPr>
              <w:t>、安吉美谦投资合伙企业（有限合伙）</w:t>
            </w:r>
            <w:r>
              <w:rPr>
                <w:spacing w:val="-33"/>
              </w:rPr>
              <w:t xml:space="preserve"> </w:t>
            </w:r>
            <w:r>
              <w:rPr>
                <w:spacing w:val="10"/>
              </w:rPr>
              <w:t>、安吉中谦企业管理咨</w:t>
            </w:r>
            <w:r>
              <w:rPr/>
              <w:t xml:space="preserve"> </w:t>
            </w:r>
            <w:r>
              <w:rPr>
                <w:spacing w:val="9"/>
              </w:rPr>
              <w:t>询合伙企业（有限合伙）</w:t>
            </w:r>
            <w:r>
              <w:rPr>
                <w:spacing w:val="-22"/>
              </w:rPr>
              <w:t xml:space="preserve"> </w:t>
            </w:r>
            <w:r>
              <w:rPr>
                <w:spacing w:val="9"/>
              </w:rPr>
              <w:t>、周某、周某采取责令改正的行政监管措施,并记入证券期货</w:t>
            </w:r>
            <w:r>
              <w:rPr/>
              <w:t xml:space="preserve"> </w:t>
            </w:r>
            <w:r>
              <w:rPr>
                <w:spacing w:val="7"/>
              </w:rPr>
              <w:t>市场诚信档案。</w:t>
            </w:r>
          </w:p>
        </w:tc>
      </w:tr>
    </w:tbl>
    <w:p>
      <w:pPr>
        <w:pStyle w:val="BodyText"/>
        <w:spacing w:line="343" w:lineRule="auto"/>
        <w:rPr/>
      </w:pPr>
      <w:r/>
    </w:p>
    <w:p>
      <w:pPr>
        <w:pStyle w:val="BodyText"/>
        <w:spacing w:line="344"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2"/>
          <w:w w:val="98"/>
        </w:rPr>
        <w:t>（</w:t>
      </w:r>
      <w:r>
        <w:rPr>
          <w:rFonts w:ascii="Microsoft YaHei" w:hAnsi="Microsoft YaHei" w:eastAsia="Microsoft YaHei" w:cs="Microsoft YaHei"/>
          <w:sz w:val="24"/>
          <w:szCs w:val="24"/>
          <w:b/>
          <w:bCs/>
          <w:color w:val="333333"/>
          <w:spacing w:val="27"/>
        </w:rPr>
        <w:t xml:space="preserve">  </w:t>
      </w:r>
      <w:r>
        <w:rPr>
          <w:rFonts w:ascii="Microsoft YaHei" w:hAnsi="Microsoft YaHei" w:eastAsia="Microsoft YaHei" w:cs="Microsoft YaHei"/>
          <w:sz w:val="24"/>
          <w:szCs w:val="24"/>
          <w:b/>
          <w:bCs/>
          <w:color w:val="333333"/>
          <w:spacing w:val="-12"/>
          <w:w w:val="98"/>
        </w:rPr>
        <w:t>4</w:t>
      </w:r>
      <w:r>
        <w:rPr>
          <w:rFonts w:ascii="Microsoft YaHei" w:hAnsi="Microsoft YaHei" w:eastAsia="Microsoft YaHei" w:cs="Microsoft YaHei"/>
          <w:sz w:val="24"/>
          <w:szCs w:val="24"/>
          <w:b/>
          <w:bCs/>
          <w:color w:val="333333"/>
          <w:spacing w:val="19"/>
        </w:rPr>
        <w:t xml:space="preserve">  </w:t>
      </w:r>
      <w:r>
        <w:rPr>
          <w:rFonts w:ascii="Microsoft YaHei" w:hAnsi="Microsoft YaHei" w:eastAsia="Microsoft YaHei" w:cs="Microsoft YaHei"/>
          <w:sz w:val="24"/>
          <w:szCs w:val="24"/>
          <w:b/>
          <w:bCs/>
          <w:color w:val="333333"/>
          <w:spacing w:val="-12"/>
          <w:w w:val="98"/>
        </w:rPr>
        <w:t>）立案调查</w:t>
      </w:r>
    </w:p>
    <w:p>
      <w:pPr>
        <w:spacing w:before="192"/>
        <w:rPr/>
      </w:pPr>
      <w:r/>
    </w:p>
    <w:tbl>
      <w:tblPr>
        <w:tblStyle w:val="TableNormal"/>
        <w:tblW w:w="8053" w:type="dxa"/>
        <w:tblInd w:w="62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4F81BD" w:sz="2" w:space="0"/>
            </w:tcBorders>
          </w:tcPr>
          <w:p>
            <w:pPr>
              <w:pStyle w:val="TableText"/>
              <w:ind w:left="181"/>
              <w:spacing w:before="111" w:line="186"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4"/>
              <w:spacing w:before="111" w:line="186" w:lineRule="auto"/>
              <w:rPr/>
            </w:pPr>
            <w:r>
              <w:rPr>
                <w:b/>
                <w:bCs/>
                <w:color w:val="FFFFFF"/>
                <w:spacing w:val="8"/>
              </w:rPr>
              <w:t>公司简称</w:t>
            </w:r>
          </w:p>
        </w:tc>
        <w:tc>
          <w:tcPr>
            <w:shd w:val="clear" w:fill="4F81BD"/>
            <w:tcW w:w="5496" w:type="dxa"/>
            <w:vAlign w:val="top"/>
            <w:tcBorders>
              <w:bottom w:val="single" w:color="4F81BD" w:sz="2" w:space="0"/>
            </w:tcBorders>
          </w:tcPr>
          <w:p>
            <w:pPr>
              <w:pStyle w:val="TableText"/>
              <w:ind w:left="2320"/>
              <w:spacing w:before="111" w:line="186" w:lineRule="auto"/>
              <w:rPr/>
            </w:pPr>
            <w:r>
              <w:rPr>
                <w:b/>
                <w:bCs/>
                <w:color w:val="FFFFFF"/>
                <w:spacing w:val="8"/>
              </w:rPr>
              <w:t>违规行为</w:t>
            </w:r>
          </w:p>
        </w:tc>
      </w:tr>
      <w:tr>
        <w:trPr>
          <w:trHeight w:val="1088" w:hRule="atLeast"/>
        </w:trPr>
        <w:tc>
          <w:tcPr>
            <w:shd w:val="clear" w:fill="B8CCE4"/>
            <w:tcW w:w="1214" w:type="dxa"/>
            <w:vAlign w:val="top"/>
            <w:tcBorders>
              <w:top w:val="single" w:color="4F81BD" w:sz="2" w:space="0"/>
            </w:tcBorders>
          </w:tcPr>
          <w:p>
            <w:pPr>
              <w:spacing w:line="370" w:lineRule="auto"/>
              <w:rPr>
                <w:rFonts w:ascii="Arial"/>
                <w:sz w:val="21"/>
              </w:rPr>
            </w:pPr>
            <w:r/>
          </w:p>
          <w:p>
            <w:pPr>
              <w:pStyle w:val="TableText"/>
              <w:ind w:left="236"/>
              <w:spacing w:before="86" w:line="179" w:lineRule="auto"/>
              <w:rPr/>
            </w:pPr>
            <w:r>
              <w:rPr>
                <w:spacing w:val="3"/>
              </w:rPr>
              <w:t>002721</w:t>
            </w:r>
          </w:p>
        </w:tc>
        <w:tc>
          <w:tcPr>
            <w:shd w:val="clear" w:fill="B8CCE4"/>
            <w:tcW w:w="1343" w:type="dxa"/>
            <w:vAlign w:val="top"/>
            <w:tcBorders>
              <w:top w:val="single" w:color="4F81BD" w:sz="2" w:space="0"/>
            </w:tcBorders>
          </w:tcPr>
          <w:p>
            <w:pPr>
              <w:spacing w:line="359" w:lineRule="auto"/>
              <w:rPr>
                <w:rFonts w:ascii="Arial"/>
                <w:sz w:val="21"/>
              </w:rPr>
            </w:pPr>
            <w:r/>
          </w:p>
          <w:p>
            <w:pPr>
              <w:pStyle w:val="TableText"/>
              <w:ind w:left="289"/>
              <w:spacing w:before="86" w:line="187" w:lineRule="auto"/>
              <w:rPr/>
            </w:pPr>
            <w:r>
              <w:rPr>
                <w:spacing w:val="8"/>
              </w:rPr>
              <w:t>*</w:t>
            </w:r>
            <w:r>
              <w:rPr/>
              <w:t>ST</w:t>
            </w:r>
            <w:r>
              <w:rPr>
                <w:spacing w:val="8"/>
              </w:rPr>
              <w:t>金一</w:t>
            </w:r>
          </w:p>
        </w:tc>
        <w:tc>
          <w:tcPr>
            <w:shd w:val="clear" w:fill="B8CCE4"/>
            <w:tcW w:w="5496" w:type="dxa"/>
            <w:vAlign w:val="top"/>
            <w:tcBorders>
              <w:top w:val="single" w:color="4F81BD" w:sz="2" w:space="0"/>
            </w:tcBorders>
          </w:tcPr>
          <w:p>
            <w:pPr>
              <w:pStyle w:val="TableText"/>
              <w:ind w:left="98" w:right="134" w:firstLine="15"/>
              <w:spacing w:before="48"/>
              <w:jc w:val="both"/>
              <w:rPr/>
            </w:pPr>
            <w:r>
              <w:rPr>
                <w:spacing w:val="6"/>
              </w:rPr>
              <w:t>因</w:t>
            </w:r>
            <w:r>
              <w:rPr>
                <w:b/>
                <w:bCs/>
                <w:spacing w:val="6"/>
              </w:rPr>
              <w:t>涉嫌信息披露违法违规 </w:t>
            </w:r>
            <w:r>
              <w:rPr>
                <w:spacing w:val="6"/>
              </w:rPr>
              <w:t>，根据《中华人民共和国证券法</w:t>
            </w:r>
            <w:r>
              <w:rPr>
                <w:spacing w:val="15"/>
              </w:rPr>
              <w:t xml:space="preserve"> </w:t>
            </w:r>
            <w:r>
              <w:rPr>
                <w:spacing w:val="7"/>
              </w:rPr>
              <w:t>》《中华人民共和国行政处罚法》等法律法规 ，中国证监</w:t>
            </w:r>
            <w:r>
              <w:rPr>
                <w:spacing w:val="4"/>
              </w:rPr>
              <w:t xml:space="preserve"> </w:t>
            </w:r>
            <w:r>
              <w:rPr>
                <w:spacing w:val="9"/>
              </w:rPr>
              <w:t>会决定对北京金一文化发展股份有限公司立案。</w:t>
            </w:r>
          </w:p>
        </w:tc>
      </w:tr>
      <w:tr>
        <w:trPr>
          <w:trHeight w:val="1443" w:hRule="atLeast"/>
        </w:trPr>
        <w:tc>
          <w:tcPr>
            <w:tcW w:w="1214" w:type="dxa"/>
            <w:vAlign w:val="top"/>
          </w:tcPr>
          <w:p>
            <w:pPr>
              <w:spacing w:line="274" w:lineRule="auto"/>
              <w:rPr>
                <w:rFonts w:ascii="Arial"/>
                <w:sz w:val="21"/>
              </w:rPr>
            </w:pPr>
            <w:r/>
          </w:p>
          <w:p>
            <w:pPr>
              <w:spacing w:line="274" w:lineRule="auto"/>
              <w:rPr>
                <w:rFonts w:ascii="Arial"/>
                <w:sz w:val="21"/>
              </w:rPr>
            </w:pPr>
            <w:r/>
          </w:p>
          <w:p>
            <w:pPr>
              <w:pStyle w:val="TableText"/>
              <w:ind w:left="239"/>
              <w:spacing w:before="85" w:line="179" w:lineRule="auto"/>
              <w:rPr/>
            </w:pPr>
            <w:r>
              <w:rPr>
                <w:spacing w:val="3"/>
              </w:rPr>
              <w:t>603421</w:t>
            </w:r>
          </w:p>
        </w:tc>
        <w:tc>
          <w:tcPr>
            <w:tcW w:w="1343" w:type="dxa"/>
            <w:vAlign w:val="top"/>
          </w:tcPr>
          <w:p>
            <w:pPr>
              <w:spacing w:line="267" w:lineRule="auto"/>
              <w:rPr>
                <w:rFonts w:ascii="Arial"/>
                <w:sz w:val="21"/>
              </w:rPr>
            </w:pPr>
            <w:r/>
          </w:p>
          <w:p>
            <w:pPr>
              <w:spacing w:line="268" w:lineRule="auto"/>
              <w:rPr>
                <w:rFonts w:ascii="Arial"/>
                <w:sz w:val="21"/>
              </w:rPr>
            </w:pPr>
            <w:r/>
          </w:p>
          <w:p>
            <w:pPr>
              <w:pStyle w:val="TableText"/>
              <w:ind w:left="243"/>
              <w:spacing w:before="85" w:line="189" w:lineRule="auto"/>
              <w:rPr/>
            </w:pPr>
            <w:r>
              <w:rPr>
                <w:spacing w:val="8"/>
              </w:rPr>
              <w:t>鼎信通讯</w:t>
            </w:r>
          </w:p>
        </w:tc>
        <w:tc>
          <w:tcPr>
            <w:tcW w:w="5496" w:type="dxa"/>
            <w:vAlign w:val="top"/>
          </w:tcPr>
          <w:p>
            <w:pPr>
              <w:pStyle w:val="TableText"/>
              <w:ind w:left="99" w:right="134" w:firstLine="14"/>
              <w:spacing w:before="83" w:line="236" w:lineRule="auto"/>
              <w:jc w:val="both"/>
              <w:rPr/>
            </w:pPr>
            <w:r>
              <w:rPr>
                <w:spacing w:val="9"/>
              </w:rPr>
              <w:t>因青岛鼎信通讯股份有限公司</w:t>
            </w:r>
            <w:r>
              <w:rPr>
                <w:b/>
                <w:bCs/>
                <w:spacing w:val="9"/>
              </w:rPr>
              <w:t>涉嫌未及时履行信息披露义</w:t>
            </w:r>
            <w:r>
              <w:rPr>
                <w:b/>
                <w:bCs/>
                <w:spacing w:val="5"/>
              </w:rPr>
              <w:t xml:space="preserve"> </w:t>
            </w:r>
            <w:r>
              <w:rPr>
                <w:b/>
                <w:bCs/>
                <w:spacing w:val="7"/>
              </w:rPr>
              <w:t>务 </w:t>
            </w:r>
            <w:r>
              <w:rPr>
                <w:spacing w:val="7"/>
              </w:rPr>
              <w:t>，根据《中华人民共和国证券法》《中华人民共和国行</w:t>
            </w:r>
            <w:r>
              <w:rPr>
                <w:spacing w:val="3"/>
              </w:rPr>
              <w:t xml:space="preserve"> </w:t>
            </w:r>
            <w:r>
              <w:rPr>
                <w:spacing w:val="7"/>
              </w:rPr>
              <w:t>政处罚法》等法律法规 ，中国证监会决定对青岛鼎信通讯</w:t>
            </w:r>
            <w:r>
              <w:rPr>
                <w:spacing w:val="4"/>
              </w:rPr>
              <w:t xml:space="preserve"> </w:t>
            </w:r>
            <w:r>
              <w:rPr>
                <w:spacing w:val="8"/>
              </w:rPr>
              <w:t>股份有限公司立案。</w:t>
            </w:r>
          </w:p>
        </w:tc>
      </w:tr>
      <w:tr>
        <w:trPr>
          <w:trHeight w:val="1083" w:hRule="atLeast"/>
        </w:trPr>
        <w:tc>
          <w:tcPr>
            <w:shd w:val="clear" w:fill="B8CCE4"/>
            <w:tcW w:w="1214" w:type="dxa"/>
            <w:vAlign w:val="top"/>
          </w:tcPr>
          <w:p>
            <w:pPr>
              <w:spacing w:line="372" w:lineRule="auto"/>
              <w:rPr>
                <w:rFonts w:ascii="Arial"/>
                <w:sz w:val="21"/>
              </w:rPr>
            </w:pPr>
            <w:r/>
          </w:p>
          <w:p>
            <w:pPr>
              <w:pStyle w:val="TableText"/>
              <w:ind w:left="236"/>
              <w:spacing w:before="86" w:line="179" w:lineRule="auto"/>
              <w:rPr/>
            </w:pPr>
            <w:r>
              <w:rPr>
                <w:spacing w:val="3"/>
              </w:rPr>
              <w:t>002751</w:t>
            </w:r>
          </w:p>
        </w:tc>
        <w:tc>
          <w:tcPr>
            <w:shd w:val="clear" w:fill="B8CCE4"/>
            <w:tcW w:w="1343" w:type="dxa"/>
            <w:vAlign w:val="top"/>
          </w:tcPr>
          <w:p>
            <w:pPr>
              <w:spacing w:line="361" w:lineRule="auto"/>
              <w:rPr>
                <w:rFonts w:ascii="Arial"/>
                <w:sz w:val="21"/>
              </w:rPr>
            </w:pPr>
            <w:r/>
          </w:p>
          <w:p>
            <w:pPr>
              <w:pStyle w:val="TableText"/>
              <w:ind w:left="347"/>
              <w:spacing w:before="85" w:line="188" w:lineRule="auto"/>
              <w:rPr/>
            </w:pPr>
            <w:r>
              <w:rPr>
                <w:spacing w:val="8"/>
              </w:rPr>
              <w:t>易尚退</w:t>
            </w:r>
          </w:p>
        </w:tc>
        <w:tc>
          <w:tcPr>
            <w:shd w:val="clear" w:fill="B8CCE4"/>
            <w:tcW w:w="5496" w:type="dxa"/>
            <w:vAlign w:val="top"/>
          </w:tcPr>
          <w:p>
            <w:pPr>
              <w:pStyle w:val="TableText"/>
              <w:ind w:left="98" w:right="134" w:firstLine="15"/>
              <w:spacing w:before="47" w:line="239" w:lineRule="auto"/>
              <w:jc w:val="both"/>
              <w:rPr/>
            </w:pPr>
            <w:r>
              <w:rPr>
                <w:spacing w:val="6"/>
              </w:rPr>
              <w:t>因</w:t>
            </w:r>
            <w:r>
              <w:rPr>
                <w:b/>
                <w:bCs/>
                <w:spacing w:val="6"/>
              </w:rPr>
              <w:t>涉嫌信息披露违法违规 </w:t>
            </w:r>
            <w:r>
              <w:rPr>
                <w:spacing w:val="6"/>
              </w:rPr>
              <w:t>，根据《中华人民共和国证券法</w:t>
            </w:r>
            <w:r>
              <w:rPr>
                <w:spacing w:val="15"/>
              </w:rPr>
              <w:t xml:space="preserve"> </w:t>
            </w:r>
            <w:r>
              <w:rPr>
                <w:spacing w:val="7"/>
              </w:rPr>
              <w:t>》《中华人民共和国行政处罚法》等法律法规 ，中国证监</w:t>
            </w:r>
            <w:r>
              <w:rPr>
                <w:spacing w:val="4"/>
              </w:rPr>
              <w:t xml:space="preserve"> </w:t>
            </w:r>
            <w:r>
              <w:rPr>
                <w:spacing w:val="8"/>
              </w:rPr>
              <w:t>会决定对公司立案。</w:t>
            </w:r>
          </w:p>
        </w:tc>
      </w:tr>
      <w:tr>
        <w:trPr>
          <w:trHeight w:val="1082" w:hRule="atLeast"/>
        </w:trPr>
        <w:tc>
          <w:tcPr>
            <w:tcW w:w="1214" w:type="dxa"/>
            <w:vAlign w:val="top"/>
          </w:tcPr>
          <w:p>
            <w:pPr>
              <w:spacing w:line="374" w:lineRule="auto"/>
              <w:rPr>
                <w:rFonts w:ascii="Arial"/>
                <w:sz w:val="21"/>
              </w:rPr>
            </w:pPr>
            <w:r/>
          </w:p>
          <w:p>
            <w:pPr>
              <w:pStyle w:val="TableText"/>
              <w:ind w:left="239"/>
              <w:spacing w:before="85" w:line="179" w:lineRule="auto"/>
              <w:rPr/>
            </w:pPr>
            <w:r>
              <w:rPr>
                <w:spacing w:val="3"/>
              </w:rPr>
              <w:t>603716</w:t>
            </w:r>
          </w:p>
        </w:tc>
        <w:tc>
          <w:tcPr>
            <w:tcW w:w="1343" w:type="dxa"/>
            <w:vAlign w:val="top"/>
          </w:tcPr>
          <w:p>
            <w:pPr>
              <w:spacing w:line="360" w:lineRule="auto"/>
              <w:rPr>
                <w:rFonts w:ascii="Arial"/>
                <w:sz w:val="21"/>
              </w:rPr>
            </w:pPr>
            <w:r/>
          </w:p>
          <w:p>
            <w:pPr>
              <w:pStyle w:val="TableText"/>
              <w:ind w:left="243"/>
              <w:spacing w:before="86" w:line="189" w:lineRule="auto"/>
              <w:rPr/>
            </w:pPr>
            <w:r>
              <w:rPr>
                <w:spacing w:val="8"/>
              </w:rPr>
              <w:t>塞力医疗</w:t>
            </w:r>
          </w:p>
        </w:tc>
        <w:tc>
          <w:tcPr>
            <w:tcW w:w="5496" w:type="dxa"/>
            <w:vAlign w:val="top"/>
          </w:tcPr>
          <w:p>
            <w:pPr>
              <w:pStyle w:val="TableText"/>
              <w:ind w:left="100" w:right="134" w:firstLine="14"/>
              <w:spacing w:before="51" w:line="238" w:lineRule="auto"/>
              <w:jc w:val="both"/>
              <w:rPr/>
            </w:pPr>
            <w:r>
              <w:rPr>
                <w:spacing w:val="6"/>
              </w:rPr>
              <w:t>因公司</w:t>
            </w:r>
            <w:r>
              <w:rPr>
                <w:b/>
                <w:bCs/>
                <w:spacing w:val="6"/>
              </w:rPr>
              <w:t>涉嫌信息披露违法违规 </w:t>
            </w:r>
            <w:r>
              <w:rPr>
                <w:spacing w:val="6"/>
              </w:rPr>
              <w:t>，根据《中华人民共和国证</w:t>
            </w:r>
            <w:r>
              <w:rPr>
                <w:spacing w:val="15"/>
              </w:rPr>
              <w:t xml:space="preserve"> </w:t>
            </w:r>
            <w:r>
              <w:rPr>
                <w:spacing w:val="7"/>
              </w:rPr>
              <w:t>券法》《中华人民共和国行政处罚法》等法律法规 ，中国</w:t>
            </w:r>
            <w:r>
              <w:rPr>
                <w:spacing w:val="3"/>
              </w:rPr>
              <w:t xml:space="preserve"> </w:t>
            </w:r>
            <w:r>
              <w:rPr>
                <w:spacing w:val="8"/>
              </w:rPr>
              <w:t>证监会决定对公司立案。</w:t>
            </w:r>
          </w:p>
        </w:tc>
      </w:tr>
      <w:tr>
        <w:trPr>
          <w:trHeight w:val="1093" w:hRule="atLeast"/>
        </w:trPr>
        <w:tc>
          <w:tcPr>
            <w:shd w:val="clear" w:fill="B8CCE4"/>
            <w:tcW w:w="1214" w:type="dxa"/>
            <w:vAlign w:val="top"/>
          </w:tcPr>
          <w:p>
            <w:pPr>
              <w:spacing w:line="380" w:lineRule="auto"/>
              <w:rPr>
                <w:rFonts w:ascii="Arial"/>
                <w:sz w:val="21"/>
              </w:rPr>
            </w:pPr>
            <w:r/>
          </w:p>
          <w:p>
            <w:pPr>
              <w:pStyle w:val="TableText"/>
              <w:ind w:left="236"/>
              <w:spacing w:before="85" w:line="178" w:lineRule="auto"/>
              <w:rPr/>
            </w:pPr>
            <w:r>
              <w:rPr>
                <w:spacing w:val="3"/>
              </w:rPr>
              <w:t>002629</w:t>
            </w:r>
          </w:p>
        </w:tc>
        <w:tc>
          <w:tcPr>
            <w:shd w:val="clear" w:fill="B8CCE4"/>
            <w:tcW w:w="1343" w:type="dxa"/>
            <w:vAlign w:val="top"/>
          </w:tcPr>
          <w:p>
            <w:pPr>
              <w:spacing w:line="365" w:lineRule="auto"/>
              <w:rPr>
                <w:rFonts w:ascii="Arial"/>
                <w:sz w:val="21"/>
              </w:rPr>
            </w:pPr>
            <w:r/>
          </w:p>
          <w:p>
            <w:pPr>
              <w:pStyle w:val="TableText"/>
              <w:ind w:left="243"/>
              <w:spacing w:before="86" w:line="189" w:lineRule="auto"/>
              <w:rPr/>
            </w:pPr>
            <w:r>
              <w:rPr>
                <w:spacing w:val="8"/>
              </w:rPr>
              <w:t>仁智股份</w:t>
            </w:r>
          </w:p>
        </w:tc>
        <w:tc>
          <w:tcPr>
            <w:shd w:val="clear" w:fill="B8CCE4"/>
            <w:tcW w:w="5496" w:type="dxa"/>
            <w:vAlign w:val="top"/>
          </w:tcPr>
          <w:p>
            <w:pPr>
              <w:pStyle w:val="TableText"/>
              <w:ind w:left="100" w:right="134" w:firstLine="14"/>
              <w:spacing w:before="53"/>
              <w:jc w:val="both"/>
              <w:rPr/>
            </w:pPr>
            <w:r>
              <w:rPr>
                <w:spacing w:val="6"/>
              </w:rPr>
              <w:t>因公司</w:t>
            </w:r>
            <w:r>
              <w:rPr>
                <w:b/>
                <w:bCs/>
                <w:spacing w:val="6"/>
              </w:rPr>
              <w:t>涉嫌信息披露违法违规 </w:t>
            </w:r>
            <w:r>
              <w:rPr>
                <w:spacing w:val="6"/>
              </w:rPr>
              <w:t>，根据《中华人民共和国证</w:t>
            </w:r>
            <w:r>
              <w:rPr>
                <w:spacing w:val="15"/>
              </w:rPr>
              <w:t xml:space="preserve"> </w:t>
            </w:r>
            <w:r>
              <w:rPr>
                <w:spacing w:val="7"/>
              </w:rPr>
              <w:t>券法》《中华人民共和国行政处罚法》等法律法规 ，中国</w:t>
            </w:r>
            <w:r>
              <w:rPr>
                <w:spacing w:val="3"/>
              </w:rPr>
              <w:t xml:space="preserve"> </w:t>
            </w:r>
            <w:r>
              <w:rPr>
                <w:spacing w:val="8"/>
              </w:rPr>
              <w:t>证监会决定对公司立案。</w:t>
            </w:r>
          </w:p>
        </w:tc>
      </w:tr>
    </w:tbl>
    <w:p>
      <w:pPr>
        <w:pStyle w:val="BodyText"/>
        <w:rPr/>
      </w:pPr>
      <w:r/>
    </w:p>
    <w:p>
      <w:pPr>
        <w:sectPr>
          <w:pgSz w:w="11910" w:h="16840"/>
          <w:pgMar w:top="400" w:right="1786" w:bottom="400" w:left="833"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2"/>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937"/>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1、上市公司监管动态</w:t>
      </w:r>
    </w:p>
    <w:p>
      <w:pPr>
        <w:ind w:left="424" w:firstLine="480"/>
        <w:spacing w:before="1"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7"/>
        </w:rPr>
        <w:t>2024年3月25日-3月31日</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7"/>
        </w:rPr>
        <w:t>，上交所公司监管部门作出1份监管警示函</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7"/>
        </w:rPr>
        <w:t>，对3宗行为予以纪律处</w:t>
      </w:r>
      <w:r>
        <w:rPr>
          <w:rFonts w:ascii="Microsoft YaHei" w:hAnsi="Microsoft YaHei" w:eastAsia="Microsoft YaHei" w:cs="Microsoft YaHei"/>
          <w:sz w:val="24"/>
          <w:szCs w:val="24"/>
          <w:spacing w:val="-8"/>
        </w:rPr>
        <w:t>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8"/>
        </w:rPr>
        <w:t>同时 ，加大信息披露和股价异常的联动监管</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8"/>
        </w:rPr>
        <w:t>，针对公司披露敏感信息或股价发生明显异常的</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8"/>
        </w:rPr>
        <w:t>，提请启</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动内幕交易、异常交易核查15单。</w:t>
      </w:r>
    </w:p>
    <w:p>
      <w:pPr>
        <w:ind w:firstLine="1606"/>
        <w:spacing w:before="90" w:line="3448" w:lineRule="exact"/>
        <w:rPr/>
      </w:pPr>
      <w:r>
        <w:rPr>
          <w:position w:val="-68"/>
        </w:rPr>
        <w:drawing>
          <wp:inline distT="0" distB="0" distL="0" distR="0">
            <wp:extent cx="5039994" cy="2189480"/>
            <wp:effectExtent l="0" t="0" r="0" b="0"/>
            <wp:docPr id="16" name="IM 16"/>
            <wp:cNvGraphicFramePr/>
            <a:graphic>
              <a:graphicData uri="http://schemas.openxmlformats.org/drawingml/2006/picture">
                <pic:pic>
                  <pic:nvPicPr>
                    <pic:cNvPr id="16" name="IM 16"/>
                    <pic:cNvPicPr/>
                  </pic:nvPicPr>
                  <pic:blipFill>
                    <a:blip r:embed="rId13"/>
                    <a:stretch>
                      <a:fillRect/>
                    </a:stretch>
                  </pic:blipFill>
                  <pic:spPr>
                    <a:xfrm rot="0">
                      <a:off x="0" y="0"/>
                      <a:ext cx="5039994" cy="2189480"/>
                    </a:xfrm>
                    <a:prstGeom prst="rect">
                      <a:avLst/>
                    </a:prstGeom>
                  </pic:spPr>
                </pic:pic>
              </a:graphicData>
            </a:graphic>
          </wp:inline>
        </w:drawing>
      </w:r>
    </w:p>
    <w:p>
      <w:pPr>
        <w:ind w:left="370"/>
        <w:spacing w:before="3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4"/>
        </w:rPr>
        <w:t>（</w:t>
      </w:r>
      <w:r>
        <w:rPr>
          <w:rFonts w:ascii="Microsoft YaHei" w:hAnsi="Microsoft YaHei" w:eastAsia="Microsoft YaHei" w:cs="Microsoft YaHei"/>
          <w:sz w:val="24"/>
          <w:szCs w:val="24"/>
          <w:b/>
          <w:bCs/>
          <w:color w:val="333333"/>
          <w:spacing w:val="32"/>
        </w:rPr>
        <w:t xml:space="preserve">  </w:t>
      </w:r>
      <w:r>
        <w:rPr>
          <w:rFonts w:ascii="Microsoft YaHei" w:hAnsi="Microsoft YaHei" w:eastAsia="Microsoft YaHei" w:cs="Microsoft YaHei"/>
          <w:sz w:val="24"/>
          <w:szCs w:val="24"/>
          <w:b/>
          <w:bCs/>
          <w:color w:val="333333"/>
          <w:spacing w:val="-14"/>
        </w:rPr>
        <w:t>1</w:t>
      </w:r>
      <w:r>
        <w:rPr>
          <w:rFonts w:ascii="Microsoft YaHei" w:hAnsi="Microsoft YaHei" w:eastAsia="Microsoft YaHei" w:cs="Microsoft YaHei"/>
          <w:sz w:val="24"/>
          <w:szCs w:val="24"/>
          <w:b/>
          <w:bCs/>
          <w:color w:val="333333"/>
          <w:spacing w:val="19"/>
        </w:rPr>
        <w:t xml:space="preserve">  </w:t>
      </w:r>
      <w:r>
        <w:rPr>
          <w:rFonts w:ascii="Microsoft YaHei" w:hAnsi="Microsoft YaHei" w:eastAsia="Microsoft YaHei" w:cs="Microsoft YaHei"/>
          <w:sz w:val="24"/>
          <w:szCs w:val="24"/>
          <w:b/>
          <w:bCs/>
          <w:color w:val="333333"/>
          <w:spacing w:val="-14"/>
        </w:rPr>
        <w:t>）监管措施统计</w:t>
      </w:r>
    </w:p>
    <w:p>
      <w:pPr>
        <w:spacing w:before="2"/>
        <w:rPr/>
      </w:pPr>
      <w:r/>
    </w:p>
    <w:tbl>
      <w:tblPr>
        <w:tblStyle w:val="TableNormal"/>
        <w:tblW w:w="8819" w:type="dxa"/>
        <w:tblInd w:w="1081"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8" w:hRule="atLeast"/>
        </w:trPr>
        <w:tc>
          <w:tcPr>
            <w:shd w:val="clear" w:fill="C0504D"/>
            <w:tcW w:w="1276" w:type="dxa"/>
            <w:vAlign w:val="top"/>
            <w:tcBorders>
              <w:bottom w:val="single" w:color="C0504D" w:sz="10" w:space="0"/>
            </w:tcBorders>
          </w:tcPr>
          <w:p>
            <w:pPr>
              <w:pStyle w:val="TableText"/>
              <w:ind w:left="213"/>
              <w:spacing w:before="91"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80"/>
              <w:spacing w:before="91" w:line="189" w:lineRule="auto"/>
              <w:rPr/>
            </w:pPr>
            <w:r>
              <w:rPr>
                <w:b/>
                <w:bCs/>
                <w:color w:val="FFFFFF"/>
                <w:spacing w:val="8"/>
              </w:rPr>
              <w:t>公司简称</w:t>
            </w:r>
          </w:p>
        </w:tc>
        <w:tc>
          <w:tcPr>
            <w:shd w:val="clear" w:fill="C0504D"/>
            <w:tcW w:w="1324" w:type="dxa"/>
            <w:vAlign w:val="top"/>
            <w:tcBorders>
              <w:bottom w:val="single" w:color="C0504D" w:sz="10" w:space="0"/>
            </w:tcBorders>
          </w:tcPr>
          <w:p>
            <w:pPr>
              <w:pStyle w:val="TableText"/>
              <w:ind w:left="247"/>
              <w:spacing w:before="93" w:line="188" w:lineRule="auto"/>
              <w:rPr/>
            </w:pPr>
            <w:r>
              <w:rPr>
                <w:b/>
                <w:bCs/>
                <w:color w:val="FFFFFF"/>
                <w:spacing w:val="5"/>
              </w:rPr>
              <w:t>函件类别</w:t>
            </w:r>
          </w:p>
        </w:tc>
        <w:tc>
          <w:tcPr>
            <w:shd w:val="clear" w:fill="C0504D"/>
            <w:tcW w:w="5004" w:type="dxa"/>
            <w:vAlign w:val="top"/>
            <w:tcBorders>
              <w:bottom w:val="single" w:color="C0504D" w:sz="10" w:space="0"/>
            </w:tcBorders>
          </w:tcPr>
          <w:p>
            <w:pPr>
              <w:pStyle w:val="TableText"/>
              <w:ind w:left="2075"/>
              <w:spacing w:before="91" w:line="189" w:lineRule="auto"/>
              <w:rPr/>
            </w:pPr>
            <w:r>
              <w:rPr>
                <w:b/>
                <w:bCs/>
                <w:color w:val="FFFFFF"/>
                <w:spacing w:val="8"/>
              </w:rPr>
              <w:t>违规类型</w:t>
            </w:r>
          </w:p>
        </w:tc>
      </w:tr>
      <w:tr>
        <w:trPr>
          <w:trHeight w:val="1078" w:hRule="atLeast"/>
        </w:trPr>
        <w:tc>
          <w:tcPr>
            <w:tcW w:w="1276" w:type="dxa"/>
            <w:vAlign w:val="top"/>
            <w:tcBorders>
              <w:top w:val="single" w:color="C0504D" w:sz="10" w:space="0"/>
            </w:tcBorders>
          </w:tcPr>
          <w:p>
            <w:pPr>
              <w:pStyle w:val="TableText"/>
              <w:ind w:left="271"/>
              <w:spacing w:before="92" w:line="178" w:lineRule="auto"/>
              <w:rPr/>
            </w:pPr>
            <w:r>
              <w:rPr>
                <w:spacing w:val="3"/>
              </w:rPr>
              <w:t>603363</w:t>
            </w:r>
          </w:p>
        </w:tc>
        <w:tc>
          <w:tcPr>
            <w:tcW w:w="1215" w:type="dxa"/>
            <w:vAlign w:val="top"/>
            <w:tcBorders>
              <w:top w:val="single" w:color="C0504D" w:sz="10" w:space="0"/>
            </w:tcBorders>
          </w:tcPr>
          <w:p>
            <w:pPr>
              <w:pStyle w:val="TableText"/>
              <w:ind w:left="177"/>
              <w:spacing w:before="77" w:line="189" w:lineRule="auto"/>
              <w:rPr/>
            </w:pPr>
            <w:r>
              <w:rPr>
                <w:spacing w:val="9"/>
              </w:rPr>
              <w:t>傲农生物</w:t>
            </w:r>
          </w:p>
        </w:tc>
        <w:tc>
          <w:tcPr>
            <w:tcW w:w="1324" w:type="dxa"/>
            <w:vAlign w:val="top"/>
            <w:tcBorders>
              <w:top w:val="single" w:color="C0504D" w:sz="10" w:space="0"/>
            </w:tcBorders>
          </w:tcPr>
          <w:p>
            <w:pPr>
              <w:pStyle w:val="TableText"/>
              <w:ind w:left="237"/>
              <w:spacing w:before="77" w:line="189" w:lineRule="auto"/>
              <w:rPr/>
            </w:pPr>
            <w:r>
              <w:rPr>
                <w:spacing w:val="8"/>
              </w:rPr>
              <w:t>监管警示</w:t>
            </w:r>
          </w:p>
        </w:tc>
        <w:tc>
          <w:tcPr>
            <w:tcW w:w="5004" w:type="dxa"/>
            <w:vAlign w:val="top"/>
            <w:tcBorders>
              <w:top w:val="single" w:color="C0504D" w:sz="10" w:space="0"/>
            </w:tcBorders>
          </w:tcPr>
          <w:p>
            <w:pPr>
              <w:pStyle w:val="TableText"/>
              <w:ind w:left="4" w:right="110"/>
              <w:spacing w:before="77" w:line="231" w:lineRule="auto"/>
              <w:rPr/>
            </w:pPr>
            <w:r>
              <w:rPr>
                <w:b/>
                <w:bCs/>
                <w:spacing w:val="9"/>
              </w:rPr>
              <w:t>诉讼、仲裁</w:t>
            </w:r>
            <w:r>
              <w:rPr>
                <w:spacing w:val="9"/>
              </w:rPr>
              <w:t>事项披露不及时；</w:t>
            </w:r>
            <w:r>
              <w:rPr>
                <w:b/>
                <w:bCs/>
                <w:spacing w:val="9"/>
              </w:rPr>
              <w:t>债务逾期</w:t>
            </w:r>
            <w:r>
              <w:rPr>
                <w:spacing w:val="9"/>
              </w:rPr>
              <w:t>披露不及时； </w:t>
            </w:r>
            <w:r>
              <w:rPr>
                <w:b/>
                <w:bCs/>
                <w:spacing w:val="9"/>
              </w:rPr>
              <w:t>被动形成对外担保</w:t>
            </w:r>
            <w:r>
              <w:rPr>
                <w:spacing w:val="9"/>
              </w:rPr>
              <w:t>披露不及时;控股股东、实际控制人 </w:t>
            </w:r>
            <w:r>
              <w:rPr>
                <w:spacing w:val="9"/>
              </w:rPr>
              <w:t>及其一致行动人</w:t>
            </w:r>
            <w:r>
              <w:rPr>
                <w:b/>
                <w:bCs/>
                <w:spacing w:val="9"/>
              </w:rPr>
              <w:t>股份质押</w:t>
            </w:r>
            <w:r>
              <w:rPr>
                <w:spacing w:val="9"/>
              </w:rPr>
              <w:t>披露不及时。</w:t>
            </w:r>
          </w:p>
        </w:tc>
      </w:tr>
      <w:tr>
        <w:trPr>
          <w:trHeight w:val="1082" w:hRule="atLeast"/>
        </w:trPr>
        <w:tc>
          <w:tcPr>
            <w:shd w:val="clear" w:fill="F2DCDC"/>
            <w:tcW w:w="1276" w:type="dxa"/>
            <w:vAlign w:val="top"/>
          </w:tcPr>
          <w:p>
            <w:pPr>
              <w:pStyle w:val="TableText"/>
              <w:ind w:left="271"/>
              <w:spacing w:before="101" w:line="178" w:lineRule="auto"/>
              <w:rPr/>
            </w:pPr>
            <w:r>
              <w:rPr>
                <w:spacing w:val="3"/>
              </w:rPr>
              <w:t>600609</w:t>
            </w:r>
          </w:p>
        </w:tc>
        <w:tc>
          <w:tcPr>
            <w:shd w:val="clear" w:fill="F2DCDC"/>
            <w:tcW w:w="1215" w:type="dxa"/>
            <w:vAlign w:val="top"/>
          </w:tcPr>
          <w:p>
            <w:pPr>
              <w:pStyle w:val="TableText"/>
              <w:ind w:left="178"/>
              <w:spacing w:before="86" w:line="189" w:lineRule="auto"/>
              <w:rPr/>
            </w:pPr>
            <w:r>
              <w:rPr>
                <w:spacing w:val="9"/>
              </w:rPr>
              <w:t>金杯汽车</w:t>
            </w:r>
          </w:p>
        </w:tc>
        <w:tc>
          <w:tcPr>
            <w:shd w:val="clear" w:fill="F2DCDC"/>
            <w:tcW w:w="1324" w:type="dxa"/>
            <w:vAlign w:val="top"/>
          </w:tcPr>
          <w:p>
            <w:pPr>
              <w:pStyle w:val="TableText"/>
              <w:ind w:left="235"/>
              <w:spacing w:before="87" w:line="188" w:lineRule="auto"/>
              <w:rPr/>
            </w:pPr>
            <w:r>
              <w:rPr>
                <w:spacing w:val="8"/>
              </w:rPr>
              <w:t>通报批评</w:t>
            </w:r>
          </w:p>
        </w:tc>
        <w:tc>
          <w:tcPr>
            <w:shd w:val="clear" w:fill="F2DCDC"/>
            <w:tcW w:w="5004" w:type="dxa"/>
            <w:vAlign w:val="top"/>
          </w:tcPr>
          <w:p>
            <w:pPr>
              <w:pStyle w:val="TableText"/>
              <w:ind w:left="3" w:right="158"/>
              <w:spacing w:before="85" w:line="230" w:lineRule="auto"/>
              <w:jc w:val="both"/>
              <w:rPr/>
            </w:pPr>
            <w:r>
              <w:rPr>
                <w:spacing w:val="7"/>
              </w:rPr>
              <w:t>公司</w:t>
            </w:r>
            <w:r>
              <w:rPr>
                <w:b/>
                <w:bCs/>
                <w:spacing w:val="7"/>
              </w:rPr>
              <w:t>对外提供担保 </w:t>
            </w:r>
            <w:r>
              <w:rPr>
                <w:spacing w:val="7"/>
              </w:rPr>
              <w:t>，未在实际签订合同时及时</w:t>
            </w:r>
            <w:r>
              <w:rPr>
                <w:spacing w:val="6"/>
              </w:rPr>
              <w:t>履行信</w:t>
            </w:r>
            <w:r>
              <w:rPr/>
              <w:t xml:space="preserve"> </w:t>
            </w:r>
            <w:r>
              <w:rPr>
                <w:spacing w:val="7"/>
              </w:rPr>
              <w:t>息披露义务 ，且在保证期间超出前期授权期限后</w:t>
            </w:r>
            <w:r>
              <w:rPr>
                <w:spacing w:val="6"/>
              </w:rPr>
              <w:t>未履</w:t>
            </w:r>
            <w:r>
              <w:rPr/>
              <w:t xml:space="preserve"> </w:t>
            </w:r>
            <w:r>
              <w:rPr>
                <w:spacing w:val="8"/>
              </w:rPr>
              <w:t>行相应决策程序。</w:t>
            </w:r>
          </w:p>
        </w:tc>
      </w:tr>
      <w:tr>
        <w:trPr>
          <w:trHeight w:val="1081" w:hRule="atLeast"/>
        </w:trPr>
        <w:tc>
          <w:tcPr>
            <w:tcW w:w="1276" w:type="dxa"/>
            <w:vAlign w:val="top"/>
          </w:tcPr>
          <w:p>
            <w:pPr>
              <w:pStyle w:val="TableText"/>
              <w:ind w:left="271"/>
              <w:spacing w:before="103" w:line="178" w:lineRule="auto"/>
              <w:rPr/>
            </w:pPr>
            <w:r>
              <w:rPr>
                <w:spacing w:val="3"/>
              </w:rPr>
              <w:t>600734</w:t>
            </w:r>
          </w:p>
        </w:tc>
        <w:tc>
          <w:tcPr>
            <w:tcW w:w="1215" w:type="dxa"/>
            <w:vAlign w:val="top"/>
          </w:tcPr>
          <w:p>
            <w:pPr>
              <w:pStyle w:val="TableText"/>
              <w:ind w:left="278"/>
              <w:spacing w:before="88" w:line="189" w:lineRule="auto"/>
              <w:rPr/>
            </w:pPr>
            <w:r>
              <w:rPr/>
              <w:t>ST</w:t>
            </w:r>
            <w:r>
              <w:rPr>
                <w:spacing w:val="8"/>
              </w:rPr>
              <w:t>实达</w:t>
            </w:r>
          </w:p>
        </w:tc>
        <w:tc>
          <w:tcPr>
            <w:tcW w:w="1324" w:type="dxa"/>
            <w:vAlign w:val="top"/>
          </w:tcPr>
          <w:p>
            <w:pPr>
              <w:pStyle w:val="TableText"/>
              <w:ind w:left="235"/>
              <w:spacing w:before="91" w:line="187" w:lineRule="auto"/>
              <w:rPr/>
            </w:pPr>
            <w:r>
              <w:rPr>
                <w:spacing w:val="8"/>
              </w:rPr>
              <w:t>公开谴责</w:t>
            </w:r>
          </w:p>
        </w:tc>
        <w:tc>
          <w:tcPr>
            <w:tcW w:w="5004" w:type="dxa"/>
            <w:vAlign w:val="top"/>
          </w:tcPr>
          <w:p>
            <w:pPr>
              <w:pStyle w:val="TableText"/>
              <w:ind w:left="4" w:right="86"/>
              <w:spacing w:before="88" w:line="229" w:lineRule="auto"/>
              <w:jc w:val="both"/>
              <w:rPr/>
            </w:pPr>
            <w:r>
              <w:rPr>
                <w:spacing w:val="9"/>
              </w:rPr>
              <w:t>未按规定披露</w:t>
            </w:r>
            <w:r>
              <w:rPr>
                <w:b/>
                <w:bCs/>
                <w:spacing w:val="9"/>
              </w:rPr>
              <w:t>重要合同订立</w:t>
            </w:r>
            <w:r>
              <w:rPr>
                <w:spacing w:val="9"/>
              </w:rPr>
              <w:t>事项；2020年审计报告保</w:t>
            </w:r>
            <w:r>
              <w:rPr>
                <w:spacing w:val="3"/>
              </w:rPr>
              <w:t xml:space="preserve"> </w:t>
            </w:r>
            <w:r>
              <w:rPr>
                <w:spacing w:val="9"/>
              </w:rPr>
              <w:t>留意见所涉及事项影响已消除的临时报告存在</w:t>
            </w:r>
            <w:r>
              <w:rPr>
                <w:b/>
                <w:bCs/>
                <w:spacing w:val="9"/>
              </w:rPr>
              <w:t>虚假记</w:t>
            </w:r>
            <w:r>
              <w:rPr>
                <w:b/>
                <w:bCs/>
                <w:spacing w:val="8"/>
              </w:rPr>
              <w:t xml:space="preserve">  </w:t>
            </w:r>
            <w:r>
              <w:rPr>
                <w:b/>
                <w:bCs/>
                <w:spacing w:val="2"/>
              </w:rPr>
              <w:t>载。</w:t>
            </w:r>
          </w:p>
        </w:tc>
      </w:tr>
      <w:tr>
        <w:trPr>
          <w:trHeight w:val="733" w:hRule="atLeast"/>
        </w:trPr>
        <w:tc>
          <w:tcPr>
            <w:shd w:val="clear" w:fill="F2DCDC"/>
            <w:tcW w:w="1276" w:type="dxa"/>
            <w:vAlign w:val="top"/>
          </w:tcPr>
          <w:p>
            <w:pPr>
              <w:pStyle w:val="TableText"/>
              <w:ind w:left="271"/>
              <w:spacing w:before="107" w:line="179" w:lineRule="auto"/>
              <w:rPr/>
            </w:pPr>
            <w:r>
              <w:rPr>
                <w:spacing w:val="3"/>
              </w:rPr>
              <w:t>600152</w:t>
            </w:r>
          </w:p>
        </w:tc>
        <w:tc>
          <w:tcPr>
            <w:shd w:val="clear" w:fill="F2DCDC"/>
            <w:tcW w:w="1215" w:type="dxa"/>
            <w:vAlign w:val="top"/>
          </w:tcPr>
          <w:p>
            <w:pPr>
              <w:pStyle w:val="TableText"/>
              <w:ind w:left="179"/>
              <w:spacing w:before="94" w:line="189" w:lineRule="auto"/>
              <w:rPr/>
            </w:pPr>
            <w:r>
              <w:rPr>
                <w:spacing w:val="8"/>
              </w:rPr>
              <w:t>维科技术</w:t>
            </w:r>
          </w:p>
        </w:tc>
        <w:tc>
          <w:tcPr>
            <w:shd w:val="clear" w:fill="F2DCDC"/>
            <w:tcW w:w="1324" w:type="dxa"/>
            <w:vAlign w:val="top"/>
          </w:tcPr>
          <w:p>
            <w:pPr>
              <w:pStyle w:val="TableText"/>
              <w:ind w:left="235"/>
              <w:spacing w:before="95" w:line="188" w:lineRule="auto"/>
              <w:rPr/>
            </w:pPr>
            <w:r>
              <w:rPr>
                <w:spacing w:val="8"/>
              </w:rPr>
              <w:t>通报批评</w:t>
            </w:r>
          </w:p>
        </w:tc>
        <w:tc>
          <w:tcPr>
            <w:shd w:val="clear" w:fill="F2DCDC"/>
            <w:tcW w:w="5004" w:type="dxa"/>
            <w:vAlign w:val="top"/>
          </w:tcPr>
          <w:p>
            <w:pPr>
              <w:pStyle w:val="TableText"/>
              <w:ind w:left="3" w:right="158"/>
              <w:spacing w:before="91" w:line="221" w:lineRule="auto"/>
              <w:rPr/>
            </w:pPr>
            <w:r>
              <w:rPr>
                <w:spacing w:val="9"/>
              </w:rPr>
              <w:t>公司</w:t>
            </w:r>
            <w:r>
              <w:rPr>
                <w:b/>
                <w:bCs/>
                <w:spacing w:val="9"/>
              </w:rPr>
              <w:t>重大交易</w:t>
            </w:r>
            <w:r>
              <w:rPr>
                <w:spacing w:val="9"/>
              </w:rPr>
              <w:t>未按规定履行相应审议程序和信息披露</w:t>
            </w:r>
            <w:r>
              <w:rPr>
                <w:spacing w:val="18"/>
              </w:rPr>
              <w:t xml:space="preserve"> </w:t>
            </w:r>
            <w:r>
              <w:rPr>
                <w:spacing w:val="4"/>
              </w:rPr>
              <w:t>义务。</w:t>
            </w:r>
          </w:p>
        </w:tc>
      </w:tr>
    </w:tbl>
    <w:p>
      <w:pPr>
        <w:pStyle w:val="BodyText"/>
        <w:spacing w:line="271" w:lineRule="auto"/>
        <w:rPr/>
      </w:pPr>
      <w:r/>
    </w:p>
    <w:p>
      <w:pPr>
        <w:pStyle w:val="BodyText"/>
        <w:spacing w:line="271" w:lineRule="auto"/>
        <w:rPr/>
      </w:pPr>
      <w:r/>
    </w:p>
    <w:p>
      <w:pPr>
        <w:pStyle w:val="BodyText"/>
        <w:spacing w:line="272" w:lineRule="auto"/>
        <w:rPr/>
      </w:pPr>
      <w:r/>
    </w:p>
    <w:p>
      <w:pPr>
        <w:pStyle w:val="BodyText"/>
        <w:spacing w:line="272" w:lineRule="auto"/>
        <w:rPr/>
      </w:pPr>
      <w:r/>
    </w:p>
    <w:p>
      <w:pPr>
        <w:ind w:left="370"/>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6"/>
        </w:rPr>
        <w:t>（</w:t>
      </w:r>
      <w:r>
        <w:rPr>
          <w:rFonts w:ascii="Microsoft YaHei" w:hAnsi="Microsoft YaHei" w:eastAsia="Microsoft YaHei" w:cs="Microsoft YaHei"/>
          <w:sz w:val="24"/>
          <w:szCs w:val="24"/>
          <w:b/>
          <w:bCs/>
          <w:color w:val="333333"/>
          <w:spacing w:val="25"/>
        </w:rPr>
        <w:t xml:space="preserve">  </w:t>
      </w:r>
      <w:r>
        <w:rPr>
          <w:rFonts w:ascii="Microsoft YaHei" w:hAnsi="Microsoft YaHei" w:eastAsia="Microsoft YaHei" w:cs="Microsoft YaHei"/>
          <w:sz w:val="24"/>
          <w:szCs w:val="24"/>
          <w:b/>
          <w:bCs/>
          <w:color w:val="333333"/>
          <w:spacing w:val="-16"/>
        </w:rPr>
        <w:t>2</w:t>
      </w:r>
      <w:r>
        <w:rPr>
          <w:rFonts w:ascii="Microsoft YaHei" w:hAnsi="Microsoft YaHei" w:eastAsia="Microsoft YaHei" w:cs="Microsoft YaHei"/>
          <w:sz w:val="24"/>
          <w:szCs w:val="24"/>
          <w:b/>
          <w:bCs/>
          <w:color w:val="333333"/>
          <w:spacing w:val="19"/>
        </w:rPr>
        <w:t xml:space="preserve">  </w:t>
      </w:r>
      <w:r>
        <w:rPr>
          <w:rFonts w:ascii="Microsoft YaHei" w:hAnsi="Microsoft YaHei" w:eastAsia="Microsoft YaHei" w:cs="Microsoft YaHei"/>
          <w:sz w:val="24"/>
          <w:szCs w:val="24"/>
          <w:b/>
          <w:bCs/>
          <w:color w:val="333333"/>
          <w:spacing w:val="-16"/>
        </w:rPr>
        <w:t>）函件统计</w:t>
      </w:r>
    </w:p>
    <w:p>
      <w:pPr>
        <w:ind w:left="1069"/>
        <w:spacing w:before="2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2024年3月25日-3月31日</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5"/>
        </w:rPr>
        <w:t>，上交所发出5份监管问询函。</w:t>
      </w:r>
    </w:p>
    <w:p>
      <w:pPr>
        <w:spacing w:line="84" w:lineRule="auto"/>
        <w:rPr>
          <w:rFonts w:ascii="Arial"/>
          <w:sz w:val="2"/>
        </w:rPr>
      </w:pPr>
      <w:r>
        <w:rPr>
          <w:rFonts w:ascii="Arial"/>
          <w:sz w:val="2"/>
        </w:rPr>
      </w:r>
    </w:p>
    <w:tbl>
      <w:tblPr>
        <w:tblStyle w:val="TableNormal"/>
        <w:tblW w:w="8837" w:type="dxa"/>
        <w:tblInd w:w="107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6346"/>
      </w:tblGrid>
      <w:tr>
        <w:trPr>
          <w:trHeight w:val="626" w:hRule="atLeast"/>
        </w:trPr>
        <w:tc>
          <w:tcPr>
            <w:shd w:val="clear" w:fill="C0504D"/>
            <w:tcW w:w="1276" w:type="dxa"/>
            <w:vAlign w:val="top"/>
            <w:tcBorders>
              <w:bottom w:val="single" w:color="C0504D"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2" w:line="189" w:lineRule="auto"/>
              <w:rPr/>
            </w:pPr>
            <w:r>
              <w:rPr>
                <w:b/>
                <w:bCs/>
                <w:color w:val="FFFFFF"/>
                <w:spacing w:val="8"/>
              </w:rPr>
              <w:t>公司简称</w:t>
            </w:r>
          </w:p>
        </w:tc>
        <w:tc>
          <w:tcPr>
            <w:shd w:val="clear" w:fill="C0504D"/>
            <w:tcW w:w="6346" w:type="dxa"/>
            <w:vAlign w:val="top"/>
            <w:tcBorders>
              <w:bottom w:val="single" w:color="C0504D" w:sz="10" w:space="0"/>
            </w:tcBorders>
          </w:tcPr>
          <w:p>
            <w:pPr>
              <w:pStyle w:val="TableText"/>
              <w:ind w:left="2757"/>
              <w:spacing w:before="93" w:line="188" w:lineRule="auto"/>
              <w:rPr/>
            </w:pPr>
            <w:r>
              <w:rPr>
                <w:b/>
                <w:bCs/>
                <w:color w:val="FFFFFF"/>
                <w:spacing w:val="5"/>
              </w:rPr>
              <w:t>函件类别</w:t>
            </w:r>
          </w:p>
        </w:tc>
      </w:tr>
      <w:tr>
        <w:trPr>
          <w:trHeight w:val="356" w:hRule="atLeast"/>
        </w:trPr>
        <w:tc>
          <w:tcPr>
            <w:tcW w:w="1276" w:type="dxa"/>
            <w:vAlign w:val="top"/>
            <w:tcBorders>
              <w:top w:val="single" w:color="C0504D" w:sz="10" w:space="0"/>
            </w:tcBorders>
          </w:tcPr>
          <w:p>
            <w:pPr>
              <w:pStyle w:val="TableText"/>
              <w:ind w:left="271"/>
              <w:spacing w:before="98" w:line="173" w:lineRule="auto"/>
              <w:rPr/>
            </w:pPr>
            <w:r>
              <w:rPr>
                <w:spacing w:val="3"/>
              </w:rPr>
              <w:t>603421</w:t>
            </w:r>
          </w:p>
        </w:tc>
        <w:tc>
          <w:tcPr>
            <w:tcW w:w="1215" w:type="dxa"/>
            <w:vAlign w:val="top"/>
            <w:tcBorders>
              <w:top w:val="single" w:color="C0504D" w:sz="10" w:space="0"/>
            </w:tcBorders>
          </w:tcPr>
          <w:p>
            <w:pPr>
              <w:pStyle w:val="TableText"/>
              <w:ind w:left="179"/>
              <w:spacing w:before="84" w:line="183" w:lineRule="auto"/>
              <w:rPr/>
            </w:pPr>
            <w:r>
              <w:rPr>
                <w:spacing w:val="8"/>
              </w:rPr>
              <w:t>鼎信通讯</w:t>
            </w:r>
          </w:p>
        </w:tc>
        <w:tc>
          <w:tcPr>
            <w:tcW w:w="6346" w:type="dxa"/>
            <w:vAlign w:val="top"/>
            <w:tcBorders>
              <w:top w:val="single" w:color="C0504D" w:sz="10" w:space="0"/>
            </w:tcBorders>
          </w:tcPr>
          <w:p>
            <w:pPr>
              <w:pStyle w:val="TableText"/>
              <w:ind w:left="2860"/>
              <w:spacing w:before="84" w:line="183" w:lineRule="auto"/>
              <w:rPr/>
            </w:pPr>
            <w:r>
              <w:rPr>
                <w:spacing w:val="4"/>
              </w:rPr>
              <w:t>问询函</w:t>
            </w:r>
          </w:p>
        </w:tc>
      </w:tr>
      <w:tr>
        <w:trPr>
          <w:trHeight w:val="361" w:hRule="atLeast"/>
        </w:trPr>
        <w:tc>
          <w:tcPr>
            <w:shd w:val="clear" w:fill="F2DCDC"/>
            <w:tcW w:w="1276" w:type="dxa"/>
            <w:vAlign w:val="top"/>
          </w:tcPr>
          <w:p>
            <w:pPr>
              <w:pStyle w:val="TableText"/>
              <w:ind w:left="271"/>
              <w:spacing w:before="106" w:line="171" w:lineRule="auto"/>
              <w:rPr/>
            </w:pPr>
            <w:r>
              <w:rPr>
                <w:spacing w:val="3"/>
              </w:rPr>
              <w:t>601567</w:t>
            </w:r>
          </w:p>
        </w:tc>
        <w:tc>
          <w:tcPr>
            <w:shd w:val="clear" w:fill="F2DCDC"/>
            <w:tcW w:w="1215" w:type="dxa"/>
            <w:vAlign w:val="top"/>
          </w:tcPr>
          <w:p>
            <w:pPr>
              <w:pStyle w:val="TableText"/>
              <w:ind w:left="181"/>
              <w:spacing w:before="92" w:line="181" w:lineRule="auto"/>
              <w:rPr/>
            </w:pPr>
            <w:r>
              <w:rPr>
                <w:spacing w:val="7"/>
              </w:rPr>
              <w:t>三星医疗</w:t>
            </w:r>
          </w:p>
        </w:tc>
        <w:tc>
          <w:tcPr>
            <w:shd w:val="clear" w:fill="F2DCDC"/>
            <w:tcW w:w="6346" w:type="dxa"/>
            <w:vAlign w:val="top"/>
          </w:tcPr>
          <w:p>
            <w:pPr>
              <w:pStyle w:val="TableText"/>
              <w:ind w:left="2860"/>
              <w:spacing w:before="92" w:line="181" w:lineRule="auto"/>
              <w:rPr/>
            </w:pPr>
            <w:r>
              <w:rPr>
                <w:spacing w:val="4"/>
              </w:rPr>
              <w:t>问询函</w:t>
            </w:r>
          </w:p>
        </w:tc>
      </w:tr>
      <w:tr>
        <w:trPr>
          <w:trHeight w:val="362" w:hRule="atLeast"/>
        </w:trPr>
        <w:tc>
          <w:tcPr>
            <w:tcW w:w="1276" w:type="dxa"/>
            <w:vAlign w:val="top"/>
          </w:tcPr>
          <w:p>
            <w:pPr>
              <w:pStyle w:val="TableText"/>
              <w:ind w:left="271"/>
              <w:spacing w:before="110" w:line="169" w:lineRule="auto"/>
              <w:rPr/>
            </w:pPr>
            <w:r>
              <w:rPr>
                <w:spacing w:val="3"/>
              </w:rPr>
              <w:t>600507</w:t>
            </w:r>
          </w:p>
        </w:tc>
        <w:tc>
          <w:tcPr>
            <w:tcW w:w="1215" w:type="dxa"/>
            <w:vAlign w:val="top"/>
          </w:tcPr>
          <w:p>
            <w:pPr>
              <w:pStyle w:val="TableText"/>
              <w:ind w:left="177"/>
              <w:spacing w:before="96" w:line="179" w:lineRule="auto"/>
              <w:rPr/>
            </w:pPr>
            <w:r>
              <w:rPr>
                <w:spacing w:val="8"/>
              </w:rPr>
              <w:t>方大特钢</w:t>
            </w:r>
          </w:p>
        </w:tc>
        <w:tc>
          <w:tcPr>
            <w:tcW w:w="6346" w:type="dxa"/>
            <w:vAlign w:val="top"/>
          </w:tcPr>
          <w:p>
            <w:pPr>
              <w:pStyle w:val="TableText"/>
              <w:ind w:left="2860"/>
              <w:spacing w:before="94" w:line="180" w:lineRule="auto"/>
              <w:rPr/>
            </w:pPr>
            <w:r>
              <w:rPr>
                <w:spacing w:val="4"/>
              </w:rPr>
              <w:t>问询函</w:t>
            </w:r>
          </w:p>
        </w:tc>
      </w:tr>
      <w:tr>
        <w:trPr>
          <w:trHeight w:val="361" w:hRule="atLeast"/>
        </w:trPr>
        <w:tc>
          <w:tcPr>
            <w:shd w:val="clear" w:fill="F2DCDC"/>
            <w:tcW w:w="1276" w:type="dxa"/>
            <w:vAlign w:val="top"/>
          </w:tcPr>
          <w:p>
            <w:pPr>
              <w:pStyle w:val="TableText"/>
              <w:ind w:left="271"/>
              <w:spacing w:before="113" w:line="166" w:lineRule="auto"/>
              <w:rPr/>
            </w:pPr>
            <w:r>
              <w:rPr>
                <w:spacing w:val="3"/>
              </w:rPr>
              <w:t>600117</w:t>
            </w:r>
          </w:p>
        </w:tc>
        <w:tc>
          <w:tcPr>
            <w:shd w:val="clear" w:fill="F2DCDC"/>
            <w:tcW w:w="1215" w:type="dxa"/>
            <w:vAlign w:val="top"/>
          </w:tcPr>
          <w:p>
            <w:pPr>
              <w:pStyle w:val="TableText"/>
              <w:ind w:left="224"/>
              <w:spacing w:before="102" w:line="174" w:lineRule="auto"/>
              <w:rPr/>
            </w:pPr>
            <w:r>
              <w:rPr>
                <w:spacing w:val="8"/>
              </w:rPr>
              <w:t>*</w:t>
            </w:r>
            <w:r>
              <w:rPr/>
              <w:t>ST</w:t>
            </w:r>
            <w:r>
              <w:rPr>
                <w:spacing w:val="8"/>
              </w:rPr>
              <w:t>西钢</w:t>
            </w:r>
          </w:p>
        </w:tc>
        <w:tc>
          <w:tcPr>
            <w:shd w:val="clear" w:fill="F2DCDC"/>
            <w:tcW w:w="6346" w:type="dxa"/>
            <w:vAlign w:val="top"/>
          </w:tcPr>
          <w:p>
            <w:pPr>
              <w:pStyle w:val="TableText"/>
              <w:ind w:left="1800"/>
              <w:spacing w:before="99" w:line="176" w:lineRule="auto"/>
              <w:rPr/>
            </w:pPr>
            <w:r>
              <w:rPr>
                <w:spacing w:val="9"/>
              </w:rPr>
              <w:t>定期报告信息披露监管问询函</w:t>
            </w:r>
          </w:p>
        </w:tc>
      </w:tr>
      <w:tr>
        <w:trPr>
          <w:trHeight w:val="370" w:hRule="atLeast"/>
        </w:trPr>
        <w:tc>
          <w:tcPr>
            <w:tcW w:w="1276" w:type="dxa"/>
            <w:vAlign w:val="top"/>
          </w:tcPr>
          <w:p>
            <w:pPr>
              <w:pStyle w:val="TableText"/>
              <w:ind w:left="271"/>
              <w:spacing w:before="118" w:line="169" w:lineRule="auto"/>
              <w:rPr/>
            </w:pPr>
            <w:r>
              <w:rPr>
                <w:spacing w:val="3"/>
              </w:rPr>
              <w:t>688095</w:t>
            </w:r>
          </w:p>
        </w:tc>
        <w:tc>
          <w:tcPr>
            <w:tcW w:w="1215" w:type="dxa"/>
            <w:vAlign w:val="top"/>
          </w:tcPr>
          <w:p>
            <w:pPr>
              <w:pStyle w:val="TableText"/>
              <w:ind w:left="178"/>
              <w:spacing w:before="102" w:line="180" w:lineRule="auto"/>
              <w:rPr/>
            </w:pPr>
            <w:r>
              <w:rPr>
                <w:spacing w:val="8"/>
              </w:rPr>
              <w:t>福昕软件</w:t>
            </w:r>
          </w:p>
        </w:tc>
        <w:tc>
          <w:tcPr>
            <w:tcW w:w="6346" w:type="dxa"/>
            <w:vAlign w:val="top"/>
          </w:tcPr>
          <w:p>
            <w:pPr>
              <w:pStyle w:val="TableText"/>
              <w:ind w:left="2860"/>
              <w:spacing w:before="102" w:line="180" w:lineRule="auto"/>
              <w:rPr/>
            </w:pPr>
            <w:r>
              <w:rPr>
                <w:spacing w:val="4"/>
              </w:rPr>
              <w:t>问询函</w:t>
            </w:r>
          </w:p>
        </w:tc>
      </w:tr>
    </w:tbl>
    <w:p>
      <w:pPr>
        <w:pStyle w:val="BodyText"/>
        <w:spacing w:line="14" w:lineRule="auto"/>
        <w:rPr>
          <w:sz w:val="2"/>
        </w:rPr>
      </w:pPr>
      <w:r/>
    </w:p>
    <w:p>
      <w:pPr>
        <w:spacing w:line="14" w:lineRule="auto"/>
        <w:sectPr>
          <w:pgSz w:w="11910" w:h="16840"/>
          <w:pgMar w:top="374" w:right="575" w:bottom="198" w:left="463" w:header="0" w:footer="0" w:gutter="0"/>
        </w:sectPr>
        <w:rPr>
          <w:sz w:val="2"/>
          <w:szCs w:val="2"/>
        </w:rPr>
      </w:pPr>
    </w:p>
    <w:p>
      <w:pPr>
        <w:ind w:left="505"/>
        <w:spacing w:before="18"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ind w:firstLine="480"/>
        <w:spacing w:before="315"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2024年3月25日-3月31日 ，上交所对197起拉抬打压、虚假申报等证券异常交易行为采取了书面</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7"/>
        </w:rPr>
        <w:t>警示等监</w:t>
      </w:r>
      <w:r>
        <w:rPr>
          <w:rFonts w:ascii="Microsoft YaHei" w:hAnsi="Microsoft YaHei" w:eastAsia="Microsoft YaHei" w:cs="Microsoft YaHei"/>
          <w:sz w:val="24"/>
          <w:szCs w:val="24"/>
          <w:spacing w:val="-6"/>
        </w:rPr>
        <w:t>管措施</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6"/>
        </w:rPr>
        <w:t>，对退市整理股票退市博天和严重异常波动股</w:t>
      </w:r>
      <w:r>
        <w:rPr>
          <w:rFonts w:ascii="Microsoft YaHei" w:hAnsi="Microsoft YaHei" w:eastAsia="Microsoft YaHei" w:cs="Microsoft YaHei"/>
          <w:sz w:val="24"/>
          <w:szCs w:val="24"/>
          <w:spacing w:val="-7"/>
        </w:rPr>
        <w:t>票进行重点监控</w:t>
      </w:r>
      <w:r>
        <w:rPr>
          <w:rFonts w:ascii="Microsoft YaHei" w:hAnsi="Microsoft YaHei" w:eastAsia="Microsoft YaHei" w:cs="Microsoft YaHei"/>
          <w:sz w:val="24"/>
          <w:szCs w:val="24"/>
          <w:spacing w:val="-16"/>
        </w:rPr>
        <w:t xml:space="preserve"> </w:t>
      </w:r>
      <w:r>
        <w:rPr>
          <w:rFonts w:ascii="Microsoft YaHei" w:hAnsi="Microsoft YaHei" w:eastAsia="Microsoft YaHei" w:cs="Microsoft YaHei"/>
          <w:sz w:val="24"/>
          <w:szCs w:val="24"/>
          <w:spacing w:val="-7"/>
        </w:rPr>
        <w:t>，对51起上市公司重</w:t>
      </w:r>
      <w:r>
        <w:rPr>
          <w:rFonts w:ascii="Microsoft YaHei" w:hAnsi="Microsoft YaHei" w:eastAsia="Microsoft YaHei" w:cs="Microsoft YaHei"/>
          <w:sz w:val="24"/>
          <w:szCs w:val="24"/>
          <w:spacing w:val="-3"/>
        </w:rPr>
        <w:t>大</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6"/>
        </w:rPr>
        <w:t>事项等进行专项核查</w:t>
      </w:r>
      <w:r>
        <w:rPr>
          <w:rFonts w:ascii="Microsoft YaHei" w:hAnsi="Microsoft YaHei" w:eastAsia="Microsoft YaHei" w:cs="Microsoft YaHei"/>
          <w:sz w:val="24"/>
          <w:szCs w:val="24"/>
          <w:spacing w:val="-11"/>
        </w:rPr>
        <w:t xml:space="preserve"> </w:t>
      </w:r>
      <w:r>
        <w:rPr>
          <w:rFonts w:ascii="Microsoft YaHei" w:hAnsi="Microsoft YaHei" w:eastAsia="Microsoft YaHei" w:cs="Microsoft YaHei"/>
          <w:sz w:val="24"/>
          <w:szCs w:val="24"/>
          <w:spacing w:val="-6"/>
        </w:rPr>
        <w:t>，向证监会上报涉嫌违法违规案件线索3起。</w:t>
      </w:r>
    </w:p>
    <w:p>
      <w:pPr>
        <w:spacing w:line="183" w:lineRule="auto"/>
        <w:sectPr>
          <w:pgSz w:w="11910" w:h="16840"/>
          <w:pgMar w:top="400" w:right="596" w:bottom="400" w:left="888" w:header="0" w:footer="0" w:gutter="0"/>
        </w:sectPr>
        <w:rPr>
          <w:rFonts w:ascii="Microsoft YaHei" w:hAnsi="Microsoft YaHei" w:eastAsia="Microsoft YaHei" w:cs="Microsoft YaHei"/>
          <w:sz w:val="24"/>
          <w:szCs w:val="24"/>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2"/>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pStyle w:val="BodyText"/>
        <w:spacing w:line="289" w:lineRule="auto"/>
        <w:rPr/>
      </w:pPr>
      <w:r/>
    </w:p>
    <w:p>
      <w:pPr>
        <w:ind w:left="939"/>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1、上市公司监管动态</w:t>
      </w:r>
    </w:p>
    <w:p>
      <w:pPr>
        <w:ind w:left="872" w:firstLine="435"/>
        <w:spacing w:before="328"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9"/>
        </w:rPr>
        <w:t>2024年</w:t>
      </w:r>
      <w:r>
        <w:rPr>
          <w:rFonts w:ascii="Microsoft YaHei" w:hAnsi="Microsoft YaHei" w:eastAsia="Microsoft YaHei" w:cs="Microsoft YaHei"/>
          <w:sz w:val="22"/>
          <w:szCs w:val="22"/>
          <w:spacing w:val="-8"/>
        </w:rPr>
        <w:t>3月25日-3月31日</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，深交所发出11份监管函</w:t>
      </w:r>
      <w:r>
        <w:rPr>
          <w:rFonts w:ascii="Microsoft YaHei" w:hAnsi="Microsoft YaHei" w:eastAsia="Microsoft YaHei" w:cs="Microsoft YaHei"/>
          <w:sz w:val="22"/>
          <w:szCs w:val="22"/>
          <w:spacing w:val="-15"/>
        </w:rPr>
        <w:t xml:space="preserve"> </w:t>
      </w:r>
      <w:r>
        <w:rPr>
          <w:rFonts w:ascii="Microsoft YaHei" w:hAnsi="Microsoft YaHei" w:eastAsia="Microsoft YaHei" w:cs="Microsoft YaHei"/>
          <w:sz w:val="22"/>
          <w:szCs w:val="22"/>
          <w:spacing w:val="-8"/>
        </w:rPr>
        <w:t>，对3宗行为予以纪律处分；共发出关注函12份</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w:t>
      </w:r>
      <w:r>
        <w:rPr>
          <w:rFonts w:ascii="Microsoft YaHei" w:hAnsi="Microsoft YaHei" w:eastAsia="Microsoft YaHei" w:cs="Microsoft YaHei"/>
          <w:sz w:val="22"/>
          <w:szCs w:val="22"/>
          <w:spacing w:val="-3"/>
        </w:rPr>
        <w:t>年</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5"/>
        </w:rPr>
        <w:t>报问询函4份。</w:t>
      </w:r>
    </w:p>
    <w:p>
      <w:pPr>
        <w:pStyle w:val="BodyText"/>
        <w:spacing w:line="242" w:lineRule="auto"/>
        <w:rPr/>
      </w:pPr>
      <w:r/>
    </w:p>
    <w:p>
      <w:pPr>
        <w:ind w:firstLine="1156"/>
        <w:spacing w:line="4331" w:lineRule="exact"/>
        <w:rPr/>
      </w:pPr>
      <w:r>
        <w:rPr>
          <w:position w:val="-86"/>
        </w:rPr>
        <w:drawing>
          <wp:inline distT="0" distB="0" distL="0" distR="0">
            <wp:extent cx="5493384" cy="2750185"/>
            <wp:effectExtent l="0" t="0" r="0" b="0"/>
            <wp:docPr id="18" name="IM 18"/>
            <wp:cNvGraphicFramePr/>
            <a:graphic>
              <a:graphicData uri="http://schemas.openxmlformats.org/drawingml/2006/picture">
                <pic:pic>
                  <pic:nvPicPr>
                    <pic:cNvPr id="18" name="IM 18"/>
                    <pic:cNvPicPr/>
                  </pic:nvPicPr>
                  <pic:blipFill>
                    <a:blip r:embed="rId14"/>
                    <a:stretch>
                      <a:fillRect/>
                    </a:stretch>
                  </pic:blipFill>
                  <pic:spPr>
                    <a:xfrm rot="0">
                      <a:off x="0" y="0"/>
                      <a:ext cx="5493384" cy="2750185"/>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pStyle w:val="BodyText"/>
        <w:spacing w:line="246" w:lineRule="auto"/>
        <w:rPr/>
      </w:pPr>
      <w:r/>
    </w:p>
    <w:p>
      <w:pPr>
        <w:ind w:left="81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rPr>
        <w:t>（</w:t>
      </w:r>
      <w:r>
        <w:rPr>
          <w:rFonts w:ascii="Microsoft YaHei" w:hAnsi="Microsoft YaHei" w:eastAsia="Microsoft YaHei" w:cs="Microsoft YaHei"/>
          <w:sz w:val="24"/>
          <w:szCs w:val="24"/>
          <w:b/>
          <w:bCs/>
          <w:spacing w:val="29"/>
        </w:rPr>
        <w:t xml:space="preserve">  </w:t>
      </w:r>
      <w:r>
        <w:rPr>
          <w:rFonts w:ascii="Microsoft YaHei" w:hAnsi="Microsoft YaHei" w:eastAsia="Microsoft YaHei" w:cs="Microsoft YaHei"/>
          <w:sz w:val="24"/>
          <w:szCs w:val="24"/>
          <w:b/>
          <w:bCs/>
          <w:spacing w:val="-10"/>
        </w:rPr>
        <w:t>1</w:t>
      </w:r>
      <w:r>
        <w:rPr>
          <w:rFonts w:ascii="Microsoft YaHei" w:hAnsi="Microsoft YaHei" w:eastAsia="Microsoft YaHei" w:cs="Microsoft YaHei"/>
          <w:sz w:val="24"/>
          <w:szCs w:val="24"/>
          <w:b/>
          <w:bCs/>
          <w:spacing w:val="19"/>
        </w:rPr>
        <w:t xml:space="preserve">  </w:t>
      </w:r>
      <w:r>
        <w:rPr>
          <w:rFonts w:ascii="Microsoft YaHei" w:hAnsi="Microsoft YaHei" w:eastAsia="Microsoft YaHei" w:cs="Microsoft YaHei"/>
          <w:sz w:val="24"/>
          <w:szCs w:val="24"/>
          <w:b/>
          <w:bCs/>
          <w:spacing w:val="-10"/>
        </w:rPr>
        <w:t>）纪律处分及监管措施</w:t>
      </w:r>
    </w:p>
    <w:p>
      <w:pPr>
        <w:spacing w:line="191" w:lineRule="exact"/>
        <w:rPr/>
      </w:pPr>
      <w:r/>
    </w:p>
    <w:tbl>
      <w:tblPr>
        <w:tblStyle w:val="TableNormal"/>
        <w:tblW w:w="9016" w:type="dxa"/>
        <w:tblInd w:w="975"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39" w:hRule="atLeast"/>
        </w:trPr>
        <w:tc>
          <w:tcPr>
            <w:shd w:val="clear" w:fill="4BACC6"/>
            <w:tcW w:w="1471" w:type="dxa"/>
            <w:vAlign w:val="top"/>
          </w:tcPr>
          <w:p>
            <w:pPr>
              <w:pStyle w:val="TableText"/>
              <w:ind w:left="298"/>
              <w:spacing w:before="94"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3"/>
              <w:spacing w:before="94"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8"/>
              <w:spacing w:before="92" w:line="184"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9"/>
              <w:spacing w:before="92" w:line="184" w:lineRule="auto"/>
              <w:rPr>
                <w:sz w:val="22"/>
                <w:szCs w:val="22"/>
              </w:rPr>
            </w:pPr>
            <w:r>
              <w:rPr>
                <w:sz w:val="22"/>
                <w:szCs w:val="22"/>
                <w:b/>
                <w:bCs/>
                <w:color w:val="FFFFFF"/>
                <w:spacing w:val="-1"/>
              </w:rPr>
              <w:t>处理事由</w:t>
            </w:r>
          </w:p>
        </w:tc>
      </w:tr>
      <w:tr>
        <w:trPr>
          <w:trHeight w:val="2880" w:hRule="atLeast"/>
        </w:trPr>
        <w:tc>
          <w:tcPr>
            <w:tcW w:w="1471" w:type="dxa"/>
            <w:vAlign w:val="top"/>
          </w:tcPr>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72"/>
              <w:spacing w:before="86" w:line="178" w:lineRule="auto"/>
              <w:rPr/>
            </w:pPr>
            <w:r>
              <w:rPr>
                <w:spacing w:val="3"/>
              </w:rPr>
              <w:t>002399</w:t>
            </w:r>
          </w:p>
        </w:tc>
        <w:tc>
          <w:tcPr>
            <w:tcW w:w="1484"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26"/>
              <w:spacing w:before="85" w:line="189" w:lineRule="auto"/>
              <w:rPr/>
            </w:pPr>
            <w:r>
              <w:rPr>
                <w:spacing w:val="8"/>
              </w:rPr>
              <w:t>海普瑞</w:t>
            </w:r>
          </w:p>
        </w:tc>
        <w:tc>
          <w:tcPr>
            <w:tcW w:w="1498"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07" w:right="230"/>
              <w:spacing w:before="90" w:line="243" w:lineRule="auto"/>
              <w:rPr/>
            </w:pPr>
            <w:r>
              <w:rPr>
                <w:spacing w:val="7"/>
              </w:rPr>
              <w:t>公司最近一个会计年度经审计净利润为负值 ，</w:t>
            </w:r>
            <w:r>
              <w:rPr>
                <w:spacing w:val="12"/>
              </w:rPr>
              <w:t xml:space="preserve"> </w:t>
            </w:r>
            <w:r>
              <w:rPr>
                <w:spacing w:val="9"/>
              </w:rPr>
              <w:t>但公司未能同步披露会计师事务所就公司</w:t>
            </w:r>
            <w:r>
              <w:rPr>
                <w:b/>
                <w:bCs/>
                <w:spacing w:val="9"/>
              </w:rPr>
              <w:t>营业</w:t>
            </w:r>
            <w:r>
              <w:rPr>
                <w:b/>
                <w:bCs/>
                <w:spacing w:val="14"/>
              </w:rPr>
              <w:t xml:space="preserve"> </w:t>
            </w:r>
            <w:r>
              <w:rPr>
                <w:b/>
                <w:bCs/>
                <w:spacing w:val="9"/>
              </w:rPr>
              <w:t>收入扣除事项是否合规及扣除后的营业收入金</w:t>
            </w:r>
            <w:r>
              <w:rPr>
                <w:b/>
                <w:bCs/>
                <w:spacing w:val="13"/>
              </w:rPr>
              <w:t xml:space="preserve"> </w:t>
            </w:r>
            <w:r>
              <w:rPr>
                <w:b/>
                <w:bCs/>
                <w:spacing w:val="5"/>
              </w:rPr>
              <w:t>额出具的专项核查意见</w:t>
            </w:r>
            <w:r>
              <w:rPr>
                <w:spacing w:val="5"/>
              </w:rPr>
              <w:t>；2024年3月30日 ，公</w:t>
            </w:r>
            <w:r>
              <w:rPr>
                <w:spacing w:val="17"/>
                <w:w w:val="101"/>
              </w:rPr>
              <w:t xml:space="preserve"> </w:t>
            </w:r>
            <w:r>
              <w:rPr>
                <w:spacing w:val="9"/>
              </w:rPr>
              <w:t>司披露的《关于年度关联方资金占用专项审计</w:t>
            </w:r>
            <w:r>
              <w:rPr>
                <w:spacing w:val="13"/>
              </w:rPr>
              <w:t xml:space="preserve"> </w:t>
            </w:r>
            <w:r>
              <w:rPr>
                <w:spacing w:val="3"/>
              </w:rPr>
              <w:t>报告的更正公告》显示 ，因工作人员疏忽 ，</w:t>
            </w:r>
            <w:r>
              <w:rPr>
                <w:b/>
                <w:bCs/>
                <w:spacing w:val="3"/>
              </w:rPr>
              <w:t>审</w:t>
            </w:r>
            <w:r>
              <w:rPr>
                <w:b/>
                <w:bCs/>
                <w:spacing w:val="12"/>
              </w:rPr>
              <w:t xml:space="preserve"> </w:t>
            </w:r>
            <w:r>
              <w:rPr>
                <w:b/>
                <w:bCs/>
                <w:spacing w:val="6"/>
              </w:rPr>
              <w:t>计报告编号等内容信息披露有误 </w:t>
            </w:r>
            <w:r>
              <w:rPr>
                <w:spacing w:val="6"/>
              </w:rPr>
              <w:t>，公司对相关</w:t>
            </w:r>
            <w:r>
              <w:rPr>
                <w:spacing w:val="8"/>
              </w:rPr>
              <w:t xml:space="preserve"> </w:t>
            </w:r>
            <w:r>
              <w:rPr>
                <w:spacing w:val="7"/>
              </w:rPr>
              <w:t>内容予以更正。</w:t>
            </w:r>
          </w:p>
        </w:tc>
      </w:tr>
      <w:tr>
        <w:trPr>
          <w:trHeight w:val="723" w:hRule="atLeast"/>
        </w:trPr>
        <w:tc>
          <w:tcPr>
            <w:shd w:val="clear" w:fill="B8CCE4"/>
            <w:tcW w:w="1471" w:type="dxa"/>
            <w:vAlign w:val="top"/>
          </w:tcPr>
          <w:p>
            <w:pPr>
              <w:pStyle w:val="TableText"/>
              <w:ind w:left="372"/>
              <w:spacing w:before="286" w:line="179" w:lineRule="auto"/>
              <w:rPr/>
            </w:pPr>
            <w:r>
              <w:rPr>
                <w:spacing w:val="3"/>
              </w:rPr>
              <w:t>002183</w:t>
            </w:r>
          </w:p>
        </w:tc>
        <w:tc>
          <w:tcPr>
            <w:shd w:val="clear" w:fill="B8CCE4"/>
            <w:tcW w:w="1484" w:type="dxa"/>
            <w:vAlign w:val="top"/>
          </w:tcPr>
          <w:p>
            <w:pPr>
              <w:pStyle w:val="TableText"/>
              <w:ind w:left="320"/>
              <w:spacing w:before="274" w:line="188" w:lineRule="auto"/>
              <w:rPr/>
            </w:pPr>
            <w:r>
              <w:rPr>
                <w:spacing w:val="6"/>
              </w:rPr>
              <w:t>怡</w:t>
            </w:r>
            <w:r>
              <w:rPr>
                <w:spacing w:val="49"/>
                <w:w w:val="101"/>
              </w:rPr>
              <w:t xml:space="preserve"> </w:t>
            </w:r>
            <w:r>
              <w:rPr>
                <w:spacing w:val="6"/>
              </w:rPr>
              <w:t>亚</w:t>
            </w:r>
            <w:r>
              <w:rPr>
                <w:spacing w:val="48"/>
                <w:w w:val="101"/>
              </w:rPr>
              <w:t xml:space="preserve"> </w:t>
            </w:r>
            <w:r>
              <w:rPr>
                <w:spacing w:val="6"/>
              </w:rPr>
              <w:t>通</w:t>
            </w:r>
          </w:p>
        </w:tc>
        <w:tc>
          <w:tcPr>
            <w:shd w:val="clear" w:fill="B8CCE4"/>
            <w:tcW w:w="1498" w:type="dxa"/>
            <w:vAlign w:val="top"/>
          </w:tcPr>
          <w:p>
            <w:pPr>
              <w:pStyle w:val="TableText"/>
              <w:ind w:left="434"/>
              <w:spacing w:before="273" w:line="189" w:lineRule="auto"/>
              <w:rPr/>
            </w:pPr>
            <w:r>
              <w:rPr>
                <w:spacing w:val="8"/>
              </w:rPr>
              <w:t>监管函</w:t>
            </w:r>
          </w:p>
        </w:tc>
        <w:tc>
          <w:tcPr>
            <w:shd w:val="clear" w:fill="B8CCE4"/>
            <w:tcW w:w="4563" w:type="dxa"/>
            <w:vAlign w:val="top"/>
          </w:tcPr>
          <w:p>
            <w:pPr>
              <w:pStyle w:val="TableText"/>
              <w:ind w:left="116" w:right="254" w:hanging="9"/>
              <w:spacing w:before="95" w:line="216" w:lineRule="auto"/>
              <w:rPr/>
            </w:pPr>
            <w:r>
              <w:rPr>
                <w:spacing w:val="9"/>
              </w:rPr>
              <w:t>公司未在承诺期限内完成</w:t>
            </w:r>
            <w:r>
              <w:rPr>
                <w:b/>
                <w:bCs/>
                <w:spacing w:val="9"/>
              </w:rPr>
              <w:t>类金融业务</w:t>
            </w:r>
            <w:r>
              <w:rPr>
                <w:spacing w:val="9"/>
              </w:rPr>
              <w:t>所有股权</w:t>
            </w:r>
            <w:r>
              <w:rPr>
                <w:spacing w:val="14"/>
              </w:rPr>
              <w:t xml:space="preserve"> </w:t>
            </w:r>
            <w:r>
              <w:rPr>
                <w:spacing w:val="4"/>
              </w:rPr>
              <w:t>的</w:t>
            </w:r>
            <w:r>
              <w:rPr>
                <w:b/>
                <w:bCs/>
                <w:spacing w:val="4"/>
              </w:rPr>
              <w:t>剥离。</w:t>
            </w:r>
          </w:p>
        </w:tc>
      </w:tr>
      <w:tr>
        <w:trPr>
          <w:trHeight w:val="1443" w:hRule="atLeast"/>
        </w:trPr>
        <w:tc>
          <w:tcPr>
            <w:tcW w:w="1471" w:type="dxa"/>
            <w:vAlign w:val="top"/>
          </w:tcPr>
          <w:p>
            <w:pPr>
              <w:spacing w:line="281" w:lineRule="auto"/>
              <w:rPr>
                <w:rFonts w:ascii="Arial"/>
                <w:sz w:val="21"/>
              </w:rPr>
            </w:pPr>
            <w:r/>
          </w:p>
          <w:p>
            <w:pPr>
              <w:spacing w:line="281" w:lineRule="auto"/>
              <w:rPr>
                <w:rFonts w:ascii="Arial"/>
                <w:sz w:val="21"/>
              </w:rPr>
            </w:pPr>
            <w:r/>
          </w:p>
          <w:p>
            <w:pPr>
              <w:pStyle w:val="TableText"/>
              <w:ind w:left="377"/>
              <w:spacing w:before="86" w:line="178" w:lineRule="auto"/>
              <w:rPr/>
            </w:pPr>
            <w:r>
              <w:rPr>
                <w:spacing w:val="3"/>
              </w:rPr>
              <w:t>300486</w:t>
            </w:r>
          </w:p>
        </w:tc>
        <w:tc>
          <w:tcPr>
            <w:tcW w:w="1484" w:type="dxa"/>
            <w:vAlign w:val="top"/>
          </w:tcPr>
          <w:p>
            <w:pPr>
              <w:spacing w:line="273" w:lineRule="auto"/>
              <w:rPr>
                <w:rFonts w:ascii="Arial"/>
                <w:sz w:val="21"/>
              </w:rPr>
            </w:pPr>
            <w:r/>
          </w:p>
          <w:p>
            <w:pPr>
              <w:spacing w:line="273" w:lineRule="auto"/>
              <w:rPr>
                <w:rFonts w:ascii="Arial"/>
                <w:sz w:val="21"/>
              </w:rPr>
            </w:pPr>
            <w:r/>
          </w:p>
          <w:p>
            <w:pPr>
              <w:pStyle w:val="TableText"/>
              <w:ind w:left="319"/>
              <w:spacing w:before="86" w:line="190" w:lineRule="auto"/>
              <w:rPr/>
            </w:pPr>
            <w:r>
              <w:rPr>
                <w:spacing w:val="8"/>
              </w:rPr>
              <w:t>东杰智能</w:t>
            </w:r>
          </w:p>
        </w:tc>
        <w:tc>
          <w:tcPr>
            <w:tcW w:w="1498" w:type="dxa"/>
            <w:vAlign w:val="top"/>
          </w:tcPr>
          <w:p>
            <w:pPr>
              <w:spacing w:line="274" w:lineRule="auto"/>
              <w:rPr>
                <w:rFonts w:ascii="Arial"/>
                <w:sz w:val="21"/>
              </w:rPr>
            </w:pPr>
            <w:r/>
          </w:p>
          <w:p>
            <w:pPr>
              <w:spacing w:line="274" w:lineRule="auto"/>
              <w:rPr>
                <w:rFonts w:ascii="Arial"/>
                <w:sz w:val="21"/>
              </w:rPr>
            </w:pPr>
            <w:r/>
          </w:p>
          <w:p>
            <w:pPr>
              <w:pStyle w:val="TableText"/>
              <w:ind w:left="434"/>
              <w:spacing w:before="85" w:line="189" w:lineRule="auto"/>
              <w:rPr/>
            </w:pPr>
            <w:r>
              <w:rPr>
                <w:spacing w:val="8"/>
              </w:rPr>
              <w:t>监管函</w:t>
            </w:r>
          </w:p>
        </w:tc>
        <w:tc>
          <w:tcPr>
            <w:tcW w:w="4563" w:type="dxa"/>
            <w:vAlign w:val="top"/>
          </w:tcPr>
          <w:p>
            <w:pPr>
              <w:pStyle w:val="TableText"/>
              <w:ind w:left="106" w:right="130" w:firstLine="1"/>
              <w:spacing w:before="94" w:line="234" w:lineRule="auto"/>
              <w:rPr/>
            </w:pPr>
            <w:r>
              <w:rPr>
                <w:spacing w:val="9"/>
              </w:rPr>
              <w:t>公司未在</w:t>
            </w:r>
            <w:r>
              <w:rPr>
                <w:b/>
                <w:bCs/>
                <w:spacing w:val="9"/>
              </w:rPr>
              <w:t>预计触发转股价格修正条件</w:t>
            </w:r>
            <w:r>
              <w:rPr>
                <w:spacing w:val="9"/>
              </w:rPr>
              <w:t>的5个交易</w:t>
            </w:r>
            <w:r>
              <w:rPr>
                <w:spacing w:val="12"/>
              </w:rPr>
              <w:t xml:space="preserve"> </w:t>
            </w:r>
            <w:r>
              <w:rPr>
                <w:spacing w:val="6"/>
              </w:rPr>
              <w:t>日前及时披露提示性公告 ，未在</w:t>
            </w:r>
            <w:r>
              <w:rPr>
                <w:b/>
                <w:bCs/>
                <w:spacing w:val="6"/>
              </w:rPr>
              <w:t>触发转股价格</w:t>
            </w:r>
            <w:r>
              <w:rPr>
                <w:b/>
                <w:bCs/>
                <w:spacing w:val="3"/>
              </w:rPr>
              <w:t xml:space="preserve">   </w:t>
            </w:r>
            <w:r>
              <w:rPr>
                <w:b/>
                <w:bCs/>
                <w:spacing w:val="9"/>
              </w:rPr>
              <w:t>修正条件当日</w:t>
            </w:r>
            <w:r>
              <w:rPr>
                <w:spacing w:val="9"/>
              </w:rPr>
              <w:t>履行相应审议程序和信息披露义</w:t>
            </w:r>
            <w:r>
              <w:rPr>
                <w:spacing w:val="5"/>
              </w:rPr>
              <w:t xml:space="preserve">   </w:t>
            </w:r>
            <w:r>
              <w:rPr>
                <w:spacing w:val="3"/>
              </w:rPr>
              <w:t>务。</w:t>
            </w:r>
          </w:p>
        </w:tc>
      </w:tr>
      <w:tr>
        <w:trPr>
          <w:trHeight w:val="724" w:hRule="atLeast"/>
        </w:trPr>
        <w:tc>
          <w:tcPr>
            <w:shd w:val="clear" w:fill="B8CCE4"/>
            <w:tcW w:w="1471" w:type="dxa"/>
            <w:vAlign w:val="top"/>
          </w:tcPr>
          <w:p>
            <w:pPr>
              <w:pStyle w:val="TableText"/>
              <w:ind w:left="372"/>
              <w:spacing w:before="293" w:line="178" w:lineRule="auto"/>
              <w:rPr/>
            </w:pPr>
            <w:r>
              <w:rPr>
                <w:spacing w:val="3"/>
              </w:rPr>
              <w:t>000049</w:t>
            </w:r>
          </w:p>
        </w:tc>
        <w:tc>
          <w:tcPr>
            <w:shd w:val="clear" w:fill="B8CCE4"/>
            <w:tcW w:w="1484" w:type="dxa"/>
            <w:vAlign w:val="top"/>
          </w:tcPr>
          <w:p>
            <w:pPr>
              <w:pStyle w:val="TableText"/>
              <w:ind w:left="320"/>
              <w:spacing w:before="278" w:line="189" w:lineRule="auto"/>
              <w:rPr/>
            </w:pPr>
            <w:r>
              <w:rPr>
                <w:spacing w:val="8"/>
              </w:rPr>
              <w:t>德赛电池</w:t>
            </w:r>
          </w:p>
        </w:tc>
        <w:tc>
          <w:tcPr>
            <w:shd w:val="clear" w:fill="B8CCE4"/>
            <w:tcW w:w="1498" w:type="dxa"/>
            <w:vAlign w:val="top"/>
          </w:tcPr>
          <w:p>
            <w:pPr>
              <w:pStyle w:val="TableText"/>
              <w:ind w:left="434"/>
              <w:spacing w:before="278" w:line="189" w:lineRule="auto"/>
              <w:rPr/>
            </w:pPr>
            <w:r>
              <w:rPr>
                <w:spacing w:val="8"/>
              </w:rPr>
              <w:t>监管函</w:t>
            </w:r>
          </w:p>
        </w:tc>
        <w:tc>
          <w:tcPr>
            <w:shd w:val="clear" w:fill="B8CCE4"/>
            <w:tcW w:w="4563" w:type="dxa"/>
            <w:vAlign w:val="top"/>
          </w:tcPr>
          <w:p>
            <w:pPr>
              <w:pStyle w:val="TableText"/>
              <w:ind w:left="107" w:right="252"/>
              <w:spacing w:before="99" w:line="215" w:lineRule="auto"/>
              <w:rPr/>
            </w:pPr>
            <w:r>
              <w:rPr>
                <w:spacing w:val="9"/>
              </w:rPr>
              <w:t>公司年度报告中关于</w:t>
            </w:r>
            <w:r>
              <w:rPr>
                <w:b/>
                <w:bCs/>
                <w:spacing w:val="9"/>
              </w:rPr>
              <w:t>主要经营情况的相关文字</w:t>
            </w:r>
            <w:r>
              <w:rPr>
                <w:b/>
                <w:bCs/>
                <w:spacing w:val="16"/>
                <w:w w:val="101"/>
              </w:rPr>
              <w:t xml:space="preserve"> </w:t>
            </w:r>
            <w:r>
              <w:rPr>
                <w:b/>
                <w:bCs/>
                <w:spacing w:val="8"/>
              </w:rPr>
              <w:t>表述信息</w:t>
            </w:r>
            <w:r>
              <w:rPr>
                <w:spacing w:val="8"/>
              </w:rPr>
              <w:t>披露有误。</w:t>
            </w:r>
          </w:p>
        </w:tc>
      </w:tr>
      <w:tr>
        <w:trPr>
          <w:trHeight w:val="613" w:hRule="atLeast"/>
        </w:trPr>
        <w:tc>
          <w:tcPr>
            <w:tcW w:w="1471" w:type="dxa"/>
            <w:vAlign w:val="top"/>
          </w:tcPr>
          <w:p>
            <w:pPr>
              <w:pStyle w:val="TableText"/>
              <w:ind w:left="377"/>
              <w:spacing w:before="239" w:line="178" w:lineRule="auto"/>
              <w:rPr/>
            </w:pPr>
            <w:r>
              <w:rPr>
                <w:spacing w:val="3"/>
              </w:rPr>
              <w:t>300798</w:t>
            </w:r>
          </w:p>
        </w:tc>
        <w:tc>
          <w:tcPr>
            <w:tcW w:w="1484" w:type="dxa"/>
            <w:vAlign w:val="top"/>
          </w:tcPr>
          <w:p>
            <w:pPr>
              <w:pStyle w:val="TableText"/>
              <w:ind w:left="320"/>
              <w:spacing w:before="224" w:line="189" w:lineRule="auto"/>
              <w:rPr/>
            </w:pPr>
            <w:r>
              <w:rPr>
                <w:spacing w:val="8"/>
              </w:rPr>
              <w:t>锦鸡股份</w:t>
            </w:r>
          </w:p>
        </w:tc>
        <w:tc>
          <w:tcPr>
            <w:tcW w:w="1498" w:type="dxa"/>
            <w:vAlign w:val="top"/>
          </w:tcPr>
          <w:p>
            <w:pPr>
              <w:pStyle w:val="TableText"/>
              <w:ind w:left="434"/>
              <w:spacing w:before="224" w:line="189" w:lineRule="auto"/>
              <w:rPr/>
            </w:pPr>
            <w:r>
              <w:rPr>
                <w:spacing w:val="8"/>
              </w:rPr>
              <w:t>监管函</w:t>
            </w:r>
          </w:p>
        </w:tc>
        <w:tc>
          <w:tcPr>
            <w:tcW w:w="4563" w:type="dxa"/>
            <w:vAlign w:val="top"/>
          </w:tcPr>
          <w:p>
            <w:pPr>
              <w:pStyle w:val="TableText"/>
              <w:ind w:left="116"/>
              <w:spacing w:before="224" w:line="189" w:lineRule="auto"/>
              <w:rPr/>
            </w:pPr>
            <w:r>
              <w:rPr>
                <w:spacing w:val="8"/>
              </w:rPr>
              <w:t>时任副总经理亲属</w:t>
            </w:r>
            <w:r>
              <w:rPr>
                <w:b/>
                <w:bCs/>
                <w:spacing w:val="8"/>
              </w:rPr>
              <w:t>短线交易</w:t>
            </w:r>
            <w:r>
              <w:rPr>
                <w:spacing w:val="8"/>
              </w:rPr>
              <w:t>。</w:t>
            </w:r>
          </w:p>
        </w:tc>
      </w:tr>
    </w:tbl>
    <w:p>
      <w:pPr>
        <w:pStyle w:val="BodyText"/>
        <w:spacing w:line="14" w:lineRule="auto"/>
        <w:rPr>
          <w:sz w:val="2"/>
        </w:rPr>
      </w:pPr>
      <w:r/>
    </w:p>
    <w:p>
      <w:pPr>
        <w:spacing w:line="14" w:lineRule="auto"/>
        <w:sectPr>
          <w:pgSz w:w="11910" w:h="16840"/>
          <w:pgMar w:top="374" w:right="459" w:bottom="365" w:left="460" w:header="0" w:footer="0" w:gutter="0"/>
        </w:sectPr>
        <w:rPr>
          <w:sz w:val="2"/>
          <w:szCs w:val="2"/>
        </w:rPr>
      </w:pPr>
    </w:p>
    <w:tbl>
      <w:tblPr>
        <w:tblStyle w:val="TableNormal"/>
        <w:tblW w:w="9016" w:type="dxa"/>
        <w:tblInd w:w="163"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1090" w:hRule="atLeast"/>
        </w:trPr>
        <w:tc>
          <w:tcPr>
            <w:shd w:val="clear" w:fill="B8CCE4"/>
            <w:tcW w:w="1471" w:type="dxa"/>
            <w:vAlign w:val="top"/>
          </w:tcPr>
          <w:p>
            <w:pPr>
              <w:spacing w:line="377" w:lineRule="auto"/>
              <w:rPr>
                <w:rFonts w:ascii="Arial"/>
                <w:sz w:val="21"/>
              </w:rPr>
            </w:pPr>
            <w:r/>
          </w:p>
          <w:p>
            <w:pPr>
              <w:pStyle w:val="TableText"/>
              <w:ind w:left="377"/>
              <w:spacing w:before="86" w:line="178" w:lineRule="auto"/>
              <w:rPr/>
            </w:pPr>
            <w:r>
              <w:rPr>
                <w:spacing w:val="3"/>
              </w:rPr>
              <w:t>300798</w:t>
            </w:r>
          </w:p>
        </w:tc>
        <w:tc>
          <w:tcPr>
            <w:shd w:val="clear" w:fill="B8CCE4"/>
            <w:tcW w:w="1484" w:type="dxa"/>
            <w:vAlign w:val="top"/>
          </w:tcPr>
          <w:p>
            <w:pPr>
              <w:spacing w:line="362" w:lineRule="auto"/>
              <w:rPr>
                <w:rFonts w:ascii="Arial"/>
                <w:sz w:val="21"/>
              </w:rPr>
            </w:pPr>
            <w:r/>
          </w:p>
          <w:p>
            <w:pPr>
              <w:pStyle w:val="TableText"/>
              <w:ind w:left="320"/>
              <w:spacing w:before="86" w:line="189" w:lineRule="auto"/>
              <w:rPr/>
            </w:pPr>
            <w:r>
              <w:rPr>
                <w:spacing w:val="8"/>
              </w:rPr>
              <w:t>锦鸡股份</w:t>
            </w:r>
          </w:p>
        </w:tc>
        <w:tc>
          <w:tcPr>
            <w:shd w:val="clear" w:fill="B8CCE4"/>
            <w:tcW w:w="1498" w:type="dxa"/>
            <w:vAlign w:val="top"/>
          </w:tcPr>
          <w:p>
            <w:pPr>
              <w:spacing w:line="362" w:lineRule="auto"/>
              <w:rPr>
                <w:rFonts w:ascii="Arial"/>
                <w:sz w:val="21"/>
              </w:rPr>
            </w:pPr>
            <w:r/>
          </w:p>
          <w:p>
            <w:pPr>
              <w:pStyle w:val="TableText"/>
              <w:ind w:left="434"/>
              <w:spacing w:before="86" w:line="189" w:lineRule="auto"/>
              <w:rPr/>
            </w:pPr>
            <w:r>
              <w:rPr>
                <w:spacing w:val="8"/>
              </w:rPr>
              <w:t>监管函</w:t>
            </w:r>
          </w:p>
        </w:tc>
        <w:tc>
          <w:tcPr>
            <w:shd w:val="clear" w:fill="B8CCE4"/>
            <w:tcW w:w="4563" w:type="dxa"/>
            <w:vAlign w:val="top"/>
          </w:tcPr>
          <w:p>
            <w:pPr>
              <w:pStyle w:val="TableText"/>
              <w:ind w:left="106" w:right="254" w:firstLine="1"/>
              <w:spacing w:before="89" w:line="231" w:lineRule="auto"/>
              <w:jc w:val="both"/>
              <w:rPr/>
            </w:pPr>
            <w:r>
              <w:rPr>
                <w:spacing w:val="9"/>
              </w:rPr>
              <w:t>公司未就募集资金专户</w:t>
            </w:r>
            <w:r>
              <w:rPr>
                <w:b/>
                <w:bCs/>
                <w:spacing w:val="9"/>
              </w:rPr>
              <w:t>签订三方监管协议</w:t>
            </w:r>
            <w:r>
              <w:rPr>
                <w:spacing w:val="9"/>
              </w:rPr>
              <w:t>且募</w:t>
            </w:r>
            <w:r>
              <w:rPr>
                <w:spacing w:val="14"/>
              </w:rPr>
              <w:t xml:space="preserve"> </w:t>
            </w:r>
            <w:r>
              <w:rPr>
                <w:spacing w:val="9"/>
              </w:rPr>
              <w:t>集资金存放与使用情况的专项报告中披露不准</w:t>
            </w:r>
            <w:r>
              <w:rPr>
                <w:spacing w:val="15"/>
                <w:w w:val="101"/>
              </w:rPr>
              <w:t xml:space="preserve"> </w:t>
            </w:r>
            <w:r>
              <w:rPr>
                <w:spacing w:val="3"/>
              </w:rPr>
              <w:t>确。</w:t>
            </w:r>
          </w:p>
        </w:tc>
      </w:tr>
      <w:tr>
        <w:trPr>
          <w:trHeight w:val="3246" w:hRule="atLeast"/>
        </w:trPr>
        <w:tc>
          <w:tcPr>
            <w:tcW w:w="1471"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372"/>
              <w:spacing w:before="85" w:line="179" w:lineRule="auto"/>
              <w:rPr/>
            </w:pPr>
            <w:r>
              <w:rPr>
                <w:spacing w:val="3"/>
              </w:rPr>
              <w:t>000581</w:t>
            </w:r>
          </w:p>
        </w:tc>
        <w:tc>
          <w:tcPr>
            <w:tcW w:w="1484"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pStyle w:val="TableText"/>
              <w:ind w:left="320"/>
              <w:spacing w:before="86" w:line="190" w:lineRule="auto"/>
              <w:rPr/>
            </w:pPr>
            <w:r>
              <w:rPr>
                <w:spacing w:val="8"/>
              </w:rPr>
              <w:t>威孚高科</w:t>
            </w:r>
          </w:p>
        </w:tc>
        <w:tc>
          <w:tcPr>
            <w:tcW w:w="1498"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7" w:right="252"/>
              <w:spacing w:before="85" w:line="243" w:lineRule="auto"/>
              <w:rPr/>
            </w:pPr>
            <w:r>
              <w:rPr>
                <w:spacing w:val="9"/>
              </w:rPr>
              <w:t>公司首次与关联方开展</w:t>
            </w:r>
            <w:r>
              <w:rPr>
                <w:b/>
                <w:bCs/>
                <w:spacing w:val="9"/>
              </w:rPr>
              <w:t>关联交易</w:t>
            </w:r>
            <w:r>
              <w:rPr>
                <w:spacing w:val="9"/>
              </w:rPr>
              <w:t>时未及时履行</w:t>
            </w:r>
            <w:r>
              <w:rPr>
                <w:spacing w:val="14"/>
              </w:rPr>
              <w:t xml:space="preserve"> </w:t>
            </w:r>
            <w:r>
              <w:rPr>
                <w:spacing w:val="7"/>
              </w:rPr>
              <w:t>信息披露义务。公司披露的《关于预计2022   </w:t>
            </w:r>
            <w:r>
              <w:rPr>
                <w:spacing w:val="9"/>
              </w:rPr>
              <w:t>年度日常关联交易总金额的公告》中</w:t>
            </w:r>
            <w:r>
              <w:rPr>
                <w:b/>
                <w:bCs/>
                <w:spacing w:val="9"/>
              </w:rPr>
              <w:t>已发生的</w:t>
            </w:r>
            <w:r>
              <w:rPr>
                <w:b/>
                <w:bCs/>
                <w:spacing w:val="14"/>
              </w:rPr>
              <w:t xml:space="preserve"> </w:t>
            </w:r>
            <w:r>
              <w:rPr>
                <w:spacing w:val="9"/>
              </w:rPr>
              <w:t>关联交易金额不准确。公司交易实际执行金额</w:t>
            </w:r>
            <w:r>
              <w:rPr>
                <w:spacing w:val="14"/>
              </w:rPr>
              <w:t xml:space="preserve"> </w:t>
            </w:r>
            <w:r>
              <w:rPr>
                <w:b/>
                <w:bCs/>
                <w:spacing w:val="6"/>
              </w:rPr>
              <w:t>超出预计金额</w:t>
            </w:r>
            <w:r>
              <w:rPr>
                <w:spacing w:val="6"/>
              </w:rPr>
              <w:t>时 ，未及时履行审议程序并披露</w:t>
            </w:r>
            <w:r>
              <w:rPr>
                <w:spacing w:val="9"/>
              </w:rPr>
              <w:t xml:space="preserve"> </w:t>
            </w:r>
            <w:r>
              <w:rPr>
                <w:spacing w:val="9"/>
              </w:rPr>
              <w:t>。公司</w:t>
            </w:r>
            <w:r>
              <w:rPr>
                <w:b/>
                <w:bCs/>
                <w:spacing w:val="9"/>
              </w:rPr>
              <w:t>多笔</w:t>
            </w:r>
            <w:r>
              <w:rPr>
                <w:spacing w:val="9"/>
              </w:rPr>
              <w:t>关联交易金额达到临时信息披露标</w:t>
            </w:r>
            <w:r>
              <w:rPr>
                <w:spacing w:val="16"/>
              </w:rPr>
              <w:t xml:space="preserve"> </w:t>
            </w:r>
            <w:r>
              <w:rPr>
                <w:spacing w:val="6"/>
              </w:rPr>
              <w:t>准 ，但未履行审议程序和临时信息披露义务。</w:t>
            </w:r>
          </w:p>
          <w:p>
            <w:pPr>
              <w:pStyle w:val="TableText"/>
              <w:ind w:left="109" w:right="156" w:hanging="2"/>
              <w:spacing w:before="88" w:line="220" w:lineRule="auto"/>
              <w:rPr/>
            </w:pPr>
            <w:r>
              <w:rPr>
                <w:spacing w:val="9"/>
              </w:rPr>
              <w:t>公司</w:t>
            </w:r>
            <w:r>
              <w:rPr>
                <w:b/>
                <w:bCs/>
                <w:spacing w:val="9"/>
              </w:rPr>
              <w:t>2022年度半年报、年报</w:t>
            </w:r>
            <w:r>
              <w:rPr>
                <w:spacing w:val="9"/>
              </w:rPr>
              <w:t>中披露的部分关联</w:t>
            </w:r>
            <w:r>
              <w:rPr>
                <w:spacing w:val="1"/>
              </w:rPr>
              <w:t xml:space="preserve"> </w:t>
            </w:r>
            <w:r>
              <w:rPr>
                <w:spacing w:val="8"/>
              </w:rPr>
              <w:t>交易金额不准确。</w:t>
            </w:r>
          </w:p>
        </w:tc>
      </w:tr>
      <w:tr>
        <w:trPr>
          <w:trHeight w:val="1084" w:hRule="atLeast"/>
        </w:trPr>
        <w:tc>
          <w:tcPr>
            <w:shd w:val="clear" w:fill="B8CCE4"/>
            <w:tcW w:w="1471" w:type="dxa"/>
            <w:vAlign w:val="top"/>
          </w:tcPr>
          <w:p>
            <w:pPr>
              <w:spacing w:line="372" w:lineRule="auto"/>
              <w:rPr>
                <w:rFonts w:ascii="Arial"/>
                <w:sz w:val="21"/>
              </w:rPr>
            </w:pPr>
            <w:r/>
          </w:p>
          <w:p>
            <w:pPr>
              <w:pStyle w:val="TableText"/>
              <w:ind w:left="377"/>
              <w:spacing w:before="86" w:line="178" w:lineRule="auto"/>
              <w:rPr/>
            </w:pPr>
            <w:r>
              <w:rPr>
                <w:spacing w:val="3"/>
              </w:rPr>
              <w:t>300496</w:t>
            </w:r>
          </w:p>
        </w:tc>
        <w:tc>
          <w:tcPr>
            <w:shd w:val="clear" w:fill="B8CCE4"/>
            <w:tcW w:w="1484" w:type="dxa"/>
            <w:vAlign w:val="top"/>
          </w:tcPr>
          <w:p>
            <w:pPr>
              <w:spacing w:line="358" w:lineRule="auto"/>
              <w:rPr>
                <w:rFonts w:ascii="Arial"/>
                <w:sz w:val="21"/>
              </w:rPr>
            </w:pPr>
            <w:r/>
          </w:p>
          <w:p>
            <w:pPr>
              <w:pStyle w:val="TableText"/>
              <w:ind w:left="334"/>
              <w:spacing w:before="86" w:line="189" w:lineRule="auto"/>
              <w:rPr/>
            </w:pPr>
            <w:r>
              <w:rPr>
                <w:spacing w:val="5"/>
              </w:rPr>
              <w:t>中科创达</w:t>
            </w:r>
          </w:p>
        </w:tc>
        <w:tc>
          <w:tcPr>
            <w:shd w:val="clear" w:fill="B8CCE4"/>
            <w:tcW w:w="1498" w:type="dxa"/>
            <w:vAlign w:val="top"/>
          </w:tcPr>
          <w:p>
            <w:pPr>
              <w:spacing w:line="358" w:lineRule="auto"/>
              <w:rPr>
                <w:rFonts w:ascii="Arial"/>
                <w:sz w:val="21"/>
              </w:rPr>
            </w:pPr>
            <w:r/>
          </w:p>
          <w:p>
            <w:pPr>
              <w:pStyle w:val="TableText"/>
              <w:ind w:left="434"/>
              <w:spacing w:before="85" w:line="189" w:lineRule="auto"/>
              <w:rPr/>
            </w:pPr>
            <w:r>
              <w:rPr>
                <w:spacing w:val="8"/>
              </w:rPr>
              <w:t>监管函</w:t>
            </w:r>
          </w:p>
        </w:tc>
        <w:tc>
          <w:tcPr>
            <w:shd w:val="clear" w:fill="B8CCE4"/>
            <w:tcW w:w="4563" w:type="dxa"/>
            <w:vAlign w:val="top"/>
          </w:tcPr>
          <w:p>
            <w:pPr>
              <w:pStyle w:val="TableText"/>
              <w:ind w:left="109" w:right="180" w:hanging="2"/>
              <w:spacing w:before="50" w:line="269" w:lineRule="auto"/>
              <w:jc w:val="both"/>
              <w:rPr/>
            </w:pPr>
            <w:r>
              <w:rPr>
                <w:spacing w:val="7"/>
              </w:rPr>
              <w:t>《</w:t>
            </w:r>
            <w:r>
              <w:rPr>
                <w:spacing w:val="-14"/>
              </w:rPr>
              <w:t xml:space="preserve"> </w:t>
            </w:r>
            <w:r>
              <w:rPr>
                <w:spacing w:val="7"/>
              </w:rPr>
              <w:t>2023年年度报告》中</w:t>
            </w:r>
            <w:r>
              <w:rPr>
                <w:b/>
                <w:bCs/>
                <w:spacing w:val="7"/>
              </w:rPr>
              <w:t>分季度主要财务指标</w:t>
            </w:r>
            <w:r>
              <w:rPr>
                <w:spacing w:val="7"/>
              </w:rPr>
              <w:t>等</w:t>
            </w:r>
            <w:r>
              <w:rPr/>
              <w:t xml:space="preserve"> </w:t>
            </w:r>
            <w:r>
              <w:rPr>
                <w:spacing w:val="6"/>
              </w:rPr>
              <w:t>部分信息披露有误 ，公司对相关内容予以补充</w:t>
            </w:r>
          </w:p>
          <w:p>
            <w:pPr>
              <w:pStyle w:val="TableText"/>
              <w:ind w:left="108"/>
              <w:spacing w:before="1" w:line="177" w:lineRule="auto"/>
              <w:rPr/>
            </w:pPr>
            <w:r>
              <w:rPr>
                <w:spacing w:val="4"/>
              </w:rPr>
              <w:t>更正。</w:t>
            </w:r>
          </w:p>
        </w:tc>
      </w:tr>
      <w:tr>
        <w:trPr>
          <w:trHeight w:val="726" w:hRule="atLeast"/>
        </w:trPr>
        <w:tc>
          <w:tcPr>
            <w:tcW w:w="1471" w:type="dxa"/>
            <w:vAlign w:val="top"/>
          </w:tcPr>
          <w:p>
            <w:pPr>
              <w:pStyle w:val="TableText"/>
              <w:ind w:left="377"/>
              <w:spacing w:before="282" w:line="179" w:lineRule="auto"/>
              <w:rPr/>
            </w:pPr>
            <w:r>
              <w:rPr>
                <w:spacing w:val="3"/>
              </w:rPr>
              <w:t>300381</w:t>
            </w:r>
          </w:p>
        </w:tc>
        <w:tc>
          <w:tcPr>
            <w:tcW w:w="1484" w:type="dxa"/>
            <w:vAlign w:val="top"/>
          </w:tcPr>
          <w:p>
            <w:pPr>
              <w:pStyle w:val="TableText"/>
              <w:ind w:left="426"/>
              <w:spacing w:before="269" w:line="189" w:lineRule="auto"/>
              <w:rPr/>
            </w:pPr>
            <w:r>
              <w:rPr>
                <w:spacing w:val="8"/>
              </w:rPr>
              <w:t>溢多利</w:t>
            </w:r>
          </w:p>
        </w:tc>
        <w:tc>
          <w:tcPr>
            <w:tcW w:w="1498" w:type="dxa"/>
            <w:vAlign w:val="top"/>
          </w:tcPr>
          <w:p>
            <w:pPr>
              <w:pStyle w:val="TableText"/>
              <w:ind w:left="434"/>
              <w:spacing w:before="269" w:line="189" w:lineRule="auto"/>
              <w:rPr/>
            </w:pPr>
            <w:r>
              <w:rPr>
                <w:spacing w:val="8"/>
              </w:rPr>
              <w:t>监管函</w:t>
            </w:r>
          </w:p>
        </w:tc>
        <w:tc>
          <w:tcPr>
            <w:tcW w:w="4563" w:type="dxa"/>
            <w:vAlign w:val="top"/>
          </w:tcPr>
          <w:p>
            <w:pPr>
              <w:pStyle w:val="TableText"/>
              <w:ind w:left="108" w:right="235" w:hanging="1"/>
              <w:spacing w:before="89" w:line="219" w:lineRule="auto"/>
              <w:rPr/>
            </w:pPr>
            <w:r>
              <w:rPr>
                <w:spacing w:val="8"/>
              </w:rPr>
              <w:t>公司未在</w:t>
            </w:r>
            <w:r>
              <w:rPr>
                <w:b/>
                <w:bCs/>
                <w:spacing w:val="8"/>
              </w:rPr>
              <w:t>预计触发转股价格修正条件</w:t>
            </w:r>
            <w:r>
              <w:rPr>
                <w:spacing w:val="8"/>
              </w:rPr>
              <w:t>的  5个交</w:t>
            </w:r>
            <w:r>
              <w:rPr>
                <w:spacing w:val="1"/>
              </w:rPr>
              <w:t xml:space="preserve"> </w:t>
            </w:r>
            <w:r>
              <w:rPr>
                <w:spacing w:val="8"/>
              </w:rPr>
              <w:t>易日前及时披露相关提示性公告。</w:t>
            </w:r>
          </w:p>
        </w:tc>
      </w:tr>
      <w:tr>
        <w:trPr>
          <w:trHeight w:val="365" w:hRule="atLeast"/>
        </w:trPr>
        <w:tc>
          <w:tcPr>
            <w:shd w:val="clear" w:fill="B8CCE4"/>
            <w:tcW w:w="1471" w:type="dxa"/>
            <w:vAlign w:val="top"/>
          </w:tcPr>
          <w:p>
            <w:pPr>
              <w:pStyle w:val="TableText"/>
              <w:ind w:left="372"/>
              <w:spacing w:before="101" w:line="177" w:lineRule="auto"/>
              <w:rPr/>
            </w:pPr>
            <w:r>
              <w:rPr>
                <w:spacing w:val="3"/>
              </w:rPr>
              <w:t>002069</w:t>
            </w:r>
          </w:p>
        </w:tc>
        <w:tc>
          <w:tcPr>
            <w:shd w:val="clear" w:fill="B8CCE4"/>
            <w:tcW w:w="1484" w:type="dxa"/>
            <w:vAlign w:val="top"/>
          </w:tcPr>
          <w:p>
            <w:pPr>
              <w:pStyle w:val="TableText"/>
              <w:ind w:left="425"/>
              <w:spacing w:before="86" w:line="188" w:lineRule="auto"/>
              <w:rPr/>
            </w:pPr>
            <w:r>
              <w:rPr>
                <w:spacing w:val="8"/>
              </w:rPr>
              <w:t>獐子岛</w:t>
            </w:r>
          </w:p>
        </w:tc>
        <w:tc>
          <w:tcPr>
            <w:shd w:val="clear" w:fill="B8CCE4"/>
            <w:tcW w:w="1498" w:type="dxa"/>
            <w:vAlign w:val="top"/>
          </w:tcPr>
          <w:p>
            <w:pPr>
              <w:pStyle w:val="TableText"/>
              <w:ind w:left="434"/>
              <w:spacing w:before="87" w:line="187" w:lineRule="auto"/>
              <w:rPr/>
            </w:pPr>
            <w:r>
              <w:rPr>
                <w:spacing w:val="8"/>
              </w:rPr>
              <w:t>监管函</w:t>
            </w:r>
          </w:p>
        </w:tc>
        <w:tc>
          <w:tcPr>
            <w:shd w:val="clear" w:fill="B8CCE4"/>
            <w:tcW w:w="4563" w:type="dxa"/>
            <w:vAlign w:val="top"/>
          </w:tcPr>
          <w:p>
            <w:pPr>
              <w:pStyle w:val="TableText"/>
              <w:ind w:left="109"/>
              <w:spacing w:before="87" w:line="187" w:lineRule="auto"/>
              <w:rPr/>
            </w:pPr>
            <w:r>
              <w:rPr>
                <w:spacing w:val="8"/>
              </w:rPr>
              <w:t>董事配偶</w:t>
            </w:r>
            <w:r>
              <w:rPr>
                <w:b/>
                <w:bCs/>
                <w:spacing w:val="8"/>
              </w:rPr>
              <w:t>短线交易</w:t>
            </w:r>
            <w:r>
              <w:rPr>
                <w:spacing w:val="8"/>
              </w:rPr>
              <w:t>。</w:t>
            </w:r>
          </w:p>
        </w:tc>
      </w:tr>
      <w:tr>
        <w:trPr>
          <w:trHeight w:val="1085" w:hRule="atLeast"/>
        </w:trPr>
        <w:tc>
          <w:tcPr>
            <w:tcW w:w="1471" w:type="dxa"/>
            <w:vAlign w:val="top"/>
          </w:tcPr>
          <w:p>
            <w:pPr>
              <w:spacing w:line="374" w:lineRule="auto"/>
              <w:rPr>
                <w:rFonts w:ascii="Arial"/>
                <w:sz w:val="21"/>
              </w:rPr>
            </w:pPr>
            <w:r/>
          </w:p>
          <w:p>
            <w:pPr>
              <w:pStyle w:val="TableText"/>
              <w:ind w:left="372"/>
              <w:spacing w:before="85" w:line="178" w:lineRule="auto"/>
              <w:rPr/>
            </w:pPr>
            <w:r>
              <w:rPr>
                <w:spacing w:val="3"/>
              </w:rPr>
              <w:t>002453</w:t>
            </w:r>
          </w:p>
        </w:tc>
        <w:tc>
          <w:tcPr>
            <w:tcW w:w="1484" w:type="dxa"/>
            <w:vAlign w:val="top"/>
          </w:tcPr>
          <w:p>
            <w:pPr>
              <w:spacing w:line="359" w:lineRule="auto"/>
              <w:rPr>
                <w:rFonts w:ascii="Arial"/>
                <w:sz w:val="21"/>
              </w:rPr>
            </w:pPr>
            <w:r/>
          </w:p>
          <w:p>
            <w:pPr>
              <w:pStyle w:val="TableText"/>
              <w:ind w:left="322"/>
              <w:spacing w:before="86" w:line="189" w:lineRule="auto"/>
              <w:rPr/>
            </w:pPr>
            <w:r>
              <w:rPr>
                <w:spacing w:val="8"/>
              </w:rPr>
              <w:t>华软科技</w:t>
            </w:r>
          </w:p>
        </w:tc>
        <w:tc>
          <w:tcPr>
            <w:tcW w:w="1498" w:type="dxa"/>
            <w:vAlign w:val="top"/>
          </w:tcPr>
          <w:p>
            <w:pPr>
              <w:spacing w:line="359" w:lineRule="auto"/>
              <w:rPr>
                <w:rFonts w:ascii="Arial"/>
                <w:sz w:val="21"/>
              </w:rPr>
            </w:pPr>
            <w:r/>
          </w:p>
          <w:p>
            <w:pPr>
              <w:pStyle w:val="TableText"/>
              <w:ind w:left="434"/>
              <w:spacing w:before="86" w:line="189" w:lineRule="auto"/>
              <w:rPr/>
            </w:pPr>
            <w:r>
              <w:rPr>
                <w:spacing w:val="8"/>
              </w:rPr>
              <w:t>监管函</w:t>
            </w:r>
          </w:p>
        </w:tc>
        <w:tc>
          <w:tcPr>
            <w:tcW w:w="4563" w:type="dxa"/>
            <w:vAlign w:val="top"/>
          </w:tcPr>
          <w:p>
            <w:pPr>
              <w:pStyle w:val="TableText"/>
              <w:ind w:left="108" w:right="252"/>
              <w:spacing w:before="84" w:line="231" w:lineRule="auto"/>
              <w:jc w:val="both"/>
              <w:rPr/>
            </w:pPr>
            <w:r>
              <w:rPr>
                <w:spacing w:val="9"/>
              </w:rPr>
              <w:t>重大资产重组交易对手方及业绩承诺补偿义务</w:t>
            </w:r>
            <w:r>
              <w:rPr>
                <w:spacing w:val="12"/>
              </w:rPr>
              <w:t xml:space="preserve"> </w:t>
            </w:r>
            <w:r>
              <w:rPr>
                <w:spacing w:val="9"/>
              </w:rPr>
              <w:t>人未按照公开披露的业绩承诺方案及时履行</w:t>
            </w:r>
            <w:r>
              <w:rPr>
                <w:b/>
                <w:bCs/>
                <w:spacing w:val="9"/>
              </w:rPr>
              <w:t>补</w:t>
            </w:r>
            <w:r>
              <w:rPr>
                <w:b/>
                <w:bCs/>
                <w:spacing w:val="16"/>
              </w:rPr>
              <w:t xml:space="preserve"> </w:t>
            </w:r>
            <w:r>
              <w:rPr>
                <w:b/>
                <w:bCs/>
                <w:spacing w:val="6"/>
              </w:rPr>
              <w:t>偿义务。</w:t>
            </w:r>
          </w:p>
        </w:tc>
      </w:tr>
      <w:tr>
        <w:trPr>
          <w:trHeight w:val="725" w:hRule="atLeast"/>
        </w:trPr>
        <w:tc>
          <w:tcPr>
            <w:shd w:val="clear" w:fill="B8CCE4"/>
            <w:tcW w:w="1471" w:type="dxa"/>
            <w:vAlign w:val="top"/>
          </w:tcPr>
          <w:p>
            <w:pPr>
              <w:pStyle w:val="TableText"/>
              <w:ind w:left="377"/>
              <w:spacing w:before="284" w:line="178" w:lineRule="auto"/>
              <w:rPr/>
            </w:pPr>
            <w:r>
              <w:rPr>
                <w:spacing w:val="3"/>
              </w:rPr>
              <w:t>300097</w:t>
            </w:r>
          </w:p>
        </w:tc>
        <w:tc>
          <w:tcPr>
            <w:shd w:val="clear" w:fill="B8CCE4"/>
            <w:tcW w:w="1484" w:type="dxa"/>
            <w:vAlign w:val="top"/>
          </w:tcPr>
          <w:p>
            <w:pPr>
              <w:pStyle w:val="TableText"/>
              <w:ind w:left="319"/>
              <w:spacing w:before="269" w:line="189" w:lineRule="auto"/>
              <w:rPr/>
            </w:pPr>
            <w:r>
              <w:rPr>
                <w:spacing w:val="8"/>
              </w:rPr>
              <w:t>智云股份</w:t>
            </w:r>
          </w:p>
        </w:tc>
        <w:tc>
          <w:tcPr>
            <w:shd w:val="clear" w:fill="B8CCE4"/>
            <w:tcW w:w="1498" w:type="dxa"/>
            <w:vAlign w:val="top"/>
          </w:tcPr>
          <w:p>
            <w:pPr>
              <w:pStyle w:val="TableText"/>
              <w:ind w:left="329"/>
              <w:spacing w:before="272" w:line="187" w:lineRule="auto"/>
              <w:rPr/>
            </w:pPr>
            <w:r>
              <w:rPr>
                <w:spacing w:val="8"/>
              </w:rPr>
              <w:t>公开谴责</w:t>
            </w:r>
          </w:p>
        </w:tc>
        <w:tc>
          <w:tcPr>
            <w:shd w:val="clear" w:fill="B8CCE4"/>
            <w:tcW w:w="4563" w:type="dxa"/>
            <w:vAlign w:val="top"/>
          </w:tcPr>
          <w:p>
            <w:pPr>
              <w:pStyle w:val="TableText"/>
              <w:ind w:left="116" w:right="252" w:hanging="7"/>
              <w:spacing w:before="88" w:line="219" w:lineRule="auto"/>
              <w:rPr/>
            </w:pPr>
            <w:r>
              <w:rPr>
                <w:spacing w:val="9"/>
              </w:rPr>
              <w:t>业绩承诺补偿义务人未按照公开披露的信息及</w:t>
            </w:r>
            <w:r>
              <w:rPr>
                <w:spacing w:val="15"/>
              </w:rPr>
              <w:t xml:space="preserve"> </w:t>
            </w:r>
            <w:r>
              <w:rPr>
                <w:spacing w:val="8"/>
              </w:rPr>
              <w:t>时、足额履行</w:t>
            </w:r>
            <w:r>
              <w:rPr>
                <w:b/>
                <w:bCs/>
                <w:spacing w:val="8"/>
              </w:rPr>
              <w:t>业绩补偿义务。</w:t>
            </w:r>
          </w:p>
        </w:tc>
      </w:tr>
      <w:tr>
        <w:trPr>
          <w:trHeight w:val="1805" w:hRule="atLeast"/>
        </w:trPr>
        <w:tc>
          <w:tcPr>
            <w:tcW w:w="1471"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72"/>
              <w:spacing w:before="86" w:line="179" w:lineRule="auto"/>
              <w:rPr/>
            </w:pPr>
            <w:r>
              <w:rPr>
                <w:spacing w:val="3"/>
              </w:rPr>
              <w:t>000581</w:t>
            </w:r>
          </w:p>
        </w:tc>
        <w:tc>
          <w:tcPr>
            <w:tcW w:w="1484" w:type="dxa"/>
            <w:vAlign w:val="top"/>
          </w:tcPr>
          <w:p>
            <w:pPr>
              <w:spacing w:line="359" w:lineRule="auto"/>
              <w:rPr>
                <w:rFonts w:ascii="Arial"/>
                <w:sz w:val="21"/>
              </w:rPr>
            </w:pPr>
            <w:r/>
          </w:p>
          <w:p>
            <w:pPr>
              <w:spacing w:line="360" w:lineRule="auto"/>
              <w:rPr>
                <w:rFonts w:ascii="Arial"/>
                <w:sz w:val="21"/>
              </w:rPr>
            </w:pPr>
            <w:r/>
          </w:p>
          <w:p>
            <w:pPr>
              <w:pStyle w:val="TableText"/>
              <w:ind w:left="320"/>
              <w:spacing w:before="86" w:line="190" w:lineRule="auto"/>
              <w:rPr/>
            </w:pPr>
            <w:r>
              <w:rPr>
                <w:spacing w:val="8"/>
              </w:rPr>
              <w:t>威孚高科</w:t>
            </w:r>
          </w:p>
        </w:tc>
        <w:tc>
          <w:tcPr>
            <w:tcW w:w="1498" w:type="dxa"/>
            <w:vAlign w:val="top"/>
          </w:tcPr>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329"/>
              <w:spacing w:before="86" w:line="188" w:lineRule="auto"/>
              <w:rPr/>
            </w:pPr>
            <w:r>
              <w:rPr>
                <w:spacing w:val="8"/>
              </w:rPr>
              <w:t>通报批评</w:t>
            </w:r>
          </w:p>
        </w:tc>
        <w:tc>
          <w:tcPr>
            <w:tcW w:w="4563" w:type="dxa"/>
            <w:vAlign w:val="top"/>
          </w:tcPr>
          <w:p>
            <w:pPr>
              <w:pStyle w:val="TableText"/>
              <w:ind w:left="106" w:right="254" w:firstLine="1"/>
              <w:spacing w:before="89" w:line="221" w:lineRule="auto"/>
              <w:rPr/>
            </w:pPr>
            <w:r>
              <w:rPr>
                <w:spacing w:val="6"/>
              </w:rPr>
              <w:t>威孚高科因贸易业务存在异常情况 ，对贸易业</w:t>
            </w:r>
            <w:r>
              <w:rPr>
                <w:spacing w:val="8"/>
              </w:rPr>
              <w:t xml:space="preserve"> </w:t>
            </w:r>
            <w:r>
              <w:rPr>
                <w:spacing w:val="6"/>
              </w:rPr>
              <w:t>务按照资金收付进行</w:t>
            </w:r>
            <w:r>
              <w:rPr>
                <w:b/>
                <w:bCs/>
                <w:spacing w:val="6"/>
              </w:rPr>
              <w:t>会计差错更正 </w:t>
            </w:r>
            <w:r>
              <w:rPr>
                <w:spacing w:val="6"/>
              </w:rPr>
              <w:t>，更正后</w:t>
            </w:r>
          </w:p>
          <w:p>
            <w:pPr>
              <w:pStyle w:val="TableText"/>
              <w:ind w:left="108" w:right="154" w:firstLine="8"/>
              <w:spacing w:before="86" w:line="230" w:lineRule="auto"/>
              <w:tabs>
                <w:tab w:val="left" w:pos="188"/>
              </w:tabs>
              <w:rPr/>
            </w:pPr>
            <w:r>
              <w:rPr>
                <w:spacing w:val="7"/>
              </w:rPr>
              <w:t>2022年第三季度报告净利润调减金额2.8</w:t>
            </w:r>
            <w:r>
              <w:rPr>
                <w:spacing w:val="6"/>
              </w:rPr>
              <w:t>亿元   </w:t>
            </w:r>
            <w:r>
              <w:rPr/>
              <w:tab/>
            </w:r>
            <w:r>
              <w:rPr>
                <w:spacing w:val="4"/>
              </w:rPr>
              <w:t>,</w:t>
            </w:r>
            <w:r>
              <w:rPr>
                <w:spacing w:val="56"/>
              </w:rPr>
              <w:t xml:space="preserve"> </w:t>
            </w:r>
            <w:r>
              <w:rPr>
                <w:spacing w:val="4"/>
              </w:rPr>
              <w:t>变动幅度为17.54% ，并导致威孚高科未按规</w:t>
            </w:r>
            <w:r>
              <w:rPr/>
              <w:t xml:space="preserve"> </w:t>
            </w:r>
            <w:r>
              <w:rPr>
                <w:spacing w:val="8"/>
              </w:rPr>
              <w:t>定及时披露2022年度业绩预告。</w:t>
            </w:r>
          </w:p>
        </w:tc>
      </w:tr>
      <w:tr>
        <w:trPr>
          <w:trHeight w:val="730" w:hRule="atLeast"/>
        </w:trPr>
        <w:tc>
          <w:tcPr>
            <w:shd w:val="clear" w:fill="B8CCE4"/>
            <w:tcW w:w="1471" w:type="dxa"/>
            <w:vAlign w:val="top"/>
          </w:tcPr>
          <w:p>
            <w:pPr>
              <w:pStyle w:val="TableText"/>
              <w:ind w:left="372"/>
              <w:spacing w:before="285" w:line="178" w:lineRule="auto"/>
              <w:rPr/>
            </w:pPr>
            <w:r>
              <w:rPr>
                <w:spacing w:val="3"/>
              </w:rPr>
              <w:t>002453</w:t>
            </w:r>
          </w:p>
        </w:tc>
        <w:tc>
          <w:tcPr>
            <w:shd w:val="clear" w:fill="B8CCE4"/>
            <w:tcW w:w="1484" w:type="dxa"/>
            <w:vAlign w:val="top"/>
          </w:tcPr>
          <w:p>
            <w:pPr>
              <w:pStyle w:val="TableText"/>
              <w:ind w:left="322"/>
              <w:spacing w:before="271" w:line="189" w:lineRule="auto"/>
              <w:rPr/>
            </w:pPr>
            <w:r>
              <w:rPr>
                <w:spacing w:val="8"/>
              </w:rPr>
              <w:t>华软科技</w:t>
            </w:r>
          </w:p>
        </w:tc>
        <w:tc>
          <w:tcPr>
            <w:shd w:val="clear" w:fill="B8CCE4"/>
            <w:tcW w:w="1498" w:type="dxa"/>
            <w:vAlign w:val="top"/>
          </w:tcPr>
          <w:p>
            <w:pPr>
              <w:pStyle w:val="TableText"/>
              <w:ind w:left="329"/>
              <w:spacing w:before="272" w:line="188" w:lineRule="auto"/>
              <w:rPr/>
            </w:pPr>
            <w:r>
              <w:rPr>
                <w:spacing w:val="8"/>
              </w:rPr>
              <w:t>通报批评</w:t>
            </w:r>
          </w:p>
        </w:tc>
        <w:tc>
          <w:tcPr>
            <w:shd w:val="clear" w:fill="B8CCE4"/>
            <w:tcW w:w="4563" w:type="dxa"/>
            <w:vAlign w:val="top"/>
          </w:tcPr>
          <w:p>
            <w:pPr>
              <w:pStyle w:val="TableText"/>
              <w:ind w:left="116" w:right="252" w:hanging="7"/>
              <w:spacing w:before="90" w:line="220" w:lineRule="auto"/>
              <w:rPr/>
            </w:pPr>
            <w:r>
              <w:rPr>
                <w:spacing w:val="9"/>
              </w:rPr>
              <w:t>业绩承诺补偿义务人未按照公开披露的信息及</w:t>
            </w:r>
            <w:r>
              <w:rPr>
                <w:spacing w:val="15"/>
              </w:rPr>
              <w:t xml:space="preserve"> </w:t>
            </w:r>
            <w:r>
              <w:rPr>
                <w:spacing w:val="8"/>
              </w:rPr>
              <w:t>时、足额履行</w:t>
            </w:r>
            <w:r>
              <w:rPr>
                <w:b/>
                <w:bCs/>
                <w:spacing w:val="8"/>
              </w:rPr>
              <w:t>业绩补偿义务。</w:t>
            </w:r>
          </w:p>
        </w:tc>
      </w:tr>
    </w:tbl>
    <w:p>
      <w:pPr>
        <w:pStyle w:val="BodyText"/>
        <w:spacing w:line="424" w:lineRule="auto"/>
        <w:rPr/>
      </w:pPr>
      <w:r/>
    </w:p>
    <w:p>
      <w:pPr>
        <w:spacing w:before="103"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6"/>
        </w:rPr>
        <w:t>（</w:t>
      </w:r>
      <w:r>
        <w:rPr>
          <w:rFonts w:ascii="Microsoft YaHei" w:hAnsi="Microsoft YaHei" w:eastAsia="Microsoft YaHei" w:cs="Microsoft YaHei"/>
          <w:sz w:val="24"/>
          <w:szCs w:val="24"/>
          <w:b/>
          <w:bCs/>
          <w:spacing w:val="25"/>
        </w:rPr>
        <w:t xml:space="preserve">  </w:t>
      </w:r>
      <w:r>
        <w:rPr>
          <w:rFonts w:ascii="Microsoft YaHei" w:hAnsi="Microsoft YaHei" w:eastAsia="Microsoft YaHei" w:cs="Microsoft YaHei"/>
          <w:sz w:val="24"/>
          <w:szCs w:val="24"/>
          <w:b/>
          <w:bCs/>
          <w:spacing w:val="-16"/>
        </w:rPr>
        <w:t>2</w:t>
      </w:r>
      <w:r>
        <w:rPr>
          <w:rFonts w:ascii="Microsoft YaHei" w:hAnsi="Microsoft YaHei" w:eastAsia="Microsoft YaHei" w:cs="Microsoft YaHei"/>
          <w:sz w:val="24"/>
          <w:szCs w:val="24"/>
          <w:b/>
          <w:bCs/>
          <w:spacing w:val="19"/>
        </w:rPr>
        <w:t xml:space="preserve">  </w:t>
      </w:r>
      <w:r>
        <w:rPr>
          <w:rFonts w:ascii="Microsoft YaHei" w:hAnsi="Microsoft YaHei" w:eastAsia="Microsoft YaHei" w:cs="Microsoft YaHei"/>
          <w:sz w:val="24"/>
          <w:szCs w:val="24"/>
          <w:b/>
          <w:bCs/>
          <w:spacing w:val="-16"/>
        </w:rPr>
        <w:t>）函件统计</w:t>
      </w:r>
    </w:p>
    <w:tbl>
      <w:tblPr>
        <w:tblStyle w:val="TableNormal"/>
        <w:tblW w:w="9003" w:type="dxa"/>
        <w:tblInd w:w="17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8" w:hRule="atLeast"/>
        </w:trPr>
        <w:tc>
          <w:tcPr>
            <w:shd w:val="clear" w:fill="4BACC6"/>
            <w:tcW w:w="1105" w:type="dxa"/>
            <w:vAlign w:val="top"/>
            <w:tcBorders>
              <w:left w:val="nil"/>
              <w:top w:val="nil"/>
              <w:right w:val="single" w:color="92CDDC" w:sz="2" w:space="0"/>
            </w:tcBorders>
          </w:tcPr>
          <w:p>
            <w:pPr>
              <w:pStyle w:val="TableText"/>
              <w:ind w:left="115"/>
              <w:spacing w:before="89"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bottom w:val="single" w:color="92CDDC" w:sz="2" w:space="0"/>
              <w:right w:val="single" w:color="92CDDC" w:sz="2" w:space="0"/>
            </w:tcBorders>
          </w:tcPr>
          <w:p>
            <w:pPr>
              <w:pStyle w:val="TableText"/>
              <w:ind w:left="196"/>
              <w:spacing w:before="89"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83"/>
              <w:spacing w:before="89" w:line="183" w:lineRule="auto"/>
              <w:rPr>
                <w:sz w:val="22"/>
                <w:szCs w:val="22"/>
              </w:rPr>
            </w:pPr>
            <w:r>
              <w:rPr>
                <w:sz w:val="22"/>
                <w:szCs w:val="22"/>
                <w:b/>
                <w:bCs/>
                <w:color w:val="FFFFFF"/>
                <w:spacing w:val="-4"/>
              </w:rPr>
              <w:t>函件类别</w:t>
            </w:r>
          </w:p>
        </w:tc>
      </w:tr>
      <w:tr>
        <w:trPr>
          <w:trHeight w:val="462" w:hRule="atLeast"/>
        </w:trPr>
        <w:tc>
          <w:tcPr>
            <w:tcW w:w="1105" w:type="dxa"/>
            <w:vAlign w:val="top"/>
          </w:tcPr>
          <w:p>
            <w:pPr>
              <w:pStyle w:val="TableText"/>
              <w:ind w:left="190"/>
              <w:spacing w:before="151" w:line="178" w:lineRule="auto"/>
              <w:rPr/>
            </w:pPr>
            <w:r>
              <w:rPr>
                <w:spacing w:val="3"/>
              </w:rPr>
              <w:t>000893</w:t>
            </w:r>
          </w:p>
        </w:tc>
        <w:tc>
          <w:tcPr>
            <w:tcW w:w="1274" w:type="dxa"/>
            <w:vAlign w:val="top"/>
          </w:tcPr>
          <w:p>
            <w:pPr>
              <w:pStyle w:val="TableText"/>
              <w:ind w:left="217"/>
              <w:spacing w:before="138" w:line="188" w:lineRule="auto"/>
              <w:rPr/>
            </w:pPr>
            <w:r>
              <w:rPr>
                <w:spacing w:val="8"/>
              </w:rPr>
              <w:t>亚钾国际</w:t>
            </w:r>
          </w:p>
        </w:tc>
        <w:tc>
          <w:tcPr>
            <w:tcW w:w="6624" w:type="dxa"/>
            <w:vAlign w:val="top"/>
          </w:tcPr>
          <w:p>
            <w:pPr>
              <w:pStyle w:val="TableText"/>
              <w:ind w:left="2997"/>
              <w:spacing w:before="136" w:line="189" w:lineRule="auto"/>
              <w:rPr/>
            </w:pPr>
            <w:r>
              <w:rPr>
                <w:spacing w:val="8"/>
              </w:rPr>
              <w:t>关注函</w:t>
            </w:r>
          </w:p>
        </w:tc>
      </w:tr>
      <w:tr>
        <w:trPr>
          <w:trHeight w:val="462" w:hRule="atLeast"/>
        </w:trPr>
        <w:tc>
          <w:tcPr>
            <w:shd w:val="clear" w:fill="C7DAF1"/>
            <w:tcW w:w="1105" w:type="dxa"/>
            <w:vAlign w:val="top"/>
          </w:tcPr>
          <w:p>
            <w:pPr>
              <w:pStyle w:val="TableText"/>
              <w:ind w:left="190"/>
              <w:spacing w:before="152" w:line="178" w:lineRule="auto"/>
              <w:rPr/>
            </w:pPr>
            <w:r>
              <w:rPr>
                <w:spacing w:val="3"/>
              </w:rPr>
              <w:t>000050</w:t>
            </w:r>
          </w:p>
        </w:tc>
        <w:tc>
          <w:tcPr>
            <w:shd w:val="clear" w:fill="C7DAF1"/>
            <w:tcW w:w="1274" w:type="dxa"/>
            <w:vAlign w:val="top"/>
          </w:tcPr>
          <w:p>
            <w:pPr>
              <w:pStyle w:val="TableText"/>
              <w:ind w:left="216"/>
              <w:spacing w:before="142" w:line="186" w:lineRule="auto"/>
              <w:rPr/>
            </w:pPr>
            <w:r>
              <w:rPr>
                <w:spacing w:val="15"/>
              </w:rPr>
              <w:t>深天马A</w:t>
            </w:r>
          </w:p>
        </w:tc>
        <w:tc>
          <w:tcPr>
            <w:shd w:val="clear" w:fill="C7DAF1"/>
            <w:tcW w:w="6624" w:type="dxa"/>
            <w:vAlign w:val="top"/>
          </w:tcPr>
          <w:p>
            <w:pPr>
              <w:pStyle w:val="TableText"/>
              <w:ind w:left="2785"/>
              <w:spacing w:before="137" w:line="189" w:lineRule="auto"/>
              <w:rPr/>
            </w:pPr>
            <w:r>
              <w:rPr>
                <w:spacing w:val="8"/>
              </w:rPr>
              <w:t>年报问询函</w:t>
            </w:r>
          </w:p>
        </w:tc>
      </w:tr>
      <w:tr>
        <w:trPr>
          <w:trHeight w:val="462" w:hRule="atLeast"/>
        </w:trPr>
        <w:tc>
          <w:tcPr>
            <w:tcW w:w="1105" w:type="dxa"/>
            <w:vAlign w:val="top"/>
          </w:tcPr>
          <w:p>
            <w:pPr>
              <w:pStyle w:val="TableText"/>
              <w:ind w:left="190"/>
              <w:spacing w:before="156" w:line="178" w:lineRule="auto"/>
              <w:rPr/>
            </w:pPr>
            <w:r>
              <w:rPr>
                <w:spacing w:val="3"/>
              </w:rPr>
              <w:t>002699</w:t>
            </w:r>
          </w:p>
        </w:tc>
        <w:tc>
          <w:tcPr>
            <w:tcW w:w="1274" w:type="dxa"/>
            <w:vAlign w:val="top"/>
          </w:tcPr>
          <w:p>
            <w:pPr>
              <w:pStyle w:val="TableText"/>
              <w:ind w:left="262"/>
              <w:spacing w:before="139" w:line="190" w:lineRule="auto"/>
              <w:rPr/>
            </w:pPr>
            <w:r>
              <w:rPr>
                <w:spacing w:val="8"/>
              </w:rPr>
              <w:t>*</w:t>
            </w:r>
            <w:r>
              <w:rPr/>
              <w:t>ST</w:t>
            </w:r>
            <w:r>
              <w:rPr>
                <w:spacing w:val="8"/>
              </w:rPr>
              <w:t>美盛</w:t>
            </w:r>
          </w:p>
        </w:tc>
        <w:tc>
          <w:tcPr>
            <w:tcW w:w="6624" w:type="dxa"/>
            <w:vAlign w:val="top"/>
          </w:tcPr>
          <w:p>
            <w:pPr>
              <w:pStyle w:val="TableText"/>
              <w:ind w:left="2997"/>
              <w:spacing w:before="141" w:line="189" w:lineRule="auto"/>
              <w:rPr/>
            </w:pPr>
            <w:r>
              <w:rPr>
                <w:spacing w:val="8"/>
              </w:rPr>
              <w:t>关注函</w:t>
            </w:r>
          </w:p>
        </w:tc>
      </w:tr>
      <w:tr>
        <w:trPr>
          <w:trHeight w:val="462" w:hRule="atLeast"/>
        </w:trPr>
        <w:tc>
          <w:tcPr>
            <w:shd w:val="clear" w:fill="C7DAF1"/>
            <w:tcW w:w="1105" w:type="dxa"/>
            <w:vAlign w:val="top"/>
          </w:tcPr>
          <w:p>
            <w:pPr>
              <w:pStyle w:val="TableText"/>
              <w:ind w:left="190"/>
              <w:spacing w:before="156" w:line="178" w:lineRule="auto"/>
              <w:rPr/>
            </w:pPr>
            <w:r>
              <w:rPr>
                <w:spacing w:val="3"/>
              </w:rPr>
              <w:t>002759</w:t>
            </w:r>
          </w:p>
        </w:tc>
        <w:tc>
          <w:tcPr>
            <w:shd w:val="clear" w:fill="C7DAF1"/>
            <w:tcW w:w="1274" w:type="dxa"/>
            <w:vAlign w:val="top"/>
          </w:tcPr>
          <w:p>
            <w:pPr>
              <w:pStyle w:val="TableText"/>
              <w:ind w:left="216"/>
              <w:spacing w:before="143" w:line="188" w:lineRule="auto"/>
              <w:rPr/>
            </w:pPr>
            <w:r>
              <w:rPr>
                <w:spacing w:val="8"/>
              </w:rPr>
              <w:t>天际股份</w:t>
            </w:r>
          </w:p>
        </w:tc>
        <w:tc>
          <w:tcPr>
            <w:shd w:val="clear" w:fill="C7DAF1"/>
            <w:tcW w:w="6624" w:type="dxa"/>
            <w:vAlign w:val="top"/>
          </w:tcPr>
          <w:p>
            <w:pPr>
              <w:pStyle w:val="TableText"/>
              <w:ind w:left="2785"/>
              <w:spacing w:before="142" w:line="189" w:lineRule="auto"/>
              <w:rPr/>
            </w:pPr>
            <w:r>
              <w:rPr>
                <w:spacing w:val="8"/>
              </w:rPr>
              <w:t>年报问询函</w:t>
            </w:r>
          </w:p>
        </w:tc>
      </w:tr>
      <w:tr>
        <w:trPr>
          <w:trHeight w:val="462" w:hRule="atLeast"/>
        </w:trPr>
        <w:tc>
          <w:tcPr>
            <w:tcW w:w="1105" w:type="dxa"/>
            <w:vAlign w:val="top"/>
          </w:tcPr>
          <w:p>
            <w:pPr>
              <w:pStyle w:val="TableText"/>
              <w:ind w:left="190"/>
              <w:spacing w:before="160" w:line="178" w:lineRule="auto"/>
              <w:rPr/>
            </w:pPr>
            <w:r>
              <w:rPr>
                <w:spacing w:val="3"/>
              </w:rPr>
              <w:t>002875</w:t>
            </w:r>
          </w:p>
        </w:tc>
        <w:tc>
          <w:tcPr>
            <w:tcW w:w="1274" w:type="dxa"/>
            <w:vAlign w:val="top"/>
          </w:tcPr>
          <w:p>
            <w:pPr>
              <w:pStyle w:val="TableText"/>
              <w:ind w:left="320"/>
              <w:spacing w:before="144" w:line="190" w:lineRule="auto"/>
              <w:rPr/>
            </w:pPr>
            <w:r>
              <w:rPr>
                <w:spacing w:val="8"/>
              </w:rPr>
              <w:t>安奈儿</w:t>
            </w:r>
          </w:p>
        </w:tc>
        <w:tc>
          <w:tcPr>
            <w:tcW w:w="6624" w:type="dxa"/>
            <w:vAlign w:val="top"/>
          </w:tcPr>
          <w:p>
            <w:pPr>
              <w:pStyle w:val="TableText"/>
              <w:ind w:left="2997"/>
              <w:spacing w:before="145" w:line="189" w:lineRule="auto"/>
              <w:rPr/>
            </w:pPr>
            <w:r>
              <w:rPr>
                <w:spacing w:val="8"/>
              </w:rPr>
              <w:t>关注函</w:t>
            </w:r>
          </w:p>
        </w:tc>
      </w:tr>
      <w:tr>
        <w:trPr>
          <w:trHeight w:val="462" w:hRule="atLeast"/>
        </w:trPr>
        <w:tc>
          <w:tcPr>
            <w:shd w:val="clear" w:fill="C7DAF1"/>
            <w:tcW w:w="1105" w:type="dxa"/>
            <w:vAlign w:val="top"/>
          </w:tcPr>
          <w:p>
            <w:pPr>
              <w:pStyle w:val="TableText"/>
              <w:ind w:left="190"/>
              <w:spacing w:before="161" w:line="178" w:lineRule="auto"/>
              <w:rPr/>
            </w:pPr>
            <w:r>
              <w:rPr>
                <w:spacing w:val="3"/>
              </w:rPr>
              <w:t>002629</w:t>
            </w:r>
          </w:p>
        </w:tc>
        <w:tc>
          <w:tcPr>
            <w:shd w:val="clear" w:fill="C7DAF1"/>
            <w:tcW w:w="1274" w:type="dxa"/>
            <w:vAlign w:val="top"/>
          </w:tcPr>
          <w:p>
            <w:pPr>
              <w:pStyle w:val="TableText"/>
              <w:ind w:left="216"/>
              <w:spacing w:before="146" w:line="189" w:lineRule="auto"/>
              <w:rPr/>
            </w:pPr>
            <w:r>
              <w:rPr>
                <w:spacing w:val="8"/>
              </w:rPr>
              <w:t>仁智股份</w:t>
            </w:r>
          </w:p>
        </w:tc>
        <w:tc>
          <w:tcPr>
            <w:shd w:val="clear" w:fill="C7DAF1"/>
            <w:tcW w:w="6624" w:type="dxa"/>
            <w:vAlign w:val="top"/>
          </w:tcPr>
          <w:p>
            <w:pPr>
              <w:pStyle w:val="TableText"/>
              <w:ind w:left="2785"/>
              <w:spacing w:before="146" w:line="189" w:lineRule="auto"/>
              <w:rPr/>
            </w:pPr>
            <w:r>
              <w:rPr>
                <w:spacing w:val="8"/>
              </w:rPr>
              <w:t>年报问询函</w:t>
            </w:r>
          </w:p>
        </w:tc>
      </w:tr>
      <w:tr>
        <w:trPr>
          <w:trHeight w:val="463" w:hRule="atLeast"/>
        </w:trPr>
        <w:tc>
          <w:tcPr>
            <w:tcW w:w="1105" w:type="dxa"/>
            <w:vAlign w:val="top"/>
          </w:tcPr>
          <w:p>
            <w:pPr>
              <w:pStyle w:val="TableText"/>
              <w:ind w:left="190"/>
              <w:spacing w:before="160" w:line="179" w:lineRule="auto"/>
              <w:rPr/>
            </w:pPr>
            <w:r>
              <w:rPr>
                <w:spacing w:val="3"/>
              </w:rPr>
              <w:t>002951</w:t>
            </w:r>
          </w:p>
        </w:tc>
        <w:tc>
          <w:tcPr>
            <w:tcW w:w="1274" w:type="dxa"/>
            <w:vAlign w:val="top"/>
          </w:tcPr>
          <w:p>
            <w:pPr>
              <w:pStyle w:val="TableText"/>
              <w:ind w:left="315"/>
              <w:spacing w:before="148" w:line="188" w:lineRule="auto"/>
              <w:rPr/>
            </w:pPr>
            <w:r>
              <w:rPr/>
              <w:t>ST</w:t>
            </w:r>
            <w:r>
              <w:rPr>
                <w:spacing w:val="8"/>
              </w:rPr>
              <w:t>金时</w:t>
            </w:r>
          </w:p>
        </w:tc>
        <w:tc>
          <w:tcPr>
            <w:tcW w:w="6624" w:type="dxa"/>
            <w:vAlign w:val="top"/>
          </w:tcPr>
          <w:p>
            <w:pPr>
              <w:pStyle w:val="TableText"/>
              <w:ind w:left="2997"/>
              <w:spacing w:before="147" w:line="189" w:lineRule="auto"/>
              <w:rPr/>
            </w:pPr>
            <w:r>
              <w:rPr>
                <w:spacing w:val="8"/>
              </w:rPr>
              <w:t>关注函</w:t>
            </w:r>
          </w:p>
        </w:tc>
      </w:tr>
      <w:tr>
        <w:trPr>
          <w:trHeight w:val="465" w:hRule="atLeast"/>
        </w:trPr>
        <w:tc>
          <w:tcPr>
            <w:shd w:val="clear" w:fill="C7DAF1"/>
            <w:tcW w:w="1105" w:type="dxa"/>
            <w:vAlign w:val="top"/>
          </w:tcPr>
          <w:p>
            <w:pPr>
              <w:pStyle w:val="TableText"/>
              <w:ind w:left="190"/>
              <w:spacing w:before="164" w:line="178" w:lineRule="auto"/>
              <w:rPr/>
            </w:pPr>
            <w:r>
              <w:rPr>
                <w:spacing w:val="3"/>
              </w:rPr>
              <w:t>000697</w:t>
            </w:r>
          </w:p>
        </w:tc>
        <w:tc>
          <w:tcPr>
            <w:shd w:val="clear" w:fill="C7DAF1"/>
            <w:tcW w:w="1274" w:type="dxa"/>
            <w:vAlign w:val="top"/>
          </w:tcPr>
          <w:p>
            <w:pPr>
              <w:pStyle w:val="TableText"/>
              <w:ind w:left="262"/>
              <w:spacing w:before="150" w:line="189" w:lineRule="auto"/>
              <w:rPr/>
            </w:pPr>
            <w:r>
              <w:rPr>
                <w:spacing w:val="8"/>
              </w:rPr>
              <w:t>*</w:t>
            </w:r>
            <w:r>
              <w:rPr/>
              <w:t>ST</w:t>
            </w:r>
            <w:r>
              <w:rPr>
                <w:spacing w:val="8"/>
              </w:rPr>
              <w:t>炼石</w:t>
            </w:r>
          </w:p>
        </w:tc>
        <w:tc>
          <w:tcPr>
            <w:shd w:val="clear" w:fill="C7DAF1"/>
            <w:tcW w:w="6624" w:type="dxa"/>
            <w:vAlign w:val="top"/>
          </w:tcPr>
          <w:p>
            <w:pPr>
              <w:pStyle w:val="TableText"/>
              <w:ind w:left="2785"/>
              <w:spacing w:before="150" w:line="189" w:lineRule="auto"/>
              <w:rPr/>
            </w:pPr>
            <w:r>
              <w:rPr>
                <w:spacing w:val="8"/>
              </w:rPr>
              <w:t>年报问询函</w:t>
            </w:r>
          </w:p>
        </w:tc>
      </w:tr>
    </w:tbl>
    <w:p>
      <w:pPr>
        <w:pStyle w:val="BodyText"/>
        <w:spacing w:line="14" w:lineRule="auto"/>
        <w:rPr>
          <w:sz w:val="2"/>
        </w:rPr>
      </w:pPr>
      <w:r/>
    </w:p>
    <w:p>
      <w:pPr>
        <w:spacing w:line="14" w:lineRule="auto"/>
        <w:sectPr>
          <w:pgSz w:w="11910" w:h="16840"/>
          <w:pgMar w:top="400" w:right="1454" w:bottom="278" w:left="1273" w:header="0" w:footer="0" w:gutter="0"/>
        </w:sectPr>
        <w:rPr>
          <w:sz w:val="2"/>
          <w:szCs w:val="2"/>
        </w:rPr>
      </w:pPr>
    </w:p>
    <w:tbl>
      <w:tblPr>
        <w:tblStyle w:val="TableNormal"/>
        <w:tblW w:w="9003" w:type="dxa"/>
        <w:tblInd w:w="179"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468" w:hRule="atLeast"/>
        </w:trPr>
        <w:tc>
          <w:tcPr>
            <w:tcW w:w="1105" w:type="dxa"/>
            <w:vAlign w:val="top"/>
          </w:tcPr>
          <w:p>
            <w:pPr>
              <w:pStyle w:val="TableText"/>
              <w:ind w:left="190"/>
              <w:spacing w:before="155" w:line="178" w:lineRule="auto"/>
              <w:rPr/>
            </w:pPr>
            <w:r>
              <w:rPr>
                <w:spacing w:val="3"/>
              </w:rPr>
              <w:t>002308</w:t>
            </w:r>
          </w:p>
        </w:tc>
        <w:tc>
          <w:tcPr>
            <w:tcW w:w="1274" w:type="dxa"/>
            <w:vAlign w:val="top"/>
          </w:tcPr>
          <w:p>
            <w:pPr>
              <w:pStyle w:val="TableText"/>
              <w:ind w:left="216"/>
              <w:spacing w:before="142" w:line="188" w:lineRule="auto"/>
              <w:rPr/>
            </w:pPr>
            <w:r>
              <w:rPr>
                <w:spacing w:val="8"/>
              </w:rPr>
              <w:t>威创股份</w:t>
            </w:r>
          </w:p>
        </w:tc>
        <w:tc>
          <w:tcPr>
            <w:tcW w:w="6624" w:type="dxa"/>
            <w:vAlign w:val="top"/>
          </w:tcPr>
          <w:p>
            <w:pPr>
              <w:pStyle w:val="TableText"/>
              <w:ind w:left="2997"/>
              <w:spacing w:before="141" w:line="189" w:lineRule="auto"/>
              <w:rPr/>
            </w:pPr>
            <w:r>
              <w:rPr>
                <w:spacing w:val="8"/>
              </w:rPr>
              <w:t>关注函</w:t>
            </w:r>
          </w:p>
        </w:tc>
      </w:tr>
      <w:tr>
        <w:trPr>
          <w:trHeight w:val="463" w:hRule="atLeast"/>
        </w:trPr>
        <w:tc>
          <w:tcPr>
            <w:shd w:val="clear" w:fill="C7DAF1"/>
            <w:tcW w:w="1105" w:type="dxa"/>
            <w:vAlign w:val="top"/>
          </w:tcPr>
          <w:p>
            <w:pPr>
              <w:pStyle w:val="TableText"/>
              <w:ind w:left="195"/>
              <w:spacing w:before="149" w:line="179" w:lineRule="auto"/>
              <w:rPr/>
            </w:pPr>
            <w:r>
              <w:rPr>
                <w:spacing w:val="3"/>
              </w:rPr>
              <w:t>300411</w:t>
            </w:r>
          </w:p>
        </w:tc>
        <w:tc>
          <w:tcPr>
            <w:shd w:val="clear" w:fill="C7DAF1"/>
            <w:tcW w:w="1274" w:type="dxa"/>
            <w:vAlign w:val="top"/>
          </w:tcPr>
          <w:p>
            <w:pPr>
              <w:pStyle w:val="TableText"/>
              <w:ind w:left="215"/>
              <w:spacing w:before="137" w:line="188" w:lineRule="auto"/>
              <w:rPr/>
            </w:pPr>
            <w:r>
              <w:rPr>
                <w:spacing w:val="9"/>
              </w:rPr>
              <w:t>金盾股份</w:t>
            </w:r>
          </w:p>
        </w:tc>
        <w:tc>
          <w:tcPr>
            <w:shd w:val="clear" w:fill="C7DAF1"/>
            <w:tcW w:w="6624" w:type="dxa"/>
            <w:vAlign w:val="top"/>
          </w:tcPr>
          <w:p>
            <w:pPr>
              <w:pStyle w:val="TableText"/>
              <w:ind w:left="2997"/>
              <w:spacing w:before="136" w:line="189" w:lineRule="auto"/>
              <w:rPr/>
            </w:pPr>
            <w:r>
              <w:rPr>
                <w:spacing w:val="8"/>
              </w:rPr>
              <w:t>关注函</w:t>
            </w:r>
          </w:p>
        </w:tc>
      </w:tr>
      <w:tr>
        <w:trPr>
          <w:trHeight w:val="463" w:hRule="atLeast"/>
        </w:trPr>
        <w:tc>
          <w:tcPr>
            <w:tcW w:w="1105" w:type="dxa"/>
            <w:vAlign w:val="top"/>
          </w:tcPr>
          <w:p>
            <w:pPr>
              <w:pStyle w:val="TableText"/>
              <w:ind w:left="195"/>
              <w:spacing w:before="151" w:line="179" w:lineRule="auto"/>
              <w:rPr/>
            </w:pPr>
            <w:r>
              <w:rPr>
                <w:spacing w:val="3"/>
              </w:rPr>
              <w:t>301153</w:t>
            </w:r>
          </w:p>
        </w:tc>
        <w:tc>
          <w:tcPr>
            <w:tcW w:w="1274" w:type="dxa"/>
            <w:vAlign w:val="top"/>
          </w:tcPr>
          <w:p>
            <w:pPr>
              <w:pStyle w:val="TableText"/>
              <w:ind w:left="230"/>
              <w:spacing w:before="138" w:line="189" w:lineRule="auto"/>
              <w:rPr/>
            </w:pPr>
            <w:r>
              <w:rPr>
                <w:spacing w:val="5"/>
              </w:rPr>
              <w:t>中科江南</w:t>
            </w:r>
          </w:p>
        </w:tc>
        <w:tc>
          <w:tcPr>
            <w:tcW w:w="6624" w:type="dxa"/>
            <w:vAlign w:val="top"/>
          </w:tcPr>
          <w:p>
            <w:pPr>
              <w:pStyle w:val="TableText"/>
              <w:ind w:left="2997"/>
              <w:spacing w:before="138" w:line="189" w:lineRule="auto"/>
              <w:rPr/>
            </w:pPr>
            <w:r>
              <w:rPr>
                <w:spacing w:val="8"/>
              </w:rPr>
              <w:t>关注函</w:t>
            </w:r>
          </w:p>
        </w:tc>
      </w:tr>
      <w:tr>
        <w:trPr>
          <w:trHeight w:val="464" w:hRule="atLeast"/>
        </w:trPr>
        <w:tc>
          <w:tcPr>
            <w:shd w:val="clear" w:fill="C7DAF1"/>
            <w:tcW w:w="1105" w:type="dxa"/>
            <w:vAlign w:val="top"/>
          </w:tcPr>
          <w:p>
            <w:pPr>
              <w:pStyle w:val="TableText"/>
              <w:ind w:left="195"/>
              <w:spacing w:before="151" w:line="179" w:lineRule="auto"/>
              <w:rPr/>
            </w:pPr>
            <w:r>
              <w:rPr>
                <w:spacing w:val="3"/>
              </w:rPr>
              <w:t>300123</w:t>
            </w:r>
          </w:p>
        </w:tc>
        <w:tc>
          <w:tcPr>
            <w:shd w:val="clear" w:fill="C7DAF1"/>
            <w:tcW w:w="1274" w:type="dxa"/>
            <w:vAlign w:val="top"/>
          </w:tcPr>
          <w:p>
            <w:pPr>
              <w:pStyle w:val="TableText"/>
              <w:ind w:left="217"/>
              <w:spacing w:before="139" w:line="188" w:lineRule="auto"/>
              <w:rPr/>
            </w:pPr>
            <w:r>
              <w:rPr>
                <w:spacing w:val="8"/>
              </w:rPr>
              <w:t>亚光科技</w:t>
            </w:r>
          </w:p>
        </w:tc>
        <w:tc>
          <w:tcPr>
            <w:shd w:val="clear" w:fill="C7DAF1"/>
            <w:tcW w:w="6624" w:type="dxa"/>
            <w:vAlign w:val="top"/>
          </w:tcPr>
          <w:p>
            <w:pPr>
              <w:pStyle w:val="TableText"/>
              <w:ind w:left="2997"/>
              <w:spacing w:before="138" w:line="189" w:lineRule="auto"/>
              <w:rPr/>
            </w:pPr>
            <w:r>
              <w:rPr>
                <w:spacing w:val="8"/>
              </w:rPr>
              <w:t>关注函</w:t>
            </w:r>
          </w:p>
        </w:tc>
      </w:tr>
      <w:tr>
        <w:trPr>
          <w:trHeight w:val="463" w:hRule="atLeast"/>
        </w:trPr>
        <w:tc>
          <w:tcPr>
            <w:tcW w:w="1105" w:type="dxa"/>
            <w:vAlign w:val="top"/>
          </w:tcPr>
          <w:p>
            <w:pPr>
              <w:pStyle w:val="TableText"/>
              <w:ind w:left="195"/>
              <w:spacing w:before="152" w:line="178" w:lineRule="auto"/>
              <w:rPr/>
            </w:pPr>
            <w:r>
              <w:rPr>
                <w:spacing w:val="3"/>
              </w:rPr>
              <w:t>300495</w:t>
            </w:r>
          </w:p>
        </w:tc>
        <w:tc>
          <w:tcPr>
            <w:tcW w:w="1274" w:type="dxa"/>
            <w:vAlign w:val="top"/>
          </w:tcPr>
          <w:p>
            <w:pPr>
              <w:pStyle w:val="TableText"/>
              <w:ind w:left="262"/>
              <w:spacing w:before="136" w:line="190" w:lineRule="auto"/>
              <w:rPr/>
            </w:pPr>
            <w:r>
              <w:rPr>
                <w:spacing w:val="8"/>
              </w:rPr>
              <w:t>*</w:t>
            </w:r>
            <w:r>
              <w:rPr/>
              <w:t>ST</w:t>
            </w:r>
            <w:r>
              <w:rPr>
                <w:spacing w:val="8"/>
              </w:rPr>
              <w:t>美尚</w:t>
            </w:r>
          </w:p>
        </w:tc>
        <w:tc>
          <w:tcPr>
            <w:tcW w:w="6624" w:type="dxa"/>
            <w:vAlign w:val="top"/>
          </w:tcPr>
          <w:p>
            <w:pPr>
              <w:pStyle w:val="TableText"/>
              <w:ind w:left="2997"/>
              <w:spacing w:before="137" w:line="189" w:lineRule="auto"/>
              <w:rPr/>
            </w:pPr>
            <w:r>
              <w:rPr>
                <w:spacing w:val="8"/>
              </w:rPr>
              <w:t>关注函</w:t>
            </w:r>
          </w:p>
        </w:tc>
      </w:tr>
      <w:tr>
        <w:trPr>
          <w:trHeight w:val="463" w:hRule="atLeast"/>
        </w:trPr>
        <w:tc>
          <w:tcPr>
            <w:shd w:val="clear" w:fill="C7DAF1"/>
            <w:tcW w:w="1105" w:type="dxa"/>
            <w:vAlign w:val="top"/>
          </w:tcPr>
          <w:p>
            <w:pPr>
              <w:pStyle w:val="TableText"/>
              <w:ind w:left="195"/>
              <w:spacing w:before="154" w:line="178" w:lineRule="auto"/>
              <w:rPr/>
            </w:pPr>
            <w:r>
              <w:rPr>
                <w:spacing w:val="3"/>
              </w:rPr>
              <w:t>300282</w:t>
            </w:r>
          </w:p>
        </w:tc>
        <w:tc>
          <w:tcPr>
            <w:shd w:val="clear" w:fill="C7DAF1"/>
            <w:tcW w:w="1274" w:type="dxa"/>
            <w:vAlign w:val="top"/>
          </w:tcPr>
          <w:p>
            <w:pPr>
              <w:pStyle w:val="TableText"/>
              <w:ind w:left="262"/>
              <w:spacing w:before="139" w:line="189" w:lineRule="auto"/>
              <w:rPr/>
            </w:pPr>
            <w:r>
              <w:rPr>
                <w:spacing w:val="8"/>
              </w:rPr>
              <w:t>*</w:t>
            </w:r>
            <w:r>
              <w:rPr/>
              <w:t>ST</w:t>
            </w:r>
            <w:r>
              <w:rPr>
                <w:spacing w:val="8"/>
              </w:rPr>
              <w:t>三盛</w:t>
            </w:r>
          </w:p>
        </w:tc>
        <w:tc>
          <w:tcPr>
            <w:shd w:val="clear" w:fill="C7DAF1"/>
            <w:tcW w:w="6624" w:type="dxa"/>
            <w:vAlign w:val="top"/>
          </w:tcPr>
          <w:p>
            <w:pPr>
              <w:pStyle w:val="TableText"/>
              <w:ind w:left="2997"/>
              <w:spacing w:before="139" w:line="189" w:lineRule="auto"/>
              <w:rPr/>
            </w:pPr>
            <w:r>
              <w:rPr>
                <w:spacing w:val="8"/>
              </w:rPr>
              <w:t>关注函</w:t>
            </w:r>
          </w:p>
        </w:tc>
      </w:tr>
      <w:tr>
        <w:trPr>
          <w:trHeight w:val="464" w:hRule="atLeast"/>
        </w:trPr>
        <w:tc>
          <w:tcPr>
            <w:tcW w:w="1105" w:type="dxa"/>
            <w:vAlign w:val="top"/>
          </w:tcPr>
          <w:p>
            <w:pPr>
              <w:pStyle w:val="TableText"/>
              <w:ind w:left="195"/>
              <w:spacing w:before="154" w:line="178" w:lineRule="auto"/>
              <w:rPr/>
            </w:pPr>
            <w:r>
              <w:rPr>
                <w:spacing w:val="3"/>
              </w:rPr>
              <w:t>300282</w:t>
            </w:r>
          </w:p>
        </w:tc>
        <w:tc>
          <w:tcPr>
            <w:tcW w:w="1274" w:type="dxa"/>
            <w:vAlign w:val="top"/>
          </w:tcPr>
          <w:p>
            <w:pPr>
              <w:pStyle w:val="TableText"/>
              <w:ind w:left="262"/>
              <w:spacing w:before="139" w:line="189" w:lineRule="auto"/>
              <w:rPr/>
            </w:pPr>
            <w:r>
              <w:rPr>
                <w:spacing w:val="8"/>
              </w:rPr>
              <w:t>*</w:t>
            </w:r>
            <w:r>
              <w:rPr/>
              <w:t>ST</w:t>
            </w:r>
            <w:r>
              <w:rPr>
                <w:spacing w:val="8"/>
              </w:rPr>
              <w:t>三盛</w:t>
            </w:r>
          </w:p>
        </w:tc>
        <w:tc>
          <w:tcPr>
            <w:tcW w:w="6624" w:type="dxa"/>
            <w:vAlign w:val="top"/>
          </w:tcPr>
          <w:p>
            <w:pPr>
              <w:pStyle w:val="TableText"/>
              <w:ind w:left="2997"/>
              <w:spacing w:before="139" w:line="189" w:lineRule="auto"/>
              <w:rPr/>
            </w:pPr>
            <w:r>
              <w:rPr>
                <w:spacing w:val="8"/>
              </w:rPr>
              <w:t>关注函</w:t>
            </w:r>
          </w:p>
        </w:tc>
      </w:tr>
      <w:tr>
        <w:trPr>
          <w:trHeight w:val="468" w:hRule="atLeast"/>
        </w:trPr>
        <w:tc>
          <w:tcPr>
            <w:shd w:val="clear" w:fill="C7DAF1"/>
            <w:tcW w:w="1105" w:type="dxa"/>
            <w:vAlign w:val="top"/>
          </w:tcPr>
          <w:p>
            <w:pPr>
              <w:pStyle w:val="TableText"/>
              <w:ind w:left="195"/>
              <w:spacing w:before="154" w:line="179" w:lineRule="auto"/>
              <w:rPr/>
            </w:pPr>
            <w:r>
              <w:rPr>
                <w:spacing w:val="3"/>
              </w:rPr>
              <w:t>301169</w:t>
            </w:r>
          </w:p>
        </w:tc>
        <w:tc>
          <w:tcPr>
            <w:shd w:val="clear" w:fill="C7DAF1"/>
            <w:tcW w:w="1274" w:type="dxa"/>
            <w:vAlign w:val="top"/>
          </w:tcPr>
          <w:p>
            <w:pPr>
              <w:pStyle w:val="TableText"/>
              <w:ind w:left="215"/>
              <w:spacing w:before="141" w:line="189" w:lineRule="auto"/>
              <w:rPr/>
            </w:pPr>
            <w:r>
              <w:rPr>
                <w:spacing w:val="9"/>
              </w:rPr>
              <w:t>零点有数</w:t>
            </w:r>
          </w:p>
        </w:tc>
        <w:tc>
          <w:tcPr>
            <w:shd w:val="clear" w:fill="C7DAF1"/>
            <w:tcW w:w="6624" w:type="dxa"/>
            <w:vAlign w:val="top"/>
          </w:tcPr>
          <w:p>
            <w:pPr>
              <w:pStyle w:val="TableText"/>
              <w:ind w:left="2997"/>
              <w:spacing w:before="141" w:line="189" w:lineRule="auto"/>
              <w:rPr/>
            </w:pPr>
            <w:r>
              <w:rPr>
                <w:spacing w:val="8"/>
              </w:rPr>
              <w:t>关注函</w:t>
            </w:r>
          </w:p>
        </w:tc>
      </w:tr>
    </w:tbl>
    <w:p>
      <w:pPr>
        <w:pStyle w:val="BodyText"/>
        <w:spacing w:line="250" w:lineRule="auto"/>
        <w:rPr/>
      </w:pPr>
      <w:r/>
    </w:p>
    <w:p>
      <w:pPr>
        <w:pStyle w:val="BodyText"/>
        <w:spacing w:line="251" w:lineRule="auto"/>
        <w:rPr/>
      </w:pPr>
      <w:r/>
    </w:p>
    <w:p>
      <w:pPr>
        <w:pStyle w:val="BodyText"/>
        <w:spacing w:line="251"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pStyle w:val="BodyText"/>
        <w:spacing w:line="250" w:lineRule="auto"/>
        <w:rPr/>
      </w:pPr>
      <w:r/>
    </w:p>
    <w:p>
      <w:pPr>
        <w:ind w:left="69" w:firstLine="435"/>
        <w:spacing w:before="95"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7"/>
        </w:rPr>
        <w:t>2024年3月25日-3月31日</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7"/>
        </w:rPr>
        <w:t>，深交所共对84起证券异常交易行为采取了</w:t>
      </w:r>
      <w:r>
        <w:rPr>
          <w:rFonts w:ascii="Microsoft YaHei" w:hAnsi="Microsoft YaHei" w:eastAsia="Microsoft YaHei" w:cs="Microsoft YaHei"/>
          <w:sz w:val="22"/>
          <w:szCs w:val="22"/>
          <w:spacing w:val="-8"/>
        </w:rPr>
        <w:t>自律监管措施</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8"/>
        </w:rPr>
        <w:t>，涉及盘中拉抬打   </w:t>
      </w:r>
      <w:r>
        <w:rPr>
          <w:rFonts w:ascii="Microsoft YaHei" w:hAnsi="Microsoft YaHei" w:eastAsia="Microsoft YaHei" w:cs="Microsoft YaHei"/>
          <w:sz w:val="22"/>
          <w:szCs w:val="22"/>
          <w:spacing w:val="-7"/>
        </w:rPr>
        <w:t>压、</w:t>
      </w:r>
      <w:r>
        <w:rPr>
          <w:rFonts w:ascii="Microsoft YaHei" w:hAnsi="Microsoft YaHei" w:eastAsia="Microsoft YaHei" w:cs="Microsoft YaHei"/>
          <w:sz w:val="22"/>
          <w:szCs w:val="22"/>
          <w:spacing w:val="-6"/>
        </w:rPr>
        <w:t>虚假申报等异常交易情形；对“*ST左江”等涨跌异常证券进行重点监控；共对6起上市公司重大事项</w:t>
      </w:r>
      <w:r>
        <w:rPr>
          <w:rFonts w:ascii="Microsoft YaHei" w:hAnsi="Microsoft YaHei" w:eastAsia="Microsoft YaHei" w:cs="Microsoft YaHei"/>
          <w:sz w:val="22"/>
          <w:szCs w:val="22"/>
          <w:spacing w:val="-4"/>
        </w:rPr>
        <w:t>进</w:t>
      </w:r>
      <w:r>
        <w:rPr>
          <w:rFonts w:ascii="Microsoft YaHei" w:hAnsi="Microsoft YaHei" w:eastAsia="Microsoft YaHei" w:cs="Microsoft YaHei"/>
          <w:sz w:val="22"/>
          <w:szCs w:val="22"/>
          <w:spacing w:val="13"/>
        </w:rPr>
        <w:t xml:space="preserve"> </w:t>
      </w:r>
      <w:r>
        <w:rPr>
          <w:rFonts w:ascii="Microsoft YaHei" w:hAnsi="Microsoft YaHei" w:eastAsia="Microsoft YaHei" w:cs="Microsoft YaHei"/>
          <w:sz w:val="22"/>
          <w:szCs w:val="22"/>
          <w:spacing w:val="-8"/>
        </w:rPr>
        <w:t>行核查 ，并上报证监会4起涉嫌违法违规案件线索。</w:t>
      </w:r>
    </w:p>
    <w:sectPr>
      <w:pgSz w:w="11910" w:h="16840"/>
      <w:pgMar w:top="400" w:right="473" w:bottom="400" w:left="1264"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jpeg"/><Relationship Id="rId2" Type="http://schemas.openxmlformats.org/officeDocument/2006/relationships/header" Target="header2.xml"/><Relationship Id="rId17" Type="http://schemas.openxmlformats.org/officeDocument/2006/relationships/fontTable" Target="fontTable.xml"/><Relationship Id="rId16" Type="http://schemas.openxmlformats.org/officeDocument/2006/relationships/styles" Target="styles.xml"/><Relationship Id="rId15" Type="http://schemas.openxmlformats.org/officeDocument/2006/relationships/settings" Target="settings.xml"/><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image" Target="media/image10.jpeg"/><Relationship Id="rId11" Type="http://schemas.openxmlformats.org/officeDocument/2006/relationships/image" Target="media/image9.jpeg"/><Relationship Id="rId10" Type="http://schemas.openxmlformats.org/officeDocument/2006/relationships/footer" Target="footer1.xml"/><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2024-04-01T11:37:00Z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2024-04-02T17:05:58</vt:filetime>
  </property>
</Properties>
</file>