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3"/>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2024年3月18日-2024年3月25日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8"/>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0"/>
        </w:rPr>
        <w:t>2024年3月25日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14"/>
        </w:rPr>
        <w:t>法规速递</w:t>
      </w:r>
    </w:p>
    <w:p>
      <w:pPr>
        <w:pStyle w:val="BodyText"/>
        <w:spacing w:line="375" w:lineRule="auto"/>
        <w:rPr/>
      </w:pPr>
      <w:r/>
    </w:p>
    <w:p>
      <w:pPr>
        <w:ind w:left="953"/>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1、关于开展沪市公司“提质增效重回报”专项行动的倡议</w:t>
      </w:r>
    </w:p>
    <w:p>
      <w:pPr>
        <w:ind w:left="931" w:right="424" w:firstLine="441"/>
        <w:spacing w:before="327"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为深入贯彻党的二十大和中央金融工作会议精神，落实国务院《关于进一步提高上市公司质量</w:t>
      </w:r>
      <w:r>
        <w:rPr>
          <w:rFonts w:ascii="Microsoft YaHei" w:hAnsi="Microsoft YaHei" w:eastAsia="Microsoft YaHei" w:cs="Microsoft YaHei"/>
          <w:sz w:val="22"/>
          <w:szCs w:val="22"/>
          <w:spacing w:val="-4"/>
        </w:rPr>
        <w:t>的意见》要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求</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，推动上市公司高质量发展和投资价值提升</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，保护投资者尤其是中小投资者合法权益，增</w:t>
      </w:r>
      <w:r>
        <w:rPr>
          <w:rFonts w:ascii="Microsoft YaHei" w:hAnsi="Microsoft YaHei" w:eastAsia="Microsoft YaHei" w:cs="Microsoft YaHei"/>
          <w:sz w:val="22"/>
          <w:szCs w:val="22"/>
          <w:spacing w:val="-5"/>
        </w:rPr>
        <w:t>强资本市场内在稳</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定性，促进资本市场健康发展，特倡议沪市公司开展“提质增效重回报”专项行动。</w:t>
      </w:r>
    </w:p>
    <w:p>
      <w:pPr>
        <w:pStyle w:val="BodyText"/>
        <w:spacing w:line="355" w:lineRule="auto"/>
        <w:rPr/>
      </w:pPr>
      <w:r/>
    </w:p>
    <w:p>
      <w:pPr>
        <w:pStyle w:val="BodyText"/>
        <w:spacing w:line="356" w:lineRule="auto"/>
        <w:rPr/>
      </w:pPr>
      <w:r/>
    </w:p>
    <w:p>
      <w:pPr>
        <w:ind w:left="9922"/>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上海证券交易所</w:t>
      </w:r>
    </w:p>
    <w:p>
      <w:pPr>
        <w:pStyle w:val="BodyText"/>
        <w:spacing w:line="441" w:lineRule="auto"/>
        <w:rPr/>
      </w:pPr>
      <w:r/>
    </w:p>
    <w:p>
      <w:pPr>
        <w:ind w:left="9783"/>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2024年03月22日</w:t>
      </w:r>
    </w:p>
    <w:p>
      <w:pPr>
        <w:pStyle w:val="BodyText"/>
        <w:spacing w:line="317" w:lineRule="auto"/>
        <w:rPr/>
      </w:pPr>
      <w:r/>
    </w:p>
    <w:p>
      <w:pPr>
        <w:pStyle w:val="BodyText"/>
        <w:spacing w:line="318" w:lineRule="auto"/>
        <w:rPr/>
      </w:pPr>
      <w:r/>
    </w:p>
    <w:p>
      <w:pPr>
        <w:ind w:firstLine="4812"/>
        <w:spacing w:before="1" w:line="2705" w:lineRule="exact"/>
        <w:rPr/>
      </w:pPr>
      <w:r>
        <w:rPr>
          <w:position w:val="-54"/>
        </w:rPr>
        <w:drawing>
          <wp:inline distT="0" distB="0" distL="0" distR="0">
            <wp:extent cx="1717547" cy="1717547"/>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7547" cy="1717547"/>
                    </a:xfrm>
                    <a:prstGeom prst="rect">
                      <a:avLst/>
                    </a:prstGeom>
                  </pic:spPr>
                </pic:pic>
              </a:graphicData>
            </a:graphic>
          </wp:inline>
        </w:drawing>
      </w:r>
    </w:p>
    <w:p>
      <w:pPr>
        <w:pStyle w:val="BodyText"/>
        <w:spacing w:line="289" w:lineRule="auto"/>
        <w:rPr/>
      </w:pPr>
      <w:r/>
    </w:p>
    <w:p>
      <w:pPr>
        <w:ind w:left="3313"/>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关于开展沪市公司“提质增效重回报”专项</w:t>
      </w:r>
      <w:r>
        <w:rPr>
          <w:rFonts w:ascii="Microsoft YaHei" w:hAnsi="Microsoft YaHei" w:eastAsia="Microsoft YaHei" w:cs="Microsoft YaHei"/>
          <w:sz w:val="24"/>
          <w:szCs w:val="24"/>
          <w:b/>
          <w:bCs/>
          <w:color w:val="333333"/>
          <w:spacing w:val="-1"/>
        </w:rPr>
        <w:t>行动的倡议</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3" w:right="225" w:firstLine="8"/>
        <w:spacing w:before="115"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2、关于做好2024年享受税收优惠政策的集成电路企业或项目、软件</w:t>
      </w:r>
      <w:r>
        <w:rPr>
          <w:rFonts w:ascii="Microsoft YaHei" w:hAnsi="Microsoft YaHei" w:eastAsia="Microsoft YaHei" w:cs="Microsoft YaHei"/>
          <w:sz w:val="24"/>
          <w:szCs w:val="24"/>
          <w:b/>
          <w:bCs/>
          <w:color w:val="333333"/>
          <w:spacing w:val="-2"/>
        </w:rPr>
        <w:t>企业清单制定工作有关要求的</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通知</w:t>
      </w:r>
    </w:p>
    <w:p>
      <w:pPr>
        <w:ind w:right="31" w:firstLine="444"/>
        <w:spacing w:before="4" w:line="221" w:lineRule="auto"/>
        <w:outlineLvl w:val="0"/>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为促进我国集成电路产业和软件产业持续健康发展</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4"/>
        </w:rPr>
        <w:t>，根据《国务院关于印发新时期促进集成电路产业和软</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件产业高质量发展若干政策的通知》（以下简称《若干政策》）</w:t>
      </w:r>
      <w:r>
        <w:rPr>
          <w:rFonts w:ascii="Microsoft YaHei" w:hAnsi="Microsoft YaHei" w:eastAsia="Microsoft YaHei" w:cs="Microsoft YaHei"/>
          <w:sz w:val="22"/>
          <w:szCs w:val="22"/>
          <w:spacing w:val="51"/>
          <w:w w:val="101"/>
        </w:rPr>
        <w:t xml:space="preserve"> </w:t>
      </w:r>
      <w:r>
        <w:rPr>
          <w:rFonts w:ascii="Microsoft YaHei" w:hAnsi="Microsoft YaHei" w:eastAsia="Microsoft YaHei" w:cs="Microsoft YaHei"/>
          <w:sz w:val="22"/>
          <w:szCs w:val="22"/>
          <w:spacing w:val="-6"/>
        </w:rPr>
        <w:t>和配套政策有关规定</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6"/>
        </w:rPr>
        <w:t>，以及《财政部、税务总</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局、国家发展改革委、工业和信息化部关于提高集成电路和工业母机企业研发费用加计扣除比例的公告》（以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下简称《公告》）</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spacing w:val="-6"/>
        </w:rPr>
        <w:t>有关规定</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6"/>
        </w:rPr>
        <w:t>，经研究</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6"/>
        </w:rPr>
        <w:t>，2024年享受税收优惠政策的集成电路企业或项目、</w:t>
      </w:r>
      <w:r>
        <w:rPr>
          <w:rFonts w:ascii="Microsoft YaHei" w:hAnsi="Microsoft YaHei" w:eastAsia="Microsoft YaHei" w:cs="Microsoft YaHei"/>
          <w:sz w:val="22"/>
          <w:szCs w:val="22"/>
          <w:spacing w:val="-7"/>
        </w:rPr>
        <w:t>软件企业清单（以下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简称“清单”）制定工作，基本延用2023年清单制定程序、享受税收优惠政策的企业条件和项目标准。</w:t>
      </w:r>
    </w:p>
    <w:p>
      <w:pPr>
        <w:pStyle w:val="BodyText"/>
        <w:spacing w:line="271" w:lineRule="auto"/>
        <w:rPr/>
      </w:pPr>
      <w:r/>
    </w:p>
    <w:p>
      <w:pPr>
        <w:pStyle w:val="BodyText"/>
        <w:spacing w:line="272" w:lineRule="auto"/>
        <w:rPr/>
      </w:pPr>
      <w:r/>
    </w:p>
    <w:p>
      <w:pPr>
        <w:pStyle w:val="BodyText"/>
        <w:spacing w:line="272" w:lineRule="auto"/>
        <w:rPr/>
      </w:pPr>
      <w:r/>
    </w:p>
    <w:p>
      <w:pPr>
        <w:pStyle w:val="BodyText"/>
        <w:spacing w:line="272" w:lineRule="auto"/>
        <w:rPr/>
      </w:pPr>
      <w:r/>
    </w:p>
    <w:p>
      <w:pPr>
        <w:spacing w:before="94"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中华人民共和国国家发展和改革委员会等</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2024年03月21日</w:t>
      </w:r>
    </w:p>
    <w:p>
      <w:pPr>
        <w:pStyle w:val="BodyText"/>
        <w:spacing w:line="264" w:lineRule="auto"/>
        <w:rPr/>
      </w:pPr>
      <w:r/>
    </w:p>
    <w:p>
      <w:pPr>
        <w:pStyle w:val="BodyText"/>
        <w:spacing w:line="264" w:lineRule="auto"/>
        <w:rPr/>
      </w:pPr>
      <w:r/>
    </w:p>
    <w:p>
      <w:pPr>
        <w:ind w:firstLine="3902"/>
        <w:spacing w:line="2690" w:lineRule="exact"/>
        <w:rPr/>
      </w:pPr>
      <w:r>
        <w:rPr>
          <w:position w:val="-53"/>
        </w:rPr>
        <w:drawing>
          <wp:inline distT="0" distB="0" distL="0" distR="0">
            <wp:extent cx="1717547" cy="1708531"/>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7547" cy="1708531"/>
                    </a:xfrm>
                    <a:prstGeom prst="rect">
                      <a:avLst/>
                    </a:prstGeom>
                  </pic:spPr>
                </pic:pic>
              </a:graphicData>
            </a:graphic>
          </wp:inline>
        </w:drawing>
      </w:r>
    </w:p>
    <w:p>
      <w:pPr>
        <w:pStyle w:val="BodyText"/>
        <w:spacing w:line="253" w:lineRule="auto"/>
        <w:rPr/>
      </w:pPr>
      <w:r/>
    </w:p>
    <w:p>
      <w:pPr>
        <w:ind w:left="68"/>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关于做好2024年享受税收优惠政策的集成电路企业或项目、软件企业清单制定工作有关要求</w:t>
      </w:r>
      <w:r>
        <w:rPr>
          <w:rFonts w:ascii="Microsoft YaHei" w:hAnsi="Microsoft YaHei" w:eastAsia="Microsoft YaHei" w:cs="Microsoft YaHei"/>
          <w:sz w:val="24"/>
          <w:szCs w:val="24"/>
          <w:b/>
          <w:bCs/>
          <w:color w:val="333333"/>
          <w:spacing w:val="-2"/>
        </w:rPr>
        <w:t>的通知</w:t>
      </w:r>
    </w:p>
    <w:p>
      <w:pPr>
        <w:spacing w:line="183" w:lineRule="auto"/>
        <w:sectPr>
          <w:pgSz w:w="11910" w:h="16840"/>
          <w:pgMar w:top="400" w:right="457" w:bottom="0" w:left="931" w:header="0" w:footer="0" w:gutter="0"/>
        </w:sectPr>
        <w:rPr>
          <w:rFonts w:ascii="Microsoft YaHei" w:hAnsi="Microsoft YaHei" w:eastAsia="Microsoft YaHei" w:cs="Microsoft YaHei"/>
          <w:sz w:val="24"/>
          <w:szCs w:val="24"/>
        </w:rPr>
      </w:pPr>
    </w:p>
    <w:p>
      <w:pPr>
        <w:ind w:left="18"/>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3、关于做好上市公司2024年第一季度报告披露工作的通知</w:t>
      </w:r>
    </w:p>
    <w:p>
      <w:pPr>
        <w:ind w:right="31" w:firstLine="444"/>
        <w:spacing w:before="3"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为妥善做好北京证券交易所上市公司2024年第一季度报告的披露工作，根据《北京证券</w:t>
      </w:r>
      <w:r>
        <w:rPr>
          <w:rFonts w:ascii="Microsoft YaHei" w:hAnsi="Microsoft YaHei" w:eastAsia="Microsoft YaHei" w:cs="Microsoft YaHei"/>
          <w:sz w:val="22"/>
          <w:szCs w:val="22"/>
          <w:spacing w:val="-4"/>
        </w:rPr>
        <w:t>交易所股票上市规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则（试行）》（以下简称《上市规则》）</w:t>
      </w:r>
      <w:r>
        <w:rPr>
          <w:rFonts w:ascii="Microsoft YaHei" w:hAnsi="Microsoft YaHei" w:eastAsia="Microsoft YaHei" w:cs="Microsoft YaHei"/>
          <w:sz w:val="22"/>
          <w:szCs w:val="22"/>
          <w:spacing w:val="47"/>
        </w:rPr>
        <w:t xml:space="preserve"> </w:t>
      </w:r>
      <w:r>
        <w:rPr>
          <w:rFonts w:ascii="Microsoft YaHei" w:hAnsi="Microsoft YaHei" w:eastAsia="Microsoft YaHei" w:cs="Microsoft YaHei"/>
          <w:sz w:val="22"/>
          <w:szCs w:val="22"/>
          <w:spacing w:val="-5"/>
        </w:rPr>
        <w:t>、《北京证券交易所上市公司持续监</w:t>
      </w:r>
      <w:r>
        <w:rPr>
          <w:rFonts w:ascii="Microsoft YaHei" w:hAnsi="Microsoft YaHei" w:eastAsia="Microsoft YaHei" w:cs="Microsoft YaHei"/>
          <w:sz w:val="22"/>
          <w:szCs w:val="22"/>
          <w:spacing w:val="-6"/>
        </w:rPr>
        <w:t>管指引第2号——季度报告》等</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相关规定，现就有关事项予以通知。</w:t>
      </w:r>
    </w:p>
    <w:p>
      <w:pPr>
        <w:pStyle w:val="BodyText"/>
        <w:spacing w:line="277" w:lineRule="auto"/>
        <w:rPr/>
      </w:pPr>
      <w:r/>
    </w:p>
    <w:p>
      <w:pPr>
        <w:pStyle w:val="BodyText"/>
        <w:spacing w:line="277" w:lineRule="auto"/>
        <w:rPr/>
      </w:pPr>
      <w:r/>
    </w:p>
    <w:p>
      <w:pPr>
        <w:pStyle w:val="BodyText"/>
        <w:spacing w:line="278" w:lineRule="auto"/>
        <w:rPr/>
      </w:pPr>
      <w:r/>
    </w:p>
    <w:p>
      <w:pPr>
        <w:ind w:left="8861" w:firstLine="134"/>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北京证券交易所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2024年03月21日</w:t>
      </w:r>
    </w:p>
    <w:p>
      <w:pPr>
        <w:pStyle w:val="BodyText"/>
        <w:spacing w:line="262" w:lineRule="auto"/>
        <w:rPr/>
      </w:pPr>
      <w:r/>
    </w:p>
    <w:p>
      <w:pPr>
        <w:pStyle w:val="BodyText"/>
        <w:spacing w:line="263" w:lineRule="auto"/>
        <w:rPr/>
      </w:pPr>
      <w:r/>
    </w:p>
    <w:p>
      <w:pPr>
        <w:ind w:firstLine="3902"/>
        <w:spacing w:line="2691" w:lineRule="exact"/>
        <w:rPr/>
      </w:pPr>
      <w:r>
        <w:rPr>
          <w:position w:val="-53"/>
        </w:rPr>
        <w:drawing>
          <wp:inline distT="0" distB="0" distL="0" distR="0">
            <wp:extent cx="1717547" cy="1708657"/>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17547" cy="1708657"/>
                    </a:xfrm>
                    <a:prstGeom prst="rect">
                      <a:avLst/>
                    </a:prstGeom>
                  </pic:spPr>
                </pic:pic>
              </a:graphicData>
            </a:graphic>
          </wp:inline>
        </w:drawing>
      </w:r>
    </w:p>
    <w:p>
      <w:pPr>
        <w:pStyle w:val="BodyText"/>
        <w:spacing w:line="253" w:lineRule="auto"/>
        <w:rPr/>
      </w:pPr>
      <w:r/>
    </w:p>
    <w:p>
      <w:pPr>
        <w:ind w:left="2338"/>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关于做好上市公司2024年第一季度报告披露工作的</w:t>
      </w:r>
      <w:r>
        <w:rPr>
          <w:rFonts w:ascii="Microsoft YaHei" w:hAnsi="Microsoft YaHei" w:eastAsia="Microsoft YaHei" w:cs="Microsoft YaHei"/>
          <w:sz w:val="24"/>
          <w:szCs w:val="24"/>
          <w:b/>
          <w:bCs/>
          <w:color w:val="333333"/>
          <w:spacing w:val="-2"/>
        </w:rPr>
        <w:t>通知</w:t>
      </w:r>
    </w:p>
    <w:p>
      <w:pPr>
        <w:spacing w:line="183" w:lineRule="auto"/>
        <w:sectPr>
          <w:pgSz w:w="11910" w:h="16840"/>
          <w:pgMar w:top="400" w:right="457" w:bottom="0" w:left="931" w:header="0" w:footer="0" w:gutter="0"/>
        </w:sectPr>
        <w:rPr>
          <w:rFonts w:ascii="Microsoft YaHei" w:hAnsi="Microsoft YaHei" w:eastAsia="Microsoft YaHei" w:cs="Microsoft YaHei"/>
          <w:sz w:val="24"/>
          <w:szCs w:val="24"/>
        </w:rPr>
      </w:pPr>
    </w:p>
    <w:p>
      <w:pPr>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4、2024年一季度报告披露日期预约通知</w:t>
      </w:r>
    </w:p>
    <w:p>
      <w:pPr>
        <w:ind w:right="55" w:firstLine="440"/>
        <w:spacing w:before="41" w:line="20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为保证2024年一季度报告披露工作的顺利进行</w:t>
      </w:r>
      <w:r>
        <w:rPr>
          <w:rFonts w:ascii="Microsoft YaHei" w:hAnsi="Microsoft YaHei" w:eastAsia="Microsoft YaHei" w:cs="Microsoft YaHei"/>
          <w:sz w:val="22"/>
          <w:szCs w:val="22"/>
          <w:spacing w:val="-22"/>
        </w:rPr>
        <w:t xml:space="preserve"> </w:t>
      </w:r>
      <w:r>
        <w:rPr>
          <w:rFonts w:ascii="Microsoft YaHei" w:hAnsi="Microsoft YaHei" w:eastAsia="Microsoft YaHei" w:cs="Microsoft YaHei"/>
          <w:sz w:val="22"/>
          <w:szCs w:val="22"/>
          <w:spacing w:val="-4"/>
        </w:rPr>
        <w:t>，请各上市公司于2024年3月27日下午5点前登录创业板上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市公司专区，在“首页导航”的“定期报告预约”栏目下填报2024年一季度报告预计披露日期，对于20</w:t>
      </w:r>
      <w:r>
        <w:rPr>
          <w:rFonts w:ascii="Microsoft YaHei" w:hAnsi="Microsoft YaHei" w:eastAsia="Microsoft YaHei" w:cs="Microsoft YaHei"/>
          <w:sz w:val="22"/>
          <w:szCs w:val="22"/>
          <w:spacing w:val="-4"/>
        </w:rPr>
        <w:t>24年3</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月27日下午5点前未上报预计披露日期的公司，视为服从我部的安排。</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4"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深圳证券交易所创业板公司管理部</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2024年03月20日</w:t>
      </w:r>
    </w:p>
    <w:p>
      <w:pPr>
        <w:ind w:firstLine="3898"/>
        <w:spacing w:before="241" w:line="2692" w:lineRule="exact"/>
        <w:rPr/>
      </w:pPr>
      <w:r>
        <w:rPr>
          <w:position w:val="-53"/>
        </w:rPr>
        <w:drawing>
          <wp:inline distT="0" distB="0" distL="0" distR="0">
            <wp:extent cx="1717547" cy="1709419"/>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17547" cy="1709419"/>
                    </a:xfrm>
                    <a:prstGeom prst="rect">
                      <a:avLst/>
                    </a:prstGeom>
                  </pic:spPr>
                </pic:pic>
              </a:graphicData>
            </a:graphic>
          </wp:inline>
        </w:drawing>
      </w:r>
    </w:p>
    <w:p>
      <w:pPr>
        <w:pStyle w:val="BodyText"/>
        <w:spacing w:line="252" w:lineRule="auto"/>
        <w:rPr/>
      </w:pPr>
      <w:r/>
    </w:p>
    <w:p>
      <w:pPr>
        <w:ind w:left="330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2024年一季度报告披露日期预约通知</w:t>
      </w:r>
    </w:p>
    <w:p>
      <w:pPr>
        <w:spacing w:line="183" w:lineRule="auto"/>
        <w:sectPr>
          <w:pgSz w:w="11910" w:h="16840"/>
          <w:pgMar w:top="400" w:right="457" w:bottom="0" w:left="935" w:header="0" w:footer="0" w:gutter="0"/>
        </w:sectPr>
        <w:rPr>
          <w:rFonts w:ascii="Microsoft YaHei" w:hAnsi="Microsoft YaHei" w:eastAsia="Microsoft YaHei" w:cs="Microsoft YaHei"/>
          <w:sz w:val="24"/>
          <w:szCs w:val="24"/>
        </w:rPr>
      </w:pPr>
    </w:p>
    <w:p>
      <w:pPr>
        <w:ind w:left="16"/>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5、关于2024年一季度报告披露日期预约的通知</w:t>
      </w:r>
    </w:p>
    <w:p>
      <w:pPr>
        <w:ind w:right="91" w:firstLine="440"/>
        <w:spacing w:before="41" w:line="20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为保证2024年一季度报告披露工作的顺利</w:t>
      </w:r>
      <w:r>
        <w:rPr>
          <w:rFonts w:ascii="Microsoft YaHei" w:hAnsi="Microsoft YaHei" w:eastAsia="Microsoft YaHei" w:cs="Microsoft YaHei"/>
          <w:sz w:val="22"/>
          <w:szCs w:val="22"/>
          <w:spacing w:val="-4"/>
        </w:rPr>
        <w:t>进行</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4"/>
        </w:rPr>
        <w:t>，请各主板上市公司于2024年3月20日10时-2024年3月27</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日17时登录深圳证券交易所主板业务专区，在“首页导航”的“定期报告预约”栏目下填报2024年一季度报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告预计披露日期。对于2024年3月27日17时前未上报预计披露日期的公司，视为服从我部的安排。</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4"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深圳证券交易所主板公司管理部</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2024年03月19日</w:t>
      </w:r>
    </w:p>
    <w:p>
      <w:pPr>
        <w:ind w:firstLine="3898"/>
        <w:spacing w:before="241" w:line="2692" w:lineRule="exact"/>
        <w:rPr/>
      </w:pPr>
      <w:r>
        <w:rPr>
          <w:position w:val="-53"/>
        </w:rPr>
        <w:drawing>
          <wp:inline distT="0" distB="0" distL="0" distR="0">
            <wp:extent cx="1717547" cy="1709419"/>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7547" cy="1709419"/>
                    </a:xfrm>
                    <a:prstGeom prst="rect">
                      <a:avLst/>
                    </a:prstGeom>
                  </pic:spPr>
                </pic:pic>
              </a:graphicData>
            </a:graphic>
          </wp:inline>
        </w:drawing>
      </w:r>
    </w:p>
    <w:p>
      <w:pPr>
        <w:pStyle w:val="BodyText"/>
        <w:spacing w:line="252" w:lineRule="auto"/>
        <w:rPr/>
      </w:pPr>
      <w:r/>
    </w:p>
    <w:p>
      <w:pPr>
        <w:ind w:left="293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关于2024年一季度报告披露日期预约的通知</w:t>
      </w:r>
    </w:p>
    <w:p>
      <w:pPr>
        <w:spacing w:line="183" w:lineRule="auto"/>
        <w:sectPr>
          <w:pgSz w:w="11910" w:h="16840"/>
          <w:pgMar w:top="400" w:right="457" w:bottom="0" w:left="934"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69504;" o:allowincell="f" fillcolor="#A61C20" filled="true" stroked="false"/>
        </w:pict>
      </w:r>
      <w:r>
        <w:pict>
          <v:group id="_x0000_s12" style="position:absolute;margin-left:0pt;margin-top:38.04pt;mso-position-vertical-relative:page;mso-position-horizontal-relative:page;width:67.85pt;height:56.8pt;z-index:251668480;"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2"/>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8"/>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市场监管概览</w:t>
                    </w:r>
                  </w:p>
                </w:txbxContent>
              </v:textbox>
            </v:shape>
          </v:group>
        </w:pict>
      </w:r>
    </w:p>
    <w:p>
      <w:pPr>
        <w:pStyle w:val="BodyText"/>
        <w:spacing w:line="314" w:lineRule="auto"/>
        <w:rPr/>
      </w:pPr>
      <w:r/>
    </w:p>
    <w:p>
      <w:pPr>
        <w:ind w:left="445" w:right="461" w:firstLine="458"/>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2024年3月18日-3月24日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，证监会作出3份监管</w:t>
      </w:r>
      <w:r>
        <w:rPr>
          <w:rFonts w:ascii="Microsoft YaHei" w:hAnsi="Microsoft YaHei" w:eastAsia="Microsoft YaHei" w:cs="Microsoft YaHei"/>
          <w:sz w:val="22"/>
          <w:szCs w:val="22"/>
          <w:spacing w:val="-3"/>
        </w:rPr>
        <w:t>文书；证监局作出20份监管文书；上交所作出11份监管文书；</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深交所作出15份监管文书。</w:t>
      </w:r>
    </w:p>
    <w:p>
      <w:pPr>
        <w:pStyle w:val="BodyText"/>
        <w:spacing w:line="272" w:lineRule="auto"/>
        <w:rPr/>
      </w:pPr>
      <w:r/>
    </w:p>
    <w:p>
      <w:pPr>
        <w:ind w:left="442" w:right="422" w:firstLine="448"/>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w:t>
      </w:r>
      <w:r>
        <w:rPr>
          <w:rFonts w:ascii="Microsoft YaHei" w:hAnsi="Microsoft YaHei" w:eastAsia="Microsoft YaHei" w:cs="Microsoft YaHei"/>
          <w:sz w:val="22"/>
          <w:szCs w:val="22"/>
          <w:spacing w:val="41"/>
          <w:w w:val="101"/>
        </w:rPr>
        <w:t xml:space="preserve"> </w:t>
      </w:r>
      <w:r>
        <w:rPr>
          <w:rFonts w:ascii="Microsoft YaHei" w:hAnsi="Microsoft YaHei" w:eastAsia="Microsoft YaHei" w:cs="Microsoft YaHei"/>
          <w:sz w:val="22"/>
          <w:szCs w:val="22"/>
          <w:spacing w:val="-3"/>
        </w:rPr>
        <w:t>，证监会对3个对象进行立案调查；证监局作出2份行政处罚决定事先告知书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，5份行政处罚决定书，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3"/>
        </w:rPr>
        <w:t>13份</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行政监管措施决定书。</w:t>
      </w:r>
    </w:p>
    <w:p>
      <w:pPr>
        <w:pStyle w:val="BodyText"/>
        <w:spacing w:line="277" w:lineRule="auto"/>
        <w:rPr/>
      </w:pPr>
      <w:r/>
    </w:p>
    <w:p>
      <w:pPr>
        <w:ind w:left="463" w:right="585" w:firstLine="42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上周</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2"/>
        </w:rPr>
        <w:t>，上交所公司监管部门作出7份监管警示函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，对4宗行为</w:t>
      </w:r>
      <w:r>
        <w:rPr>
          <w:rFonts w:ascii="Microsoft YaHei" w:hAnsi="Microsoft YaHei" w:eastAsia="Microsoft YaHei" w:cs="Microsoft YaHei"/>
          <w:sz w:val="22"/>
          <w:szCs w:val="22"/>
          <w:spacing w:val="-3"/>
        </w:rPr>
        <w:t>予以纪律处分。同时，加大信息披露和股价异常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的联动监管</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，针对公司披露敏感信息或股价</w:t>
      </w:r>
      <w:r>
        <w:rPr>
          <w:rFonts w:ascii="Microsoft YaHei" w:hAnsi="Microsoft YaHei" w:eastAsia="Microsoft YaHei" w:cs="Microsoft YaHei"/>
          <w:sz w:val="22"/>
          <w:szCs w:val="22"/>
          <w:spacing w:val="-3"/>
        </w:rPr>
        <w:t>发生明显异常的</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，提请启动内幕交易、异常交易核查16单。</w:t>
      </w:r>
    </w:p>
    <w:p>
      <w:pPr>
        <w:pStyle w:val="BodyText"/>
        <w:spacing w:line="276" w:lineRule="auto"/>
        <w:rPr/>
      </w:pPr>
      <w:r/>
    </w:p>
    <w:p>
      <w:pPr>
        <w:ind w:left="893"/>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w:t>
      </w:r>
      <w:r>
        <w:rPr>
          <w:rFonts w:ascii="Microsoft YaHei" w:hAnsi="Microsoft YaHei" w:eastAsia="Microsoft YaHei" w:cs="Microsoft YaHei"/>
          <w:sz w:val="22"/>
          <w:szCs w:val="22"/>
          <w:spacing w:val="43"/>
        </w:rPr>
        <w:t xml:space="preserve"> </w:t>
      </w:r>
      <w:r>
        <w:rPr>
          <w:rFonts w:ascii="Microsoft YaHei" w:hAnsi="Microsoft YaHei" w:eastAsia="Microsoft YaHei" w:cs="Microsoft YaHei"/>
          <w:sz w:val="22"/>
          <w:szCs w:val="22"/>
          <w:spacing w:val="-3"/>
        </w:rPr>
        <w:t>，深交所发出15份监管函；共发出关注函11份。</w:t>
      </w:r>
    </w:p>
    <w:p>
      <w:pPr>
        <w:pStyle w:val="BodyText"/>
        <w:spacing w:line="318" w:lineRule="auto"/>
        <w:rPr/>
      </w:pPr>
      <w:r/>
    </w:p>
    <w:p>
      <w:pPr>
        <w:ind w:firstLine="1930"/>
        <w:spacing w:before="1" w:line="3315" w:lineRule="exact"/>
        <w:rPr/>
      </w:pPr>
      <w:r>
        <w:rPr>
          <w:position w:val="-66"/>
        </w:rPr>
        <w:drawing>
          <wp:inline distT="0" distB="0" distL="0" distR="0">
            <wp:extent cx="5137784" cy="2105025"/>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5137784" cy="210502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ind w:firstLine="1848"/>
        <w:spacing w:before="1" w:line="4156" w:lineRule="exact"/>
        <w:rPr/>
      </w:pPr>
      <w:r>
        <w:rPr>
          <w:position w:val="-83"/>
        </w:rPr>
        <w:drawing>
          <wp:inline distT="0" distB="0" distL="0" distR="0">
            <wp:extent cx="5402580" cy="2639059"/>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5402580" cy="2639059"/>
                    </a:xfrm>
                    <a:prstGeom prst="rect">
                      <a:avLst/>
                    </a:prstGeom>
                  </pic:spPr>
                </pic:pic>
              </a:graphicData>
            </a:graphic>
          </wp:inline>
        </w:drawing>
      </w:r>
    </w:p>
    <w:p>
      <w:pPr>
        <w:spacing w:line="4156" w:lineRule="exact"/>
        <w:sectPr>
          <w:pgSz w:w="11910" w:h="16840"/>
          <w:pgMar w:top="400" w:right="41" w:bottom="0"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2"/>
            </v:shape>
            <v:shape id="_x0000_s28" style="position:absolute;left:-20;top:-20;width:3806;height:965;" filled="false" stroked="false" type="#_x0000_t202">
              <v:fill on="false"/>
              <v:stroke on="false"/>
              <v:path/>
              <v:imagedata o:title=""/>
              <o:lock v:ext="edit" aspectratio="false"/>
              <v:textbox inset="0mm,0mm,0mm,0mm">
                <w:txbxContent>
                  <w:p>
                    <w:pPr>
                      <w:ind w:left="391"/>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18" w:lineRule="auto"/>
        <w:rPr/>
      </w:pPr>
      <w:r/>
    </w:p>
    <w:p>
      <w:pPr>
        <w:ind w:left="438" w:right="172" w:firstLine="445"/>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2024年3月18日-3月24日</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2"/>
        </w:rPr>
        <w:t>，证监会对3个对象进行立案调查；证监局作出2份行政处罚</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决定事先告知书</w:t>
      </w:r>
      <w:r>
        <w:rPr>
          <w:rFonts w:ascii="Microsoft YaHei" w:hAnsi="Microsoft YaHei" w:eastAsia="Microsoft YaHei" w:cs="Microsoft YaHei"/>
          <w:sz w:val="22"/>
          <w:szCs w:val="22"/>
          <w:spacing w:val="-28"/>
        </w:rPr>
        <w:t xml:space="preserve"> </w:t>
      </w:r>
      <w:r>
        <w:rPr>
          <w:rFonts w:ascii="Microsoft YaHei" w:hAnsi="Microsoft YaHei" w:eastAsia="Microsoft YaHei" w:cs="Microsoft YaHei"/>
          <w:sz w:val="22"/>
          <w:szCs w:val="22"/>
          <w:spacing w:val="-3"/>
        </w:rPr>
        <w:t>，5份行政处罚决定书，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3"/>
        </w:rPr>
        <w:t>13份行政监管措施决定书。</w:t>
      </w:r>
    </w:p>
    <w:p>
      <w:pPr>
        <w:ind w:left="17"/>
        <w:spacing w:before="305"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rPr>
        <w:t>（ 1 ）行政处罚决定书</w:t>
      </w:r>
    </w:p>
    <w:p>
      <w:pPr>
        <w:spacing w:line="191" w:lineRule="exact"/>
        <w:rPr/>
      </w:pPr>
      <w:r/>
    </w:p>
    <w:tbl>
      <w:tblPr>
        <w:tblStyle w:val="TableNormal"/>
        <w:tblW w:w="8053" w:type="dxa"/>
        <w:tblInd w:w="58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pStyle w:val="TableText"/>
              <w:ind w:left="181"/>
              <w:spacing w:before="111" w:line="186"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11" w:line="186"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11" w:line="186" w:lineRule="auto"/>
              <w:rPr/>
            </w:pPr>
            <w:r>
              <w:rPr>
                <w:b/>
                <w:bCs/>
                <w:color w:val="FFFFFF"/>
                <w:spacing w:val="8"/>
              </w:rPr>
              <w:t>违规行为</w:t>
            </w:r>
          </w:p>
        </w:tc>
      </w:tr>
      <w:tr>
        <w:trPr>
          <w:trHeight w:val="1448" w:hRule="atLeast"/>
        </w:trPr>
        <w:tc>
          <w:tcPr>
            <w:shd w:val="clear" w:fill="B8CCE4"/>
            <w:tcW w:w="1214" w:type="dxa"/>
            <w:vAlign w:val="top"/>
            <w:tcBorders>
              <w:top w:val="single" w:color="4F81BD" w:sz="2" w:space="0"/>
            </w:tcBorders>
          </w:tcPr>
          <w:p>
            <w:pPr>
              <w:spacing w:line="275" w:lineRule="auto"/>
              <w:rPr>
                <w:rFonts w:ascii="Arial"/>
                <w:sz w:val="21"/>
              </w:rPr>
            </w:pPr>
            <w:r/>
          </w:p>
          <w:p>
            <w:pPr>
              <w:spacing w:line="276" w:lineRule="auto"/>
              <w:rPr>
                <w:rFonts w:ascii="Arial"/>
                <w:sz w:val="21"/>
              </w:rPr>
            </w:pPr>
            <w:r/>
          </w:p>
          <w:p>
            <w:pPr>
              <w:pStyle w:val="TableText"/>
              <w:ind w:left="236"/>
              <w:spacing w:before="85" w:line="178" w:lineRule="auto"/>
              <w:rPr/>
            </w:pPr>
            <w:r>
              <w:rPr>
                <w:spacing w:val="3"/>
              </w:rPr>
              <w:t>000695</w:t>
            </w:r>
          </w:p>
        </w:tc>
        <w:tc>
          <w:tcPr>
            <w:shd w:val="clear" w:fill="B8CCE4"/>
            <w:tcW w:w="1343" w:type="dxa"/>
            <w:vAlign w:val="top"/>
            <w:tcBorders>
              <w:top w:val="single" w:color="4F81BD" w:sz="2" w:space="0"/>
            </w:tcBorders>
          </w:tcPr>
          <w:p>
            <w:pPr>
              <w:spacing w:line="267" w:lineRule="auto"/>
              <w:rPr>
                <w:rFonts w:ascii="Arial"/>
                <w:sz w:val="21"/>
              </w:rPr>
            </w:pPr>
            <w:r/>
          </w:p>
          <w:p>
            <w:pPr>
              <w:spacing w:line="268" w:lineRule="auto"/>
              <w:rPr>
                <w:rFonts w:ascii="Arial"/>
                <w:sz w:val="21"/>
              </w:rPr>
            </w:pPr>
            <w:r/>
          </w:p>
          <w:p>
            <w:pPr>
              <w:pStyle w:val="TableText"/>
              <w:ind w:left="242"/>
              <w:spacing w:before="86" w:line="190" w:lineRule="auto"/>
              <w:rPr/>
            </w:pPr>
            <w:r>
              <w:rPr>
                <w:spacing w:val="8"/>
              </w:rPr>
              <w:t>滨海能源</w:t>
            </w:r>
          </w:p>
        </w:tc>
        <w:tc>
          <w:tcPr>
            <w:shd w:val="clear" w:fill="B8CCE4"/>
            <w:tcW w:w="5496" w:type="dxa"/>
            <w:vAlign w:val="top"/>
            <w:tcBorders>
              <w:top w:val="single" w:color="4F81BD" w:sz="2" w:space="0"/>
            </w:tcBorders>
          </w:tcPr>
          <w:p>
            <w:pPr>
              <w:pStyle w:val="TableText"/>
              <w:ind w:left="99" w:right="103"/>
              <w:spacing w:before="88" w:line="236" w:lineRule="auto"/>
              <w:jc w:val="both"/>
              <w:rPr/>
            </w:pPr>
            <w:r>
              <w:rPr>
                <w:spacing w:val="11"/>
              </w:rPr>
              <w:t>股东控制使用账户组在合计持有“滨海能源”比例首次达</w:t>
            </w:r>
            <w:r>
              <w:rPr>
                <w:spacing w:val="1"/>
              </w:rPr>
              <w:t xml:space="preserve"> </w:t>
            </w:r>
            <w:r>
              <w:rPr>
                <w:spacing w:val="12"/>
              </w:rPr>
              <w:t>到</w:t>
            </w:r>
            <w:r>
              <w:rPr>
                <w:spacing w:val="26"/>
              </w:rPr>
              <w:t xml:space="preserve"> </w:t>
            </w:r>
            <w:r>
              <w:rPr>
                <w:spacing w:val="12"/>
              </w:rPr>
              <w:t>5%</w:t>
            </w:r>
            <w:r>
              <w:rPr>
                <w:spacing w:val="-35"/>
              </w:rPr>
              <w:t xml:space="preserve"> </w:t>
            </w:r>
            <w:r>
              <w:rPr>
                <w:spacing w:val="12"/>
              </w:rPr>
              <w:t>、</w:t>
            </w:r>
            <w:r>
              <w:rPr>
                <w:spacing w:val="-38"/>
              </w:rPr>
              <w:t xml:space="preserve"> </w:t>
            </w:r>
            <w:r>
              <w:rPr>
                <w:spacing w:val="12"/>
              </w:rPr>
              <w:t>达到</w:t>
            </w:r>
            <w:r>
              <w:rPr>
                <w:spacing w:val="20"/>
                <w:w w:val="101"/>
              </w:rPr>
              <w:t xml:space="preserve"> </w:t>
            </w:r>
            <w:r>
              <w:rPr>
                <w:spacing w:val="12"/>
              </w:rPr>
              <w:t>5%后每增加和减少</w:t>
            </w:r>
            <w:r>
              <w:rPr>
                <w:spacing w:val="21"/>
              </w:rPr>
              <w:t xml:space="preserve"> </w:t>
            </w:r>
            <w:r>
              <w:rPr>
                <w:spacing w:val="12"/>
              </w:rPr>
              <w:t>5%以及每增加和减少</w:t>
            </w:r>
            <w:r>
              <w:rPr/>
              <w:t xml:space="preserve"> </w:t>
            </w:r>
            <w:r>
              <w:rPr>
                <w:spacing w:val="12"/>
              </w:rPr>
              <w:t>1%时</w:t>
            </w:r>
            <w:r>
              <w:rPr>
                <w:spacing w:val="-17"/>
              </w:rPr>
              <w:t xml:space="preserve"> </w:t>
            </w:r>
            <w:r>
              <w:rPr>
                <w:spacing w:val="12"/>
              </w:rPr>
              <w:t>，未按规定报告和披露其</w:t>
            </w:r>
            <w:r>
              <w:rPr>
                <w:b/>
                <w:bCs/>
                <w:spacing w:val="12"/>
              </w:rPr>
              <w:t>持股信息变动</w:t>
            </w:r>
            <w:r>
              <w:rPr>
                <w:spacing w:val="12"/>
              </w:rPr>
              <w:t>情况</w:t>
            </w:r>
            <w:r>
              <w:rPr>
                <w:spacing w:val="-21"/>
              </w:rPr>
              <w:t xml:space="preserve"> </w:t>
            </w:r>
            <w:r>
              <w:rPr>
                <w:spacing w:val="12"/>
              </w:rPr>
              <w:t>，且在</w:t>
            </w:r>
            <w:r>
              <w:rPr/>
              <w:t xml:space="preserve"> </w:t>
            </w:r>
            <w:r>
              <w:rPr>
                <w:spacing w:val="9"/>
              </w:rPr>
              <w:t>按规定报告和披露持股变动信息前</w:t>
            </w:r>
            <w:r>
              <w:rPr>
                <w:b/>
                <w:bCs/>
                <w:spacing w:val="9"/>
              </w:rPr>
              <w:t>未停止交易。</w:t>
            </w:r>
          </w:p>
        </w:tc>
      </w:tr>
      <w:tr>
        <w:trPr>
          <w:trHeight w:val="1084" w:hRule="atLeast"/>
        </w:trPr>
        <w:tc>
          <w:tcPr>
            <w:tcW w:w="8053" w:type="dxa"/>
            <w:vAlign w:val="top"/>
            <w:gridSpan w:val="3"/>
          </w:tcPr>
          <w:p>
            <w:pPr>
              <w:pStyle w:val="TableText"/>
              <w:ind w:left="105" w:right="103" w:firstLine="17"/>
              <w:spacing w:before="44"/>
              <w:jc w:val="both"/>
              <w:rPr/>
            </w:pPr>
            <w:r>
              <w:rPr>
                <w:b/>
                <w:bCs/>
                <w:spacing w:val="10"/>
              </w:rPr>
              <w:t>【行政处罚决定】</w:t>
            </w:r>
            <w:r>
              <w:rPr>
                <w:spacing w:val="10"/>
              </w:rPr>
              <w:t>中国证券监督管理委员会天津监管局决定</w:t>
            </w:r>
            <w:r>
              <w:rPr>
                <w:spacing w:val="-18"/>
              </w:rPr>
              <w:t xml:space="preserve"> </w:t>
            </w:r>
            <w:r>
              <w:rPr>
                <w:spacing w:val="10"/>
              </w:rPr>
              <w:t>：对大股东王某林合</w:t>
            </w:r>
            <w:r>
              <w:rPr>
                <w:spacing w:val="9"/>
              </w:rPr>
              <w:t>并采</w:t>
            </w:r>
            <w:r>
              <w:rPr/>
              <w:t xml:space="preserve"> </w:t>
            </w:r>
            <w:r>
              <w:rPr>
                <w:spacing w:val="9"/>
              </w:rPr>
              <w:t>取责令改正</w:t>
            </w:r>
            <w:r>
              <w:rPr>
                <w:spacing w:val="-11"/>
              </w:rPr>
              <w:t xml:space="preserve"> </w:t>
            </w:r>
            <w:r>
              <w:rPr>
                <w:spacing w:val="9"/>
              </w:rPr>
              <w:t>，</w:t>
            </w:r>
            <w:r>
              <w:rPr>
                <w:spacing w:val="-34"/>
              </w:rPr>
              <w:t xml:space="preserve"> </w:t>
            </w:r>
            <w:r>
              <w:rPr>
                <w:spacing w:val="9"/>
              </w:rPr>
              <w:t>给予警告</w:t>
            </w:r>
            <w:r>
              <w:rPr>
                <w:spacing w:val="-13"/>
              </w:rPr>
              <w:t xml:space="preserve"> </w:t>
            </w:r>
            <w:r>
              <w:rPr>
                <w:spacing w:val="9"/>
              </w:rPr>
              <w:t>，</w:t>
            </w:r>
            <w:r>
              <w:rPr>
                <w:spacing w:val="-34"/>
              </w:rPr>
              <w:t xml:space="preserve"> </w:t>
            </w:r>
            <w:r>
              <w:rPr>
                <w:spacing w:val="9"/>
              </w:rPr>
              <w:t>没收</w:t>
            </w:r>
            <w:r>
              <w:rPr>
                <w:spacing w:val="30"/>
              </w:rPr>
              <w:t xml:space="preserve"> </w:t>
            </w:r>
            <w:r>
              <w:rPr>
                <w:spacing w:val="9"/>
              </w:rPr>
              <w:t>1,767,252.14</w:t>
            </w:r>
            <w:r>
              <w:rPr>
                <w:spacing w:val="8"/>
              </w:rPr>
              <w:t xml:space="preserve"> 元违法所得</w:t>
            </w:r>
            <w:r>
              <w:rPr>
                <w:spacing w:val="-11"/>
              </w:rPr>
              <w:t xml:space="preserve"> </w:t>
            </w:r>
            <w:r>
              <w:rPr>
                <w:spacing w:val="8"/>
              </w:rPr>
              <w:t>，</w:t>
            </w:r>
            <w:r>
              <w:rPr>
                <w:spacing w:val="-32"/>
              </w:rPr>
              <w:t xml:space="preserve"> </w:t>
            </w:r>
            <w:r>
              <w:rPr>
                <w:spacing w:val="8"/>
              </w:rPr>
              <w:t>并处以</w:t>
            </w:r>
            <w:r>
              <w:rPr>
                <w:spacing w:val="22"/>
              </w:rPr>
              <w:t xml:space="preserve"> </w:t>
            </w:r>
            <w:r>
              <w:rPr>
                <w:spacing w:val="8"/>
              </w:rPr>
              <w:t>3,000,000 元罚</w:t>
            </w:r>
            <w:r>
              <w:rPr/>
              <w:t xml:space="preserve"> </w:t>
            </w:r>
            <w:r>
              <w:rPr>
                <w:spacing w:val="3"/>
              </w:rPr>
              <w:t>款。</w:t>
            </w:r>
          </w:p>
        </w:tc>
      </w:tr>
      <w:tr>
        <w:trPr>
          <w:trHeight w:val="724" w:hRule="atLeast"/>
        </w:trPr>
        <w:tc>
          <w:tcPr>
            <w:shd w:val="clear" w:fill="B8CCE4"/>
            <w:tcW w:w="1214" w:type="dxa"/>
            <w:vAlign w:val="top"/>
          </w:tcPr>
          <w:p>
            <w:pPr>
              <w:pStyle w:val="TableText"/>
              <w:ind w:left="242"/>
              <w:spacing w:before="279" w:line="178" w:lineRule="auto"/>
              <w:rPr/>
            </w:pPr>
            <w:r>
              <w:rPr>
                <w:spacing w:val="3"/>
              </w:rPr>
              <w:t>300367</w:t>
            </w:r>
          </w:p>
        </w:tc>
        <w:tc>
          <w:tcPr>
            <w:shd w:val="clear" w:fill="B8CCE4"/>
            <w:tcW w:w="1343" w:type="dxa"/>
            <w:vAlign w:val="top"/>
          </w:tcPr>
          <w:p>
            <w:pPr>
              <w:pStyle w:val="TableText"/>
              <w:ind w:left="360"/>
              <w:spacing w:before="265" w:line="188" w:lineRule="auto"/>
              <w:rPr/>
            </w:pPr>
            <w:r>
              <w:rPr>
                <w:spacing w:val="3"/>
              </w:rPr>
              <w:t>网力退</w:t>
            </w:r>
          </w:p>
        </w:tc>
        <w:tc>
          <w:tcPr>
            <w:shd w:val="clear" w:fill="B8CCE4"/>
            <w:tcW w:w="5496" w:type="dxa"/>
            <w:vAlign w:val="top"/>
          </w:tcPr>
          <w:p>
            <w:pPr>
              <w:pStyle w:val="TableText"/>
              <w:ind w:left="102" w:right="103" w:hanging="3"/>
              <w:spacing w:before="84" w:line="220" w:lineRule="auto"/>
              <w:rPr/>
            </w:pPr>
            <w:r>
              <w:rPr>
                <w:spacing w:val="6"/>
              </w:rPr>
              <w:t>东方网力 2017 年、</w:t>
            </w:r>
            <w:r>
              <w:rPr>
                <w:spacing w:val="-20"/>
              </w:rPr>
              <w:t xml:space="preserve"> </w:t>
            </w:r>
            <w:r>
              <w:rPr>
                <w:spacing w:val="6"/>
              </w:rPr>
              <w:t>2018 年、</w:t>
            </w:r>
            <w:r>
              <w:rPr>
                <w:spacing w:val="-32"/>
              </w:rPr>
              <w:t xml:space="preserve"> </w:t>
            </w:r>
            <w:r>
              <w:rPr>
                <w:spacing w:val="6"/>
              </w:rPr>
              <w:t>2019 年、</w:t>
            </w:r>
            <w:r>
              <w:rPr>
                <w:spacing w:val="-31"/>
              </w:rPr>
              <w:t xml:space="preserve"> </w:t>
            </w:r>
            <w:r>
              <w:rPr>
                <w:spacing w:val="6"/>
              </w:rPr>
              <w:t>2020 年年度报</w:t>
            </w:r>
            <w:r>
              <w:rPr/>
              <w:t xml:space="preserve"> </w:t>
            </w:r>
            <w:r>
              <w:rPr>
                <w:spacing w:val="7"/>
              </w:rPr>
              <w:t>告存在</w:t>
            </w:r>
            <w:r>
              <w:rPr>
                <w:b/>
                <w:bCs/>
                <w:spacing w:val="7"/>
              </w:rPr>
              <w:t>虚假记载。</w:t>
            </w:r>
          </w:p>
        </w:tc>
      </w:tr>
      <w:tr>
        <w:trPr>
          <w:trHeight w:val="724" w:hRule="atLeast"/>
        </w:trPr>
        <w:tc>
          <w:tcPr>
            <w:tcW w:w="8053" w:type="dxa"/>
            <w:vAlign w:val="top"/>
            <w:gridSpan w:val="3"/>
          </w:tcPr>
          <w:p>
            <w:pPr>
              <w:pStyle w:val="TableText"/>
              <w:ind w:left="108" w:right="103" w:firstLine="14"/>
              <w:spacing w:before="44" w:line="234" w:lineRule="auto"/>
              <w:rPr/>
            </w:pPr>
            <w:r>
              <w:rPr>
                <w:b/>
                <w:bCs/>
                <w:spacing w:val="14"/>
              </w:rPr>
              <w:t>【行政处罚决定】</w:t>
            </w:r>
            <w:r>
              <w:rPr>
                <w:spacing w:val="14"/>
              </w:rPr>
              <w:t>中国证券监督管理委员会北</w:t>
            </w:r>
            <w:r>
              <w:rPr>
                <w:spacing w:val="13"/>
              </w:rPr>
              <w:t>京监管局决定:对实际控制人,时任董事</w:t>
            </w:r>
            <w:r>
              <w:rPr/>
              <w:t xml:space="preserve"> </w:t>
            </w:r>
            <w:r>
              <w:rPr>
                <w:spacing w:val="6"/>
              </w:rPr>
              <w:t>长刘某采取 10 年证券市场禁入措施。</w:t>
            </w:r>
          </w:p>
        </w:tc>
      </w:tr>
      <w:tr>
        <w:trPr>
          <w:trHeight w:val="364" w:hRule="atLeast"/>
        </w:trPr>
        <w:tc>
          <w:tcPr>
            <w:shd w:val="clear" w:fill="B8CCE4"/>
            <w:tcW w:w="1214" w:type="dxa"/>
            <w:vAlign w:val="top"/>
          </w:tcPr>
          <w:p>
            <w:pPr>
              <w:pStyle w:val="TableText"/>
              <w:ind w:left="236"/>
              <w:spacing w:before="102" w:line="176" w:lineRule="auto"/>
              <w:rPr/>
            </w:pPr>
            <w:r>
              <w:rPr>
                <w:spacing w:val="3"/>
              </w:rPr>
              <w:t>002913</w:t>
            </w:r>
          </w:p>
        </w:tc>
        <w:tc>
          <w:tcPr>
            <w:shd w:val="clear" w:fill="B8CCE4"/>
            <w:tcW w:w="1343" w:type="dxa"/>
            <w:vAlign w:val="top"/>
          </w:tcPr>
          <w:p>
            <w:pPr>
              <w:pStyle w:val="TableText"/>
              <w:ind w:left="346"/>
              <w:spacing w:before="89" w:line="185" w:lineRule="auto"/>
              <w:rPr/>
            </w:pPr>
            <w:r>
              <w:rPr>
                <w:spacing w:val="8"/>
              </w:rPr>
              <w:t>奥士康</w:t>
            </w:r>
          </w:p>
        </w:tc>
        <w:tc>
          <w:tcPr>
            <w:shd w:val="clear" w:fill="B8CCE4"/>
            <w:tcW w:w="5496" w:type="dxa"/>
            <w:vAlign w:val="top"/>
          </w:tcPr>
          <w:p>
            <w:pPr>
              <w:pStyle w:val="TableText"/>
              <w:ind w:left="113"/>
              <w:spacing w:before="89" w:line="185" w:lineRule="auto"/>
              <w:rPr/>
            </w:pPr>
            <w:r>
              <w:rPr>
                <w:b/>
                <w:bCs/>
                <w:spacing w:val="6"/>
              </w:rPr>
              <w:t>内幕交易</w:t>
            </w:r>
            <w:r>
              <w:rPr>
                <w:spacing w:val="6"/>
              </w:rPr>
              <w:t>公司股票。</w:t>
            </w:r>
          </w:p>
        </w:tc>
      </w:tr>
      <w:tr>
        <w:trPr>
          <w:trHeight w:val="724" w:hRule="atLeast"/>
        </w:trPr>
        <w:tc>
          <w:tcPr>
            <w:tcW w:w="8053" w:type="dxa"/>
            <w:vAlign w:val="top"/>
            <w:gridSpan w:val="3"/>
          </w:tcPr>
          <w:p>
            <w:pPr>
              <w:pStyle w:val="TableText"/>
              <w:ind w:left="123" w:right="103" w:hanging="1"/>
              <w:spacing w:before="44" w:line="234" w:lineRule="auto"/>
              <w:rPr/>
            </w:pPr>
            <w:r>
              <w:rPr>
                <w:b/>
                <w:bCs/>
                <w:spacing w:val="22"/>
              </w:rPr>
              <w:t>【行政处罚决定】</w:t>
            </w:r>
            <w:r>
              <w:rPr>
                <w:spacing w:val="22"/>
              </w:rPr>
              <w:t>中国证券监督管理委员会湖南监管局决定：</w:t>
            </w:r>
            <w:r>
              <w:rPr>
                <w:spacing w:val="-19"/>
              </w:rPr>
              <w:t xml:space="preserve"> </w:t>
            </w:r>
            <w:r>
              <w:rPr>
                <w:spacing w:val="22"/>
              </w:rPr>
              <w:t>没收郭某违法所得</w:t>
            </w:r>
            <w:r>
              <w:rPr/>
              <w:t xml:space="preserve"> </w:t>
            </w:r>
            <w:r>
              <w:rPr>
                <w:spacing w:val="3"/>
              </w:rPr>
              <w:t>1,100,259.90 元</w:t>
            </w:r>
            <w:r>
              <w:rPr>
                <w:spacing w:val="-19"/>
              </w:rPr>
              <w:t xml:space="preserve"> </w:t>
            </w:r>
            <w:r>
              <w:rPr>
                <w:spacing w:val="3"/>
              </w:rPr>
              <w:t>，并处以 3,300,779.70 元罚款。</w:t>
            </w:r>
          </w:p>
        </w:tc>
      </w:tr>
      <w:tr>
        <w:trPr>
          <w:trHeight w:val="725" w:hRule="atLeast"/>
        </w:trPr>
        <w:tc>
          <w:tcPr>
            <w:shd w:val="clear" w:fill="B8CCE4"/>
            <w:tcW w:w="1214" w:type="dxa"/>
            <w:vAlign w:val="top"/>
          </w:tcPr>
          <w:p>
            <w:pPr>
              <w:pStyle w:val="TableText"/>
              <w:ind w:left="242"/>
              <w:spacing w:before="287" w:line="178" w:lineRule="auto"/>
              <w:rPr/>
            </w:pPr>
            <w:r>
              <w:rPr>
                <w:spacing w:val="3"/>
              </w:rPr>
              <w:t>300367</w:t>
            </w:r>
          </w:p>
        </w:tc>
        <w:tc>
          <w:tcPr>
            <w:shd w:val="clear" w:fill="B8CCE4"/>
            <w:tcW w:w="1343" w:type="dxa"/>
            <w:vAlign w:val="top"/>
          </w:tcPr>
          <w:p>
            <w:pPr>
              <w:pStyle w:val="TableText"/>
              <w:ind w:left="360"/>
              <w:spacing w:before="273" w:line="188" w:lineRule="auto"/>
              <w:rPr/>
            </w:pPr>
            <w:r>
              <w:rPr>
                <w:spacing w:val="3"/>
              </w:rPr>
              <w:t>网力退</w:t>
            </w:r>
          </w:p>
        </w:tc>
        <w:tc>
          <w:tcPr>
            <w:shd w:val="clear" w:fill="B8CCE4"/>
            <w:tcW w:w="5496" w:type="dxa"/>
            <w:vAlign w:val="top"/>
          </w:tcPr>
          <w:p>
            <w:pPr>
              <w:pStyle w:val="TableText"/>
              <w:ind w:left="102" w:right="103" w:hanging="3"/>
              <w:spacing w:before="91" w:line="218" w:lineRule="auto"/>
              <w:rPr/>
            </w:pPr>
            <w:r>
              <w:rPr>
                <w:spacing w:val="6"/>
              </w:rPr>
              <w:t>东方网力 2017 年、</w:t>
            </w:r>
            <w:r>
              <w:rPr>
                <w:spacing w:val="-20"/>
              </w:rPr>
              <w:t xml:space="preserve"> </w:t>
            </w:r>
            <w:r>
              <w:rPr>
                <w:spacing w:val="6"/>
              </w:rPr>
              <w:t>2018 年、</w:t>
            </w:r>
            <w:r>
              <w:rPr>
                <w:spacing w:val="-32"/>
              </w:rPr>
              <w:t xml:space="preserve"> </w:t>
            </w:r>
            <w:r>
              <w:rPr>
                <w:spacing w:val="6"/>
              </w:rPr>
              <w:t>2019 年、</w:t>
            </w:r>
            <w:r>
              <w:rPr>
                <w:spacing w:val="-31"/>
              </w:rPr>
              <w:t xml:space="preserve"> </w:t>
            </w:r>
            <w:r>
              <w:rPr>
                <w:spacing w:val="6"/>
              </w:rPr>
              <w:t>2020 年年度报</w:t>
            </w:r>
            <w:r>
              <w:rPr/>
              <w:t xml:space="preserve"> </w:t>
            </w:r>
            <w:r>
              <w:rPr>
                <w:spacing w:val="7"/>
              </w:rPr>
              <w:t>告存在</w:t>
            </w:r>
            <w:r>
              <w:rPr>
                <w:b/>
                <w:bCs/>
                <w:spacing w:val="7"/>
              </w:rPr>
              <w:t>虚假记载。</w:t>
            </w:r>
          </w:p>
        </w:tc>
      </w:tr>
      <w:tr>
        <w:trPr>
          <w:trHeight w:val="724" w:hRule="atLeast"/>
        </w:trPr>
        <w:tc>
          <w:tcPr>
            <w:tcW w:w="8053" w:type="dxa"/>
            <w:vAlign w:val="top"/>
            <w:gridSpan w:val="3"/>
          </w:tcPr>
          <w:p>
            <w:pPr>
              <w:pStyle w:val="TableText"/>
              <w:ind w:left="108" w:right="103" w:firstLine="14"/>
              <w:spacing w:before="47" w:line="233" w:lineRule="auto"/>
              <w:rPr/>
            </w:pPr>
            <w:r>
              <w:rPr>
                <w:b/>
                <w:bCs/>
                <w:spacing w:val="14"/>
              </w:rPr>
              <w:t>【行政处罚决定】</w:t>
            </w:r>
            <w:r>
              <w:rPr>
                <w:spacing w:val="14"/>
              </w:rPr>
              <w:t>中国证券监督管理委员会北</w:t>
            </w:r>
            <w:r>
              <w:rPr>
                <w:spacing w:val="13"/>
              </w:rPr>
              <w:t>京监管局决定:对实际控制人,时任董事</w:t>
            </w:r>
            <w:r>
              <w:rPr/>
              <w:t xml:space="preserve"> </w:t>
            </w:r>
            <w:r>
              <w:rPr>
                <w:spacing w:val="7"/>
              </w:rPr>
              <w:t>长刘某给予警告,并合计处以 180 万元</w:t>
            </w:r>
            <w:r>
              <w:rPr>
                <w:spacing w:val="6"/>
              </w:rPr>
              <w:t>的罚款。</w:t>
            </w:r>
          </w:p>
        </w:tc>
      </w:tr>
      <w:tr>
        <w:trPr>
          <w:trHeight w:val="725" w:hRule="atLeast"/>
        </w:trPr>
        <w:tc>
          <w:tcPr>
            <w:shd w:val="clear" w:fill="B8CCE4"/>
            <w:tcW w:w="1214" w:type="dxa"/>
            <w:vAlign w:val="top"/>
          </w:tcPr>
          <w:p>
            <w:pPr>
              <w:pStyle w:val="TableText"/>
              <w:ind w:left="236"/>
              <w:spacing w:before="287" w:line="179" w:lineRule="auto"/>
              <w:rPr/>
            </w:pPr>
            <w:r>
              <w:rPr>
                <w:spacing w:val="3"/>
              </w:rPr>
              <w:t>002310</w:t>
            </w:r>
          </w:p>
        </w:tc>
        <w:tc>
          <w:tcPr>
            <w:shd w:val="clear" w:fill="B8CCE4"/>
            <w:tcW w:w="1343" w:type="dxa"/>
            <w:vAlign w:val="top"/>
          </w:tcPr>
          <w:p>
            <w:pPr>
              <w:pStyle w:val="TableText"/>
              <w:ind w:left="242"/>
              <w:spacing w:before="274" w:line="189" w:lineRule="auto"/>
              <w:rPr/>
            </w:pPr>
            <w:r>
              <w:rPr>
                <w:spacing w:val="8"/>
              </w:rPr>
              <w:t>东方园林</w:t>
            </w:r>
          </w:p>
        </w:tc>
        <w:tc>
          <w:tcPr>
            <w:shd w:val="clear" w:fill="B8CCE4"/>
            <w:tcW w:w="5496" w:type="dxa"/>
            <w:vAlign w:val="top"/>
          </w:tcPr>
          <w:p>
            <w:pPr>
              <w:pStyle w:val="TableText"/>
              <w:ind w:left="99" w:right="3"/>
              <w:spacing w:before="91" w:line="218" w:lineRule="auto"/>
              <w:rPr/>
            </w:pPr>
            <w:r>
              <w:rPr>
                <w:spacing w:val="10"/>
              </w:rPr>
              <w:t>东方园林 2019 年至 2022 年年度报告及“</w:t>
            </w:r>
            <w:r>
              <w:rPr>
                <w:spacing w:val="-36"/>
              </w:rPr>
              <w:t xml:space="preserve"> </w:t>
            </w:r>
            <w:r>
              <w:rPr>
                <w:spacing w:val="10"/>
              </w:rPr>
              <w:t>20 东林 G1</w:t>
            </w:r>
            <w:r>
              <w:rPr>
                <w:spacing w:val="-39"/>
              </w:rPr>
              <w:t xml:space="preserve"> </w:t>
            </w:r>
            <w:r>
              <w:rPr>
                <w:spacing w:val="10"/>
              </w:rPr>
              <w:t>”</w:t>
            </w:r>
            <w:r>
              <w:rPr/>
              <w:t xml:space="preserve"> </w:t>
            </w:r>
            <w:r>
              <w:rPr>
                <w:spacing w:val="9"/>
              </w:rPr>
              <w:t>公司债券募集说明书</w:t>
            </w:r>
            <w:r>
              <w:rPr>
                <w:b/>
                <w:bCs/>
                <w:spacing w:val="9"/>
              </w:rPr>
              <w:t>存在错报。</w:t>
            </w:r>
          </w:p>
        </w:tc>
      </w:tr>
      <w:tr>
        <w:trPr>
          <w:trHeight w:val="733" w:hRule="atLeast"/>
        </w:trPr>
        <w:tc>
          <w:tcPr>
            <w:tcW w:w="8053" w:type="dxa"/>
            <w:vAlign w:val="top"/>
            <w:gridSpan w:val="3"/>
          </w:tcPr>
          <w:p>
            <w:pPr>
              <w:pStyle w:val="TableText"/>
              <w:ind w:left="106" w:right="103" w:firstLine="16"/>
              <w:spacing w:before="50" w:line="235" w:lineRule="auto"/>
              <w:rPr/>
            </w:pPr>
            <w:r>
              <w:rPr>
                <w:b/>
                <w:bCs/>
                <w:spacing w:val="14"/>
              </w:rPr>
              <w:t>【行政处罚决定】</w:t>
            </w:r>
            <w:r>
              <w:rPr>
                <w:spacing w:val="14"/>
              </w:rPr>
              <w:t>中国证券监督管理委员会北</w:t>
            </w:r>
            <w:r>
              <w:rPr>
                <w:spacing w:val="13"/>
              </w:rPr>
              <w:t>京监管局决定:对时任董事,时任总经理</w:t>
            </w:r>
            <w:r>
              <w:rPr/>
              <w:t xml:space="preserve"> </w:t>
            </w:r>
            <w:r>
              <w:rPr>
                <w:spacing w:val="6"/>
              </w:rPr>
              <w:t>刘某杰给予警告,并处以 70 万元的罚款。</w:t>
            </w:r>
          </w:p>
        </w:tc>
      </w:tr>
    </w:tbl>
    <w:p>
      <w:pPr>
        <w:pStyle w:val="BodyText"/>
        <w:spacing w:line="303" w:lineRule="auto"/>
        <w:rPr/>
      </w:pPr>
      <w:r/>
    </w:p>
    <w:p>
      <w:pPr>
        <w:ind w:left="17"/>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3"/>
        </w:rPr>
        <w:t>（ 2 ）</w:t>
      </w:r>
      <w:r>
        <w:rPr>
          <w:rFonts w:ascii="Microsoft YaHei" w:hAnsi="Microsoft YaHei" w:eastAsia="Microsoft YaHei" w:cs="Microsoft YaHei"/>
          <w:sz w:val="24"/>
          <w:szCs w:val="24"/>
          <w:b/>
          <w:bCs/>
          <w:spacing w:val="-13"/>
        </w:rPr>
        <w:t>行政处罚决定事先告知书</w:t>
      </w:r>
    </w:p>
    <w:p>
      <w:pPr>
        <w:spacing w:line="192" w:lineRule="exact"/>
        <w:rPr/>
      </w:pPr>
      <w:r/>
    </w:p>
    <w:tbl>
      <w:tblPr>
        <w:tblStyle w:val="TableNormal"/>
        <w:tblW w:w="8053" w:type="dxa"/>
        <w:tblInd w:w="58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4F81BD" w:sz="2" w:space="0"/>
            </w:tcBorders>
          </w:tcPr>
          <w:p>
            <w:pPr>
              <w:pStyle w:val="TableText"/>
              <w:ind w:left="181"/>
              <w:spacing w:before="107"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07" w:line="188"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07" w:line="188" w:lineRule="auto"/>
              <w:rPr/>
            </w:pPr>
            <w:r>
              <w:rPr>
                <w:b/>
                <w:bCs/>
                <w:color w:val="FFFFFF"/>
                <w:spacing w:val="8"/>
              </w:rPr>
              <w:t>违规行为</w:t>
            </w:r>
          </w:p>
        </w:tc>
      </w:tr>
      <w:tr>
        <w:trPr>
          <w:trHeight w:val="368" w:hRule="atLeast"/>
        </w:trPr>
        <w:tc>
          <w:tcPr>
            <w:shd w:val="clear" w:fill="B8CCE4"/>
            <w:tcW w:w="1214" w:type="dxa"/>
            <w:vAlign w:val="top"/>
            <w:tcBorders>
              <w:top w:val="single" w:color="4F81BD" w:sz="2" w:space="0"/>
            </w:tcBorders>
          </w:tcPr>
          <w:p>
            <w:pPr>
              <w:pStyle w:val="TableText"/>
              <w:ind w:left="239"/>
              <w:spacing w:before="103" w:line="178" w:lineRule="auto"/>
              <w:rPr/>
            </w:pPr>
            <w:r>
              <w:rPr>
                <w:spacing w:val="3"/>
              </w:rPr>
              <w:t>603843</w:t>
            </w:r>
          </w:p>
        </w:tc>
        <w:tc>
          <w:tcPr>
            <w:shd w:val="clear" w:fill="B8CCE4"/>
            <w:tcW w:w="1343" w:type="dxa"/>
            <w:vAlign w:val="top"/>
            <w:tcBorders>
              <w:top w:val="single" w:color="4F81BD" w:sz="2" w:space="0"/>
            </w:tcBorders>
          </w:tcPr>
          <w:p>
            <w:pPr>
              <w:pStyle w:val="TableText"/>
              <w:ind w:left="243"/>
              <w:spacing w:before="90" w:line="187" w:lineRule="auto"/>
              <w:rPr/>
            </w:pPr>
            <w:r>
              <w:rPr>
                <w:spacing w:val="8"/>
              </w:rPr>
              <w:t>正平股份</w:t>
            </w:r>
          </w:p>
        </w:tc>
        <w:tc>
          <w:tcPr>
            <w:shd w:val="clear" w:fill="B8CCE4"/>
            <w:tcW w:w="5496" w:type="dxa"/>
            <w:vAlign w:val="top"/>
            <w:tcBorders>
              <w:top w:val="single" w:color="4F81BD" w:sz="2" w:space="0"/>
            </w:tcBorders>
          </w:tcPr>
          <w:p>
            <w:pPr>
              <w:pStyle w:val="TableText"/>
              <w:ind w:left="109"/>
              <w:spacing w:before="87" w:line="189" w:lineRule="auto"/>
              <w:rPr/>
            </w:pPr>
            <w:r>
              <w:rPr>
                <w:spacing w:val="8"/>
              </w:rPr>
              <w:t>2021年年度报告和2022年半年度报告存在</w:t>
            </w:r>
            <w:r>
              <w:rPr>
                <w:b/>
                <w:bCs/>
                <w:spacing w:val="8"/>
              </w:rPr>
              <w:t>虚</w:t>
            </w:r>
            <w:r>
              <w:rPr>
                <w:b/>
                <w:bCs/>
                <w:spacing w:val="7"/>
              </w:rPr>
              <w:t>假记载</w:t>
            </w:r>
            <w:r>
              <w:rPr>
                <w:spacing w:val="7"/>
              </w:rPr>
              <w:t>。</w:t>
            </w:r>
          </w:p>
        </w:tc>
      </w:tr>
      <w:tr>
        <w:trPr>
          <w:trHeight w:val="3243" w:hRule="atLeast"/>
        </w:trPr>
        <w:tc>
          <w:tcPr>
            <w:tcW w:w="8053" w:type="dxa"/>
            <w:vAlign w:val="top"/>
            <w:gridSpan w:val="3"/>
          </w:tcPr>
          <w:p>
            <w:pPr>
              <w:pStyle w:val="TableText"/>
              <w:ind w:left="122"/>
              <w:spacing w:before="41" w:line="233" w:lineRule="auto"/>
              <w:rPr/>
            </w:pPr>
            <w:r>
              <w:rPr>
                <w:b/>
                <w:bCs/>
                <w:spacing w:val="9"/>
              </w:rPr>
              <w:t>【行政处罚决定（拟）】</w:t>
            </w:r>
            <w:r>
              <w:rPr>
                <w:spacing w:val="9"/>
              </w:rPr>
              <w:t>中国证券监督管理委员会青海监管局拟</w:t>
            </w:r>
            <w:r>
              <w:rPr>
                <w:spacing w:val="8"/>
              </w:rPr>
              <w:t>决定：</w:t>
            </w:r>
          </w:p>
          <w:p>
            <w:pPr>
              <w:pStyle w:val="TableText"/>
              <w:ind w:left="139"/>
              <w:spacing w:before="30" w:line="229" w:lineRule="auto"/>
              <w:rPr/>
            </w:pPr>
            <w:r>
              <w:rPr>
                <w:spacing w:val="5"/>
              </w:rPr>
              <w:t>（一）对正平股份责令改正</w:t>
            </w:r>
            <w:r>
              <w:rPr>
                <w:spacing w:val="-9"/>
              </w:rPr>
              <w:t xml:space="preserve"> </w:t>
            </w:r>
            <w:r>
              <w:rPr>
                <w:spacing w:val="5"/>
              </w:rPr>
              <w:t>，给予警告</w:t>
            </w:r>
            <w:r>
              <w:rPr>
                <w:spacing w:val="-28"/>
              </w:rPr>
              <w:t xml:space="preserve"> </w:t>
            </w:r>
            <w:r>
              <w:rPr>
                <w:spacing w:val="5"/>
              </w:rPr>
              <w:t>，并处以150万元罚款；</w:t>
            </w:r>
          </w:p>
          <w:p>
            <w:pPr>
              <w:pStyle w:val="TableText"/>
              <w:ind w:left="106" w:right="103" w:firstLine="32"/>
              <w:spacing w:before="32"/>
              <w:rPr/>
            </w:pPr>
            <w:r>
              <w:rPr>
                <w:spacing w:val="7"/>
              </w:rPr>
              <w:t>（二）对实际控制人,时任董事金某辉给予警告</w:t>
            </w:r>
            <w:r>
              <w:rPr>
                <w:spacing w:val="-9"/>
              </w:rPr>
              <w:t xml:space="preserve"> </w:t>
            </w:r>
            <w:r>
              <w:rPr>
                <w:spacing w:val="7"/>
              </w:rPr>
              <w:t>，并处以230万元罚款</w:t>
            </w:r>
            <w:r>
              <w:rPr>
                <w:spacing w:val="-25"/>
              </w:rPr>
              <w:t xml:space="preserve"> </w:t>
            </w:r>
            <w:r>
              <w:rPr>
                <w:spacing w:val="7"/>
              </w:rPr>
              <w:t>，其中</w:t>
            </w:r>
            <w:r>
              <w:rPr>
                <w:spacing w:val="-23"/>
              </w:rPr>
              <w:t xml:space="preserve"> </w:t>
            </w:r>
            <w:r>
              <w:rPr>
                <w:spacing w:val="7"/>
              </w:rPr>
              <w:t>，对其作</w:t>
            </w:r>
            <w:r>
              <w:rPr/>
              <w:t xml:space="preserve"> </w:t>
            </w:r>
            <w:r>
              <w:rPr>
                <w:spacing w:val="10"/>
              </w:rPr>
              <w:t>为直接负责的主管人员处以80万元罚款</w:t>
            </w:r>
            <w:r>
              <w:rPr>
                <w:spacing w:val="-12"/>
              </w:rPr>
              <w:t xml:space="preserve"> </w:t>
            </w:r>
            <w:r>
              <w:rPr>
                <w:spacing w:val="10"/>
              </w:rPr>
              <w:t>，对其作为实际控制人违法违规行为处以150</w:t>
            </w:r>
            <w:r>
              <w:rPr/>
              <w:t xml:space="preserve"> </w:t>
            </w:r>
            <w:r>
              <w:rPr>
                <w:spacing w:val="6"/>
              </w:rPr>
              <w:t>万元罚款；</w:t>
            </w:r>
          </w:p>
          <w:p>
            <w:pPr>
              <w:pStyle w:val="TableText"/>
              <w:ind w:left="139" w:right="283"/>
              <w:spacing w:before="51"/>
              <w:rPr/>
            </w:pPr>
            <w:r>
              <w:rPr>
                <w:spacing w:val="6"/>
              </w:rPr>
              <w:t>（三）对实际控制人,时任董事长,时任总经理金某光给予警告</w:t>
            </w:r>
            <w:r>
              <w:rPr>
                <w:spacing w:val="-11"/>
              </w:rPr>
              <w:t xml:space="preserve"> </w:t>
            </w:r>
            <w:r>
              <w:rPr>
                <w:spacing w:val="6"/>
              </w:rPr>
              <w:t>，并处以80万元罚款；</w:t>
            </w:r>
            <w:r>
              <w:rPr/>
              <w:t xml:space="preserve"> </w:t>
            </w:r>
            <w:r>
              <w:rPr>
                <w:spacing w:val="6"/>
              </w:rPr>
              <w:t>（四）对时任总经理任某伟给予警告</w:t>
            </w:r>
            <w:r>
              <w:rPr>
                <w:spacing w:val="-11"/>
              </w:rPr>
              <w:t xml:space="preserve"> </w:t>
            </w:r>
            <w:r>
              <w:rPr>
                <w:spacing w:val="6"/>
              </w:rPr>
              <w:t>，并处以70万元罚款；</w:t>
            </w:r>
          </w:p>
          <w:p>
            <w:pPr>
              <w:pStyle w:val="TableText"/>
              <w:ind w:left="139"/>
              <w:spacing w:before="33" w:line="229" w:lineRule="auto"/>
              <w:rPr/>
            </w:pPr>
            <w:r>
              <w:rPr>
                <w:spacing w:val="7"/>
              </w:rPr>
              <w:t>（五）对时任高管,时任财务总监王某莹给予警告</w:t>
            </w:r>
            <w:r>
              <w:rPr>
                <w:spacing w:val="-26"/>
              </w:rPr>
              <w:t xml:space="preserve"> </w:t>
            </w:r>
            <w:r>
              <w:rPr>
                <w:spacing w:val="7"/>
              </w:rPr>
              <w:t>，并处以60万元罚款；</w:t>
            </w:r>
          </w:p>
          <w:p>
            <w:pPr>
              <w:pStyle w:val="TableText"/>
              <w:ind w:left="139"/>
              <w:spacing w:before="32" w:line="215" w:lineRule="auto"/>
              <w:rPr/>
            </w:pPr>
            <w:r>
              <w:rPr>
                <w:spacing w:val="7"/>
              </w:rPr>
              <w:t>（六）对时任监事先某吉、</w:t>
            </w:r>
            <w:r>
              <w:rPr>
                <w:spacing w:val="-37"/>
              </w:rPr>
              <w:t xml:space="preserve"> </w:t>
            </w:r>
            <w:r>
              <w:rPr>
                <w:spacing w:val="7"/>
              </w:rPr>
              <w:t>时任高管李某兰给予警告</w:t>
            </w:r>
            <w:r>
              <w:rPr>
                <w:spacing w:val="-28"/>
              </w:rPr>
              <w:t xml:space="preserve"> </w:t>
            </w:r>
            <w:r>
              <w:rPr>
                <w:spacing w:val="7"/>
              </w:rPr>
              <w:t>，并分别处以50万</w:t>
            </w:r>
            <w:r>
              <w:rPr>
                <w:spacing w:val="6"/>
              </w:rPr>
              <w:t>元罚款。</w:t>
            </w:r>
          </w:p>
        </w:tc>
      </w:tr>
    </w:tbl>
    <w:p>
      <w:pPr>
        <w:pStyle w:val="BodyText"/>
        <w:spacing w:line="43" w:lineRule="exact"/>
        <w:rPr>
          <w:sz w:val="3"/>
        </w:rPr>
      </w:pPr>
      <w:r/>
    </w:p>
    <w:p>
      <w:pPr>
        <w:spacing w:line="43" w:lineRule="exact"/>
        <w:sectPr>
          <w:footerReference w:type="default" r:id="rId11"/>
          <w:pgSz w:w="11910" w:h="16840"/>
          <w:pgMar w:top="374" w:right="1786" w:bottom="1" w:left="875" w:header="0" w:footer="0" w:gutter="0"/>
        </w:sectPr>
        <w:rPr>
          <w:sz w:val="3"/>
          <w:szCs w:val="3"/>
        </w:rPr>
      </w:pPr>
    </w:p>
    <w:tbl>
      <w:tblPr>
        <w:tblStyle w:val="TableNormal"/>
        <w:tblW w:w="805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2" w:hRule="atLeast"/>
        </w:trPr>
        <w:tc>
          <w:tcPr>
            <w:shd w:val="clear" w:fill="B8CCE4"/>
            <w:tcW w:w="1214" w:type="dxa"/>
            <w:vAlign w:val="top"/>
            <w:tcBorders>
              <w:top w:val="single" w:color="4F81BD" w:sz="2" w:space="0"/>
            </w:tcBorders>
          </w:tcPr>
          <w:p>
            <w:pPr>
              <w:spacing w:line="386" w:lineRule="auto"/>
              <w:rPr>
                <w:rFonts w:ascii="Arial"/>
                <w:sz w:val="21"/>
              </w:rPr>
            </w:pPr>
            <w:r/>
          </w:p>
          <w:p>
            <w:pPr>
              <w:pStyle w:val="TableText"/>
              <w:ind w:left="239"/>
              <w:spacing w:before="86" w:line="178" w:lineRule="auto"/>
              <w:rPr/>
            </w:pPr>
            <w:r>
              <w:rPr>
                <w:spacing w:val="3"/>
              </w:rPr>
              <w:t>600748</w:t>
            </w:r>
          </w:p>
        </w:tc>
        <w:tc>
          <w:tcPr>
            <w:shd w:val="clear" w:fill="B8CCE4"/>
            <w:tcW w:w="1343" w:type="dxa"/>
            <w:vAlign w:val="top"/>
            <w:tcBorders>
              <w:top w:val="single" w:color="4F81BD" w:sz="2" w:space="0"/>
            </w:tcBorders>
          </w:tcPr>
          <w:p>
            <w:pPr>
              <w:spacing w:line="372" w:lineRule="auto"/>
              <w:rPr>
                <w:rFonts w:ascii="Arial"/>
                <w:sz w:val="21"/>
              </w:rPr>
            </w:pPr>
            <w:r/>
          </w:p>
          <w:p>
            <w:pPr>
              <w:pStyle w:val="TableText"/>
              <w:ind w:left="245"/>
              <w:spacing w:before="86" w:line="189" w:lineRule="auto"/>
              <w:rPr/>
            </w:pPr>
            <w:r>
              <w:rPr>
                <w:spacing w:val="8"/>
              </w:rPr>
              <w:t>上实发展</w:t>
            </w:r>
          </w:p>
        </w:tc>
        <w:tc>
          <w:tcPr>
            <w:shd w:val="clear" w:fill="B8CCE4"/>
            <w:tcW w:w="5496" w:type="dxa"/>
            <w:vAlign w:val="top"/>
            <w:tcBorders>
              <w:top w:val="single" w:color="4F81BD" w:sz="2" w:space="0"/>
            </w:tcBorders>
          </w:tcPr>
          <w:p>
            <w:pPr>
              <w:pStyle w:val="TableText"/>
              <w:ind w:left="99" w:right="103"/>
              <w:spacing w:before="101" w:line="231" w:lineRule="auto"/>
              <w:jc w:val="both"/>
              <w:rPr/>
            </w:pPr>
            <w:r>
              <w:rPr>
                <w:spacing w:val="11"/>
              </w:rPr>
              <w:t>涉嫌未及时披露预计经营业绩发生亏损；涉嫌未及时披露</w:t>
            </w:r>
            <w:r>
              <w:rPr/>
              <w:t xml:space="preserve"> </w:t>
            </w:r>
            <w:r>
              <w:rPr>
                <w:spacing w:val="11"/>
              </w:rPr>
              <w:t>订立重要合同；</w:t>
            </w:r>
            <w:r>
              <w:rPr>
                <w:spacing w:val="-27"/>
              </w:rPr>
              <w:t xml:space="preserve"> </w:t>
            </w:r>
            <w:r>
              <w:rPr>
                <w:spacing w:val="11"/>
              </w:rPr>
              <w:t>2016年至2021年年度报告涉嫌存</w:t>
            </w:r>
            <w:r>
              <w:rPr>
                <w:spacing w:val="10"/>
              </w:rPr>
              <w:t>在虚假</w:t>
            </w:r>
            <w:r>
              <w:rPr/>
              <w:t xml:space="preserve"> </w:t>
            </w:r>
            <w:r>
              <w:rPr>
                <w:spacing w:val="5"/>
              </w:rPr>
              <w:t>记载。</w:t>
            </w:r>
          </w:p>
        </w:tc>
      </w:tr>
      <w:tr>
        <w:trPr>
          <w:trHeight w:val="4325" w:hRule="atLeast"/>
        </w:trPr>
        <w:tc>
          <w:tcPr>
            <w:tcW w:w="8053" w:type="dxa"/>
            <w:vAlign w:val="top"/>
            <w:gridSpan w:val="3"/>
          </w:tcPr>
          <w:p>
            <w:pPr>
              <w:pStyle w:val="TableText"/>
              <w:ind w:left="138" w:right="1471" w:hanging="16"/>
              <w:spacing w:before="41" w:line="242" w:lineRule="auto"/>
              <w:rPr/>
            </w:pPr>
            <w:r>
              <w:rPr>
                <w:b/>
                <w:bCs/>
                <w:spacing w:val="8"/>
              </w:rPr>
              <w:t>【行政处罚决定（拟）】</w:t>
            </w:r>
            <w:r>
              <w:rPr>
                <w:spacing w:val="8"/>
              </w:rPr>
              <w:t>中国证券监督管理委员会上海监</w:t>
            </w:r>
            <w:r>
              <w:rPr>
                <w:spacing w:val="7"/>
              </w:rPr>
              <w:t>管局拟决定：</w:t>
            </w:r>
            <w:r>
              <w:rPr/>
              <w:t xml:space="preserve"> </w:t>
            </w:r>
            <w:r>
              <w:rPr>
                <w:spacing w:val="6"/>
              </w:rPr>
              <w:t>（一）对上实发展给予警告</w:t>
            </w:r>
            <w:r>
              <w:rPr>
                <w:spacing w:val="-25"/>
              </w:rPr>
              <w:t xml:space="preserve"> </w:t>
            </w:r>
            <w:r>
              <w:rPr>
                <w:spacing w:val="6"/>
              </w:rPr>
              <w:t>，并处以850万元罚款；</w:t>
            </w:r>
          </w:p>
          <w:p>
            <w:pPr>
              <w:pStyle w:val="TableText"/>
              <w:ind w:left="139" w:right="370"/>
              <w:spacing w:before="33"/>
              <w:rPr/>
            </w:pPr>
            <w:r>
              <w:rPr>
                <w:spacing w:val="6"/>
              </w:rPr>
              <w:t>（二）对董事会秘书,法定代表人,时任董事长曾某给予警告</w:t>
            </w:r>
            <w:r>
              <w:rPr>
                <w:spacing w:val="-14"/>
              </w:rPr>
              <w:t xml:space="preserve"> </w:t>
            </w:r>
            <w:r>
              <w:rPr>
                <w:spacing w:val="6"/>
              </w:rPr>
              <w:t>，并处以400万元罚款；</w:t>
            </w:r>
            <w:r>
              <w:rPr/>
              <w:t xml:space="preserve"> </w:t>
            </w:r>
            <w:r>
              <w:rPr>
                <w:spacing w:val="7"/>
              </w:rPr>
              <w:t>（三）对控股子公司时任董事长曹某龙给予警告</w:t>
            </w:r>
            <w:r>
              <w:rPr>
                <w:spacing w:val="-24"/>
              </w:rPr>
              <w:t xml:space="preserve"> </w:t>
            </w:r>
            <w:r>
              <w:rPr>
                <w:spacing w:val="7"/>
              </w:rPr>
              <w:t>，并处以400万元罚款；</w:t>
            </w:r>
          </w:p>
          <w:p>
            <w:pPr>
              <w:pStyle w:val="TableText"/>
              <w:ind w:left="139" w:right="1260"/>
              <w:spacing w:before="33" w:line="244" w:lineRule="auto"/>
              <w:rPr/>
            </w:pPr>
            <w:r>
              <w:rPr>
                <w:spacing w:val="6"/>
              </w:rPr>
              <w:t>（四）对时任高管,时任财务总监袁某行给予警告</w:t>
            </w:r>
            <w:r>
              <w:rPr>
                <w:spacing w:val="-27"/>
              </w:rPr>
              <w:t xml:space="preserve"> </w:t>
            </w:r>
            <w:r>
              <w:rPr>
                <w:spacing w:val="6"/>
              </w:rPr>
              <w:t>，并处以300万元罚款；</w:t>
            </w:r>
            <w:r>
              <w:rPr/>
              <w:t xml:space="preserve"> </w:t>
            </w:r>
            <w:r>
              <w:rPr>
                <w:spacing w:val="7"/>
              </w:rPr>
              <w:t>（五）对时任董事,时任总经理徐某冰给予警告</w:t>
            </w:r>
            <w:r>
              <w:rPr>
                <w:spacing w:val="-25"/>
              </w:rPr>
              <w:t xml:space="preserve"> </w:t>
            </w:r>
            <w:r>
              <w:rPr>
                <w:spacing w:val="7"/>
              </w:rPr>
              <w:t>，并处以210</w:t>
            </w:r>
            <w:r>
              <w:rPr>
                <w:spacing w:val="6"/>
              </w:rPr>
              <w:t>万元罚款；</w:t>
            </w:r>
            <w:r>
              <w:rPr/>
              <w:t xml:space="preserve">    </w:t>
            </w:r>
            <w:r>
              <w:rPr>
                <w:spacing w:val="7"/>
              </w:rPr>
              <w:t>（六）对时任董事,时任总经理唐某给予警告</w:t>
            </w:r>
            <w:r>
              <w:rPr>
                <w:spacing w:val="-27"/>
              </w:rPr>
              <w:t xml:space="preserve"> </w:t>
            </w:r>
            <w:r>
              <w:rPr>
                <w:spacing w:val="7"/>
              </w:rPr>
              <w:t>，并处以2</w:t>
            </w:r>
            <w:r>
              <w:rPr>
                <w:spacing w:val="6"/>
              </w:rPr>
              <w:t>10万元罚款；</w:t>
            </w:r>
          </w:p>
          <w:p>
            <w:pPr>
              <w:pStyle w:val="TableText"/>
              <w:ind w:left="139"/>
              <w:spacing w:before="32" w:line="360" w:lineRule="exact"/>
              <w:rPr/>
            </w:pPr>
            <w:r>
              <w:rPr>
                <w:spacing w:val="7"/>
                <w:position w:val="9"/>
              </w:rPr>
              <w:t>（七）对时任高管,时任董事汪某俊给予警告</w:t>
            </w:r>
            <w:r>
              <w:rPr>
                <w:spacing w:val="-27"/>
                <w:position w:val="9"/>
              </w:rPr>
              <w:t xml:space="preserve"> </w:t>
            </w:r>
            <w:r>
              <w:rPr>
                <w:spacing w:val="7"/>
                <w:position w:val="9"/>
              </w:rPr>
              <w:t>，并处以1</w:t>
            </w:r>
            <w:r>
              <w:rPr>
                <w:spacing w:val="6"/>
                <w:position w:val="9"/>
              </w:rPr>
              <w:t>00万元罚款；</w:t>
            </w:r>
          </w:p>
          <w:p>
            <w:pPr>
              <w:pStyle w:val="TableText"/>
              <w:ind w:left="139"/>
              <w:spacing w:before="1" w:line="228" w:lineRule="auto"/>
              <w:rPr/>
            </w:pPr>
            <w:r>
              <w:rPr>
                <w:spacing w:val="6"/>
              </w:rPr>
              <w:t>（八）对时任高管郭某民给予警告</w:t>
            </w:r>
            <w:r>
              <w:rPr>
                <w:spacing w:val="-14"/>
              </w:rPr>
              <w:t xml:space="preserve"> </w:t>
            </w:r>
            <w:r>
              <w:rPr>
                <w:spacing w:val="6"/>
              </w:rPr>
              <w:t>，并处以75万元罚款。</w:t>
            </w:r>
          </w:p>
          <w:p>
            <w:pPr>
              <w:pStyle w:val="TableText"/>
              <w:ind w:left="105" w:right="103" w:firstLine="3"/>
              <w:spacing w:before="32"/>
              <w:jc w:val="both"/>
              <w:rPr/>
            </w:pPr>
            <w:r>
              <w:rPr>
                <w:spacing w:val="14"/>
              </w:rPr>
              <w:t>曹某龙的违法情节较为严重</w:t>
            </w:r>
            <w:r>
              <w:rPr>
                <w:spacing w:val="-21"/>
              </w:rPr>
              <w:t xml:space="preserve"> </w:t>
            </w:r>
            <w:r>
              <w:rPr>
                <w:spacing w:val="14"/>
              </w:rPr>
              <w:t>，依据《证券法》第二</w:t>
            </w:r>
            <w:r>
              <w:rPr>
                <w:spacing w:val="13"/>
              </w:rPr>
              <w:t>百二十一条和2015年修订的《证</w:t>
            </w:r>
            <w:r>
              <w:rPr/>
              <w:t xml:space="preserve"> </w:t>
            </w:r>
            <w:r>
              <w:rPr>
                <w:spacing w:val="10"/>
              </w:rPr>
              <w:t>券市场禁入规定》</w:t>
            </w:r>
            <w:r>
              <w:rPr>
                <w:spacing w:val="-28"/>
              </w:rPr>
              <w:t xml:space="preserve"> </w:t>
            </w:r>
            <w:r>
              <w:rPr>
                <w:spacing w:val="10"/>
              </w:rPr>
              <w:t>（证监会令第115号）第三条第七项、第四条、第五条的规定</w:t>
            </w:r>
            <w:r>
              <w:rPr>
                <w:spacing w:val="-23"/>
              </w:rPr>
              <w:t xml:space="preserve"> </w:t>
            </w:r>
            <w:r>
              <w:rPr>
                <w:spacing w:val="10"/>
              </w:rPr>
              <w:t>，</w:t>
            </w:r>
            <w:r>
              <w:rPr>
                <w:spacing w:val="-32"/>
              </w:rPr>
              <w:t xml:space="preserve"> </w:t>
            </w:r>
            <w:r>
              <w:rPr>
                <w:spacing w:val="10"/>
              </w:rPr>
              <w:t>中</w:t>
            </w:r>
            <w:r>
              <w:rPr/>
              <w:t xml:space="preserve"> </w:t>
            </w:r>
            <w:r>
              <w:rPr>
                <w:spacing w:val="8"/>
              </w:rPr>
              <w:t>国证券监督管理委员会上海监管局拟决定</w:t>
            </w:r>
            <w:r>
              <w:rPr>
                <w:spacing w:val="-9"/>
              </w:rPr>
              <w:t xml:space="preserve"> </w:t>
            </w:r>
            <w:r>
              <w:rPr>
                <w:spacing w:val="8"/>
              </w:rPr>
              <w:t>：对曹某龙采取10年证券市场禁入措施。</w:t>
            </w:r>
          </w:p>
        </w:tc>
      </w:tr>
    </w:tbl>
    <w:p>
      <w:pPr>
        <w:pStyle w:val="BodyText"/>
        <w:rPr/>
      </w:pPr>
      <w:r/>
    </w:p>
    <w:p>
      <w:pPr>
        <w:sectPr>
          <w:pgSz w:w="11910" w:h="16840"/>
          <w:pgMar w:top="400" w:right="1786" w:bottom="400" w:left="1456"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3</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5"/>
        </w:rPr>
        <w:t>）行政监管措施</w:t>
      </w:r>
    </w:p>
    <w:p>
      <w:pPr>
        <w:spacing w:line="192" w:lineRule="exact"/>
        <w:rPr/>
      </w:pPr>
      <w:r/>
    </w:p>
    <w:tbl>
      <w:tblPr>
        <w:tblStyle w:val="TableNormal"/>
        <w:tblW w:w="8053" w:type="dxa"/>
        <w:tblInd w:w="56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pStyle w:val="TableText"/>
              <w:ind w:left="181"/>
              <w:spacing w:before="108"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08" w:line="188"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08" w:line="188" w:lineRule="auto"/>
              <w:rPr/>
            </w:pPr>
            <w:r>
              <w:rPr>
                <w:b/>
                <w:bCs/>
                <w:color w:val="FFFFFF"/>
                <w:spacing w:val="8"/>
              </w:rPr>
              <w:t>违规行为</w:t>
            </w:r>
          </w:p>
        </w:tc>
      </w:tr>
      <w:tr>
        <w:trPr>
          <w:trHeight w:val="1089" w:hRule="atLeast"/>
        </w:trPr>
        <w:tc>
          <w:tcPr>
            <w:shd w:val="clear" w:fill="B8CCE4"/>
            <w:tcW w:w="1214" w:type="dxa"/>
            <w:vAlign w:val="top"/>
            <w:tcBorders>
              <w:top w:val="single" w:color="4F81BD" w:sz="2" w:space="0"/>
            </w:tcBorders>
          </w:tcPr>
          <w:p>
            <w:pPr>
              <w:spacing w:line="371" w:lineRule="auto"/>
              <w:rPr>
                <w:rFonts w:ascii="Arial"/>
                <w:sz w:val="21"/>
              </w:rPr>
            </w:pPr>
            <w:r/>
          </w:p>
          <w:p>
            <w:pPr>
              <w:pStyle w:val="TableText"/>
              <w:ind w:left="239"/>
              <w:spacing w:before="86" w:line="178" w:lineRule="auto"/>
              <w:rPr/>
            </w:pPr>
            <w:r>
              <w:rPr>
                <w:spacing w:val="3"/>
              </w:rPr>
              <w:t>600375</w:t>
            </w:r>
          </w:p>
        </w:tc>
        <w:tc>
          <w:tcPr>
            <w:shd w:val="clear" w:fill="B8CCE4"/>
            <w:tcW w:w="1343" w:type="dxa"/>
            <w:vAlign w:val="top"/>
            <w:tcBorders>
              <w:top w:val="single" w:color="4F81BD" w:sz="2" w:space="0"/>
            </w:tcBorders>
          </w:tcPr>
          <w:p>
            <w:pPr>
              <w:spacing w:line="358" w:lineRule="auto"/>
              <w:rPr>
                <w:rFonts w:ascii="Arial"/>
                <w:sz w:val="21"/>
              </w:rPr>
            </w:pPr>
            <w:r/>
          </w:p>
          <w:p>
            <w:pPr>
              <w:pStyle w:val="TableText"/>
              <w:ind w:left="243"/>
              <w:spacing w:before="86" w:line="188" w:lineRule="auto"/>
              <w:rPr/>
            </w:pPr>
            <w:r>
              <w:rPr>
                <w:spacing w:val="8"/>
              </w:rPr>
              <w:t>汉马科技</w:t>
            </w:r>
          </w:p>
        </w:tc>
        <w:tc>
          <w:tcPr>
            <w:shd w:val="clear" w:fill="B8CCE4"/>
            <w:tcW w:w="5496" w:type="dxa"/>
            <w:vAlign w:val="top"/>
            <w:tcBorders>
              <w:top w:val="single" w:color="4F81BD" w:sz="2" w:space="0"/>
            </w:tcBorders>
          </w:tcPr>
          <w:p>
            <w:pPr>
              <w:pStyle w:val="TableText"/>
              <w:ind w:left="99" w:right="103"/>
              <w:spacing w:before="86" w:line="231" w:lineRule="auto"/>
              <w:rPr/>
            </w:pPr>
            <w:r>
              <w:rPr>
                <w:spacing w:val="8"/>
              </w:rPr>
              <w:t>公司自发布停牌公告</w:t>
            </w:r>
            <w:r>
              <w:rPr>
                <w:spacing w:val="-17"/>
              </w:rPr>
              <w:t xml:space="preserve"> </w:t>
            </w:r>
            <w:r>
              <w:rPr>
                <w:spacing w:val="8"/>
              </w:rPr>
              <w:t>，披露交易预案直至终止交易期间</w:t>
            </w:r>
            <w:r>
              <w:rPr>
                <w:spacing w:val="-25"/>
              </w:rPr>
              <w:t xml:space="preserve"> </w:t>
            </w:r>
            <w:r>
              <w:rPr>
                <w:spacing w:val="8"/>
              </w:rPr>
              <w:t>，</w:t>
            </w:r>
            <w:r>
              <w:rPr/>
              <w:t xml:space="preserve"> </w:t>
            </w:r>
            <w:r>
              <w:rPr>
                <w:spacing w:val="9"/>
              </w:rPr>
              <w:t>未提及标的公司</w:t>
            </w:r>
            <w:r>
              <w:rPr>
                <w:b/>
                <w:bCs/>
                <w:spacing w:val="9"/>
              </w:rPr>
              <w:t>尚未取得</w:t>
            </w:r>
            <w:r>
              <w:rPr>
                <w:spacing w:val="9"/>
              </w:rPr>
              <w:t>新能源整车制造生产</w:t>
            </w:r>
            <w:r>
              <w:rPr>
                <w:b/>
                <w:bCs/>
                <w:spacing w:val="9"/>
              </w:rPr>
              <w:t>资质</w:t>
            </w:r>
            <w:r>
              <w:rPr>
                <w:b/>
                <w:bCs/>
                <w:spacing w:val="-9"/>
              </w:rPr>
              <w:t xml:space="preserve"> </w:t>
            </w:r>
            <w:r>
              <w:rPr>
                <w:spacing w:val="9"/>
              </w:rPr>
              <w:t>，也未</w:t>
            </w:r>
            <w:r>
              <w:rPr/>
              <w:t xml:space="preserve"> </w:t>
            </w:r>
            <w:r>
              <w:rPr>
                <w:spacing w:val="8"/>
              </w:rPr>
              <w:t>对市场做好相关</w:t>
            </w:r>
            <w:r>
              <w:rPr>
                <w:b/>
                <w:bCs/>
                <w:spacing w:val="8"/>
              </w:rPr>
              <w:t>风险揭示。</w:t>
            </w:r>
          </w:p>
        </w:tc>
      </w:tr>
      <w:tr>
        <w:trPr>
          <w:trHeight w:val="724" w:hRule="atLeast"/>
        </w:trPr>
        <w:tc>
          <w:tcPr>
            <w:tcW w:w="8053" w:type="dxa"/>
            <w:vAlign w:val="top"/>
            <w:gridSpan w:val="3"/>
          </w:tcPr>
          <w:p>
            <w:pPr>
              <w:pStyle w:val="TableText"/>
              <w:ind w:left="107" w:right="106" w:firstLine="15"/>
              <w:spacing w:before="38" w:line="236" w:lineRule="auto"/>
              <w:rPr/>
            </w:pPr>
            <w:r>
              <w:rPr>
                <w:b/>
                <w:bCs/>
                <w:spacing w:val="11"/>
              </w:rPr>
              <w:t>【行政监管措施】</w:t>
            </w:r>
            <w:r>
              <w:rPr>
                <w:spacing w:val="11"/>
              </w:rPr>
              <w:t>中国证券监督管理委员会安徽监管局决定对董事会秘书周某祥采取</w:t>
            </w:r>
            <w:r>
              <w:rPr>
                <w:spacing w:val="1"/>
              </w:rPr>
              <w:t xml:space="preserve"> </w:t>
            </w:r>
            <w:r>
              <w:rPr>
                <w:spacing w:val="9"/>
              </w:rPr>
              <w:t>监管谈话的行政监管措施并记入证券期货市场诚信档案。</w:t>
            </w:r>
          </w:p>
        </w:tc>
      </w:tr>
      <w:tr>
        <w:trPr>
          <w:trHeight w:val="2162" w:hRule="atLeast"/>
        </w:trPr>
        <w:tc>
          <w:tcPr>
            <w:shd w:val="clear" w:fill="B8CCE4"/>
            <w:tcW w:w="1214" w:type="dxa"/>
            <w:vAlign w:val="top"/>
          </w:tcPr>
          <w:p>
            <w:pPr>
              <w:spacing w:line="302" w:lineRule="auto"/>
              <w:rPr>
                <w:rFonts w:ascii="Arial"/>
                <w:sz w:val="21"/>
              </w:rPr>
            </w:pPr>
            <w:r/>
          </w:p>
          <w:p>
            <w:pPr>
              <w:spacing w:line="302" w:lineRule="auto"/>
              <w:rPr>
                <w:rFonts w:ascii="Arial"/>
                <w:sz w:val="21"/>
              </w:rPr>
            </w:pPr>
            <w:r/>
          </w:p>
          <w:p>
            <w:pPr>
              <w:spacing w:line="303" w:lineRule="auto"/>
              <w:rPr>
                <w:rFonts w:ascii="Arial"/>
                <w:sz w:val="21"/>
              </w:rPr>
            </w:pPr>
            <w:r/>
          </w:p>
          <w:p>
            <w:pPr>
              <w:pStyle w:val="TableText"/>
              <w:ind w:left="239"/>
              <w:spacing w:before="85" w:line="179" w:lineRule="auto"/>
              <w:rPr/>
            </w:pPr>
            <w:r>
              <w:rPr>
                <w:spacing w:val="3"/>
              </w:rPr>
              <w:t>688661</w:t>
            </w:r>
          </w:p>
        </w:tc>
        <w:tc>
          <w:tcPr>
            <w:shd w:val="clear" w:fill="B8CCE4"/>
            <w:tcW w:w="1343" w:type="dxa"/>
            <w:vAlign w:val="top"/>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242"/>
              <w:spacing w:before="86" w:line="189" w:lineRule="auto"/>
              <w:rPr/>
            </w:pPr>
            <w:r>
              <w:rPr>
                <w:spacing w:val="8"/>
              </w:rPr>
              <w:t>和林微纳</w:t>
            </w:r>
          </w:p>
        </w:tc>
        <w:tc>
          <w:tcPr>
            <w:shd w:val="clear" w:fill="B8CCE4"/>
            <w:tcW w:w="5496" w:type="dxa"/>
            <w:vAlign w:val="top"/>
          </w:tcPr>
          <w:p>
            <w:pPr>
              <w:pStyle w:val="TableText"/>
              <w:ind w:left="98" w:right="103"/>
              <w:spacing w:before="84" w:line="241" w:lineRule="auto"/>
              <w:jc w:val="both"/>
              <w:rPr/>
            </w:pPr>
            <w:r>
              <w:rPr>
                <w:spacing w:val="5"/>
              </w:rPr>
              <w:t>苏州和林微纳科技股份有限公司于 2022 年 10 月 1</w:t>
            </w:r>
            <w:r>
              <w:rPr>
                <w:spacing w:val="4"/>
              </w:rPr>
              <w:t>8</w:t>
            </w:r>
            <w:r>
              <w:rPr>
                <w:spacing w:val="26"/>
              </w:rPr>
              <w:t xml:space="preserve"> </w:t>
            </w:r>
            <w:r>
              <w:rPr>
                <w:spacing w:val="4"/>
              </w:rPr>
              <w:t>日使</w:t>
            </w:r>
            <w:r>
              <w:rPr/>
              <w:t xml:space="preserve"> </w:t>
            </w:r>
            <w:r>
              <w:rPr>
                <w:b/>
                <w:bCs/>
                <w:spacing w:val="16"/>
              </w:rPr>
              <w:t>用募集资金专户支付非募投项目相关费用</w:t>
            </w:r>
            <w:r>
              <w:rPr>
                <w:spacing w:val="16"/>
              </w:rPr>
              <w:t>,直至</w:t>
            </w:r>
            <w:r>
              <w:rPr>
                <w:spacing w:val="15"/>
              </w:rPr>
              <w:t xml:space="preserve"> 2023 年</w:t>
            </w:r>
            <w:r>
              <w:rPr/>
              <w:t xml:space="preserve"> </w:t>
            </w:r>
            <w:r>
              <w:rPr>
                <w:spacing w:val="9"/>
              </w:rPr>
              <w:t>10 月 9</w:t>
            </w:r>
            <w:r>
              <w:rPr>
                <w:spacing w:val="44"/>
              </w:rPr>
              <w:t xml:space="preserve"> </w:t>
            </w:r>
            <w:r>
              <w:rPr>
                <w:spacing w:val="9"/>
              </w:rPr>
              <w:t>日,才纠正该行为,导致公司《2022 年度募集资金</w:t>
            </w:r>
            <w:r>
              <w:rPr/>
              <w:t xml:space="preserve"> </w:t>
            </w:r>
            <w:r>
              <w:rPr>
                <w:spacing w:val="11"/>
              </w:rPr>
              <w:t>存放与实际使用情况的专项报告》</w:t>
            </w:r>
            <w:r>
              <w:rPr>
                <w:spacing w:val="-34"/>
              </w:rPr>
              <w:t xml:space="preserve"> </w:t>
            </w:r>
            <w:r>
              <w:rPr>
                <w:spacing w:val="11"/>
              </w:rPr>
              <w:t>《</w:t>
            </w:r>
            <w:r>
              <w:rPr>
                <w:spacing w:val="-25"/>
              </w:rPr>
              <w:t xml:space="preserve"> </w:t>
            </w:r>
            <w:r>
              <w:rPr>
                <w:spacing w:val="11"/>
              </w:rPr>
              <w:t>202</w:t>
            </w:r>
            <w:r>
              <w:rPr>
                <w:spacing w:val="10"/>
              </w:rPr>
              <w:t>3 年半年度募集</w:t>
            </w:r>
            <w:r>
              <w:rPr/>
              <w:t xml:space="preserve"> </w:t>
            </w:r>
            <w:r>
              <w:rPr>
                <w:spacing w:val="11"/>
              </w:rPr>
              <w:t>资金存放与实际使用情况的专项报告》中对募集项目投入</w:t>
            </w:r>
            <w:r>
              <w:rPr>
                <w:spacing w:val="2"/>
              </w:rPr>
              <w:t xml:space="preserve"> </w:t>
            </w:r>
            <w:r>
              <w:rPr>
                <w:spacing w:val="8"/>
              </w:rPr>
              <w:t>金额披露不准确。</w:t>
            </w:r>
          </w:p>
        </w:tc>
      </w:tr>
      <w:tr>
        <w:trPr>
          <w:trHeight w:val="1084" w:hRule="atLeast"/>
        </w:trPr>
        <w:tc>
          <w:tcPr>
            <w:tcW w:w="8053" w:type="dxa"/>
            <w:vAlign w:val="top"/>
            <w:gridSpan w:val="3"/>
          </w:tcPr>
          <w:p>
            <w:pPr>
              <w:pStyle w:val="TableText"/>
              <w:ind w:left="105" w:right="115" w:firstLine="17"/>
              <w:spacing w:before="45" w:line="236" w:lineRule="auto"/>
              <w:rPr/>
            </w:pPr>
            <w:r>
              <w:rPr>
                <w:b/>
                <w:bCs/>
                <w:spacing w:val="9"/>
              </w:rPr>
              <w:t>【行政监管措施】</w:t>
            </w:r>
            <w:r>
              <w:rPr>
                <w:spacing w:val="9"/>
              </w:rPr>
              <w:t>中国证券监督管理委员会江苏监管局决定对苏州和林微纳科技股份</w:t>
            </w:r>
            <w:r>
              <w:rPr>
                <w:spacing w:val="7"/>
              </w:rPr>
              <w:t xml:space="preserve">  </w:t>
            </w:r>
            <w:r>
              <w:rPr>
                <w:spacing w:val="10"/>
              </w:rPr>
              <w:t>有限公司及相关责任人采取出具警示函的行政监管措施,并</w:t>
            </w:r>
            <w:r>
              <w:rPr>
                <w:spacing w:val="9"/>
              </w:rPr>
              <w:t>记入证券期货市场诚信档案</w:t>
            </w:r>
          </w:p>
          <w:p>
            <w:pPr>
              <w:pStyle w:val="TableText"/>
              <w:ind w:left="116"/>
              <w:spacing w:before="238" w:line="115" w:lineRule="exact"/>
              <w:rPr/>
            </w:pPr>
            <w:r>
              <w:rPr>
                <w:position w:val="3"/>
              </w:rPr>
              <w:t>。</w:t>
            </w:r>
          </w:p>
        </w:tc>
      </w:tr>
      <w:tr>
        <w:trPr>
          <w:trHeight w:val="1443" w:hRule="atLeast"/>
        </w:trPr>
        <w:tc>
          <w:tcPr>
            <w:shd w:val="clear" w:fill="B8CCE4"/>
            <w:tcW w:w="1214" w:type="dxa"/>
            <w:vAlign w:val="top"/>
          </w:tcPr>
          <w:p>
            <w:pPr>
              <w:spacing w:line="277" w:lineRule="auto"/>
              <w:rPr>
                <w:rFonts w:ascii="Arial"/>
                <w:sz w:val="21"/>
              </w:rPr>
            </w:pPr>
            <w:r/>
          </w:p>
          <w:p>
            <w:pPr>
              <w:spacing w:line="278" w:lineRule="auto"/>
              <w:rPr>
                <w:rFonts w:ascii="Arial"/>
                <w:sz w:val="21"/>
              </w:rPr>
            </w:pPr>
            <w:r/>
          </w:p>
          <w:p>
            <w:pPr>
              <w:pStyle w:val="TableText"/>
              <w:ind w:left="239"/>
              <w:spacing w:before="86" w:line="178" w:lineRule="auto"/>
              <w:rPr/>
            </w:pPr>
            <w:r>
              <w:rPr>
                <w:spacing w:val="3"/>
              </w:rPr>
              <w:t>600996</w:t>
            </w:r>
          </w:p>
        </w:tc>
        <w:tc>
          <w:tcPr>
            <w:shd w:val="clear" w:fill="B8CCE4"/>
            <w:tcW w:w="1343" w:type="dxa"/>
            <w:vAlign w:val="top"/>
          </w:tcPr>
          <w:p>
            <w:pPr>
              <w:spacing w:line="270" w:lineRule="auto"/>
              <w:rPr>
                <w:rFonts w:ascii="Arial"/>
                <w:sz w:val="21"/>
              </w:rPr>
            </w:pPr>
            <w:r/>
          </w:p>
          <w:p>
            <w:pPr>
              <w:spacing w:line="270" w:lineRule="auto"/>
              <w:rPr>
                <w:rFonts w:ascii="Arial"/>
                <w:sz w:val="21"/>
              </w:rPr>
            </w:pPr>
            <w:r/>
          </w:p>
          <w:p>
            <w:pPr>
              <w:pStyle w:val="TableText"/>
              <w:ind w:left="243"/>
              <w:spacing w:before="86" w:line="189" w:lineRule="auto"/>
              <w:rPr/>
            </w:pPr>
            <w:r>
              <w:rPr>
                <w:spacing w:val="8"/>
              </w:rPr>
              <w:t>贵广网络</w:t>
            </w:r>
          </w:p>
        </w:tc>
        <w:tc>
          <w:tcPr>
            <w:shd w:val="clear" w:fill="B8CCE4"/>
            <w:tcW w:w="5496" w:type="dxa"/>
            <w:vAlign w:val="top"/>
          </w:tcPr>
          <w:p>
            <w:pPr>
              <w:pStyle w:val="TableText"/>
              <w:ind w:left="99" w:right="103" w:firstLine="1"/>
              <w:spacing w:before="88" w:line="235" w:lineRule="auto"/>
              <w:jc w:val="both"/>
              <w:rPr/>
            </w:pPr>
            <w:r>
              <w:rPr>
                <w:spacing w:val="11"/>
              </w:rPr>
              <w:t>贵州省广播电视信息网络股份有限公司存在部分抵债资产</w:t>
            </w:r>
            <w:r>
              <w:rPr/>
              <w:t xml:space="preserve"> </w:t>
            </w:r>
            <w:r>
              <w:rPr>
                <w:spacing w:val="16"/>
              </w:rPr>
              <w:t>作价依据不充分</w:t>
            </w:r>
            <w:r>
              <w:rPr>
                <w:spacing w:val="-17"/>
              </w:rPr>
              <w:t xml:space="preserve"> </w:t>
            </w:r>
            <w:r>
              <w:rPr>
                <w:spacing w:val="16"/>
              </w:rPr>
              <w:t>、跨期确认投资收益等问题,导致 </w:t>
            </w:r>
            <w:r>
              <w:rPr>
                <w:b/>
                <w:bCs/>
                <w:spacing w:val="16"/>
              </w:rPr>
              <w:t>2022</w:t>
            </w:r>
            <w:r>
              <w:rPr>
                <w:b/>
                <w:bCs/>
              </w:rPr>
              <w:t xml:space="preserve"> </w:t>
            </w:r>
            <w:r>
              <w:rPr>
                <w:b/>
                <w:bCs/>
                <w:spacing w:val="17"/>
              </w:rPr>
              <w:t>年年度报告</w:t>
            </w:r>
            <w:r>
              <w:rPr>
                <w:spacing w:val="17"/>
              </w:rPr>
              <w:t>披露不准确。此外,贵州省广播电视信息网络</w:t>
            </w:r>
            <w:r>
              <w:rPr>
                <w:spacing w:val="3"/>
              </w:rPr>
              <w:t xml:space="preserve"> </w:t>
            </w:r>
            <w:r>
              <w:rPr>
                <w:spacing w:val="9"/>
              </w:rPr>
              <w:t>股份有限公司未及时披露</w:t>
            </w:r>
            <w:r>
              <w:rPr>
                <w:b/>
                <w:bCs/>
                <w:spacing w:val="9"/>
              </w:rPr>
              <w:t>会计估计变更</w:t>
            </w:r>
            <w:r>
              <w:rPr>
                <w:spacing w:val="9"/>
              </w:rPr>
              <w:t>事项。</w:t>
            </w:r>
          </w:p>
        </w:tc>
      </w:tr>
      <w:tr>
        <w:trPr>
          <w:trHeight w:val="1084" w:hRule="atLeast"/>
        </w:trPr>
        <w:tc>
          <w:tcPr>
            <w:tcW w:w="8053" w:type="dxa"/>
            <w:vAlign w:val="top"/>
            <w:gridSpan w:val="3"/>
          </w:tcPr>
          <w:p>
            <w:pPr>
              <w:pStyle w:val="TableText"/>
              <w:ind w:left="105" w:right="165" w:firstLine="17"/>
              <w:spacing w:before="48" w:line="239" w:lineRule="auto"/>
              <w:jc w:val="both"/>
              <w:rPr/>
            </w:pPr>
            <w:r>
              <w:rPr>
                <w:b/>
                <w:bCs/>
                <w:spacing w:val="9"/>
              </w:rPr>
              <w:t>【行政监管措施】</w:t>
            </w:r>
            <w:r>
              <w:rPr>
                <w:spacing w:val="9"/>
              </w:rPr>
              <w:t>中国证券监督管理委员会贵州监管局决定对贵州省广播电视信息网</w:t>
            </w:r>
            <w:r>
              <w:rPr>
                <w:spacing w:val="14"/>
                <w:w w:val="101"/>
              </w:rPr>
              <w:t xml:space="preserve"> </w:t>
            </w:r>
            <w:r>
              <w:rPr>
                <w:spacing w:val="9"/>
              </w:rPr>
              <w:t>络股份有限公司、</w:t>
            </w:r>
            <w:r>
              <w:rPr>
                <w:spacing w:val="-27"/>
              </w:rPr>
              <w:t xml:space="preserve"> </w:t>
            </w:r>
            <w:r>
              <w:rPr>
                <w:spacing w:val="9"/>
              </w:rPr>
              <w:t>时任董事长兼代总经理李某、财务总监翟某虹、董事会秘书黄某文</w:t>
            </w:r>
            <w:r>
              <w:rPr/>
              <w:t xml:space="preserve"> </w:t>
            </w:r>
            <w:r>
              <w:rPr>
                <w:spacing w:val="9"/>
              </w:rPr>
              <w:t>采取出具警示函的监管措施,并记入证券期货市场诚信档案。</w:t>
            </w:r>
          </w:p>
        </w:tc>
      </w:tr>
      <w:tr>
        <w:trPr>
          <w:trHeight w:val="724" w:hRule="atLeast"/>
        </w:trPr>
        <w:tc>
          <w:tcPr>
            <w:shd w:val="clear" w:fill="B8CCE4"/>
            <w:tcW w:w="1214" w:type="dxa"/>
            <w:vAlign w:val="top"/>
          </w:tcPr>
          <w:p>
            <w:pPr>
              <w:pStyle w:val="TableText"/>
              <w:ind w:left="242"/>
              <w:spacing w:before="288" w:line="178" w:lineRule="auto"/>
              <w:rPr/>
            </w:pPr>
            <w:r>
              <w:rPr>
                <w:spacing w:val="3"/>
              </w:rPr>
              <w:t>300344</w:t>
            </w:r>
          </w:p>
        </w:tc>
        <w:tc>
          <w:tcPr>
            <w:shd w:val="clear" w:fill="B8CCE4"/>
            <w:tcW w:w="1343" w:type="dxa"/>
            <w:vAlign w:val="top"/>
          </w:tcPr>
          <w:p>
            <w:pPr>
              <w:pStyle w:val="TableText"/>
              <w:ind w:left="246"/>
              <w:spacing w:before="272" w:line="190" w:lineRule="auto"/>
              <w:rPr/>
            </w:pPr>
            <w:r>
              <w:rPr>
                <w:spacing w:val="7"/>
              </w:rPr>
              <w:t>立方数科</w:t>
            </w:r>
          </w:p>
        </w:tc>
        <w:tc>
          <w:tcPr>
            <w:shd w:val="clear" w:fill="B8CCE4"/>
            <w:tcW w:w="5496" w:type="dxa"/>
            <w:vAlign w:val="top"/>
          </w:tcPr>
          <w:p>
            <w:pPr>
              <w:pStyle w:val="TableText"/>
              <w:ind w:left="100" w:right="103" w:hanging="1"/>
              <w:spacing w:before="93" w:line="217" w:lineRule="auto"/>
              <w:rPr/>
            </w:pPr>
            <w:r>
              <w:rPr>
                <w:spacing w:val="11"/>
              </w:rPr>
              <w:t>未履行</w:t>
            </w:r>
            <w:r>
              <w:rPr>
                <w:b/>
                <w:bCs/>
                <w:spacing w:val="11"/>
              </w:rPr>
              <w:t>关联交易</w:t>
            </w:r>
            <w:r>
              <w:rPr>
                <w:spacing w:val="11"/>
              </w:rPr>
              <w:t>审议流程和披露义务；</w:t>
            </w:r>
            <w:r>
              <w:rPr>
                <w:b/>
                <w:bCs/>
                <w:spacing w:val="11"/>
              </w:rPr>
              <w:t>财务会计核算</w:t>
            </w:r>
            <w:r>
              <w:rPr>
                <w:spacing w:val="11"/>
              </w:rPr>
              <w:t>不规</w:t>
            </w:r>
            <w:r>
              <w:rPr>
                <w:spacing w:val="1"/>
              </w:rPr>
              <w:t xml:space="preserve"> </w:t>
            </w:r>
            <w:r>
              <w:rPr>
                <w:spacing w:val="7"/>
              </w:rPr>
              <w:t>范；</w:t>
            </w:r>
            <w:r>
              <w:rPr>
                <w:spacing w:val="-24"/>
              </w:rPr>
              <w:t xml:space="preserve"> </w:t>
            </w:r>
            <w:r>
              <w:rPr>
                <w:b/>
                <w:bCs/>
                <w:spacing w:val="7"/>
              </w:rPr>
              <w:t>内幕信息知情人</w:t>
            </w:r>
            <w:r>
              <w:rPr>
                <w:spacing w:val="7"/>
              </w:rPr>
              <w:t>登记管理不规范。</w:t>
            </w:r>
          </w:p>
        </w:tc>
      </w:tr>
      <w:tr>
        <w:trPr>
          <w:trHeight w:val="724" w:hRule="atLeast"/>
        </w:trPr>
        <w:tc>
          <w:tcPr>
            <w:tcW w:w="8053" w:type="dxa"/>
            <w:vAlign w:val="top"/>
            <w:gridSpan w:val="3"/>
          </w:tcPr>
          <w:p>
            <w:pPr>
              <w:pStyle w:val="TableText"/>
              <w:ind w:left="104" w:right="166" w:firstLine="18"/>
              <w:spacing w:before="53" w:line="231" w:lineRule="auto"/>
              <w:rPr/>
            </w:pPr>
            <w:r>
              <w:rPr>
                <w:b/>
                <w:bCs/>
                <w:spacing w:val="9"/>
              </w:rPr>
              <w:t>【行政监管措施】</w:t>
            </w:r>
            <w:r>
              <w:rPr>
                <w:spacing w:val="9"/>
              </w:rPr>
              <w:t>中国证券监督管理委员会安徽监管局决定对董事会秘书、财务总监</w:t>
            </w:r>
            <w:r>
              <w:rPr>
                <w:spacing w:val="14"/>
                <w:w w:val="101"/>
              </w:rPr>
              <w:t xml:space="preserve"> </w:t>
            </w:r>
            <w:r>
              <w:rPr>
                <w:spacing w:val="9"/>
              </w:rPr>
              <w:t>项某宝采取出具警示函的行政监管措施并记入证券期货市场诚信档案。</w:t>
            </w:r>
          </w:p>
        </w:tc>
      </w:tr>
      <w:tr>
        <w:trPr>
          <w:trHeight w:val="724" w:hRule="atLeast"/>
        </w:trPr>
        <w:tc>
          <w:tcPr>
            <w:shd w:val="clear" w:fill="B8CCE4"/>
            <w:tcW w:w="1214" w:type="dxa"/>
            <w:vAlign w:val="top"/>
          </w:tcPr>
          <w:p>
            <w:pPr>
              <w:pStyle w:val="TableText"/>
              <w:ind w:left="242"/>
              <w:spacing w:before="291" w:line="178" w:lineRule="auto"/>
              <w:rPr/>
            </w:pPr>
            <w:r>
              <w:rPr>
                <w:spacing w:val="3"/>
              </w:rPr>
              <w:t>300344</w:t>
            </w:r>
          </w:p>
        </w:tc>
        <w:tc>
          <w:tcPr>
            <w:shd w:val="clear" w:fill="B8CCE4"/>
            <w:tcW w:w="1343" w:type="dxa"/>
            <w:vAlign w:val="top"/>
          </w:tcPr>
          <w:p>
            <w:pPr>
              <w:pStyle w:val="TableText"/>
              <w:ind w:left="246"/>
              <w:spacing w:before="275" w:line="190" w:lineRule="auto"/>
              <w:rPr/>
            </w:pPr>
            <w:r>
              <w:rPr>
                <w:spacing w:val="7"/>
              </w:rPr>
              <w:t>立方数科</w:t>
            </w:r>
          </w:p>
        </w:tc>
        <w:tc>
          <w:tcPr>
            <w:shd w:val="clear" w:fill="B8CCE4"/>
            <w:tcW w:w="5496" w:type="dxa"/>
            <w:vAlign w:val="top"/>
          </w:tcPr>
          <w:p>
            <w:pPr>
              <w:pStyle w:val="TableText"/>
              <w:ind w:left="100" w:right="103" w:hanging="1"/>
              <w:spacing w:before="96" w:line="216" w:lineRule="auto"/>
              <w:rPr/>
            </w:pPr>
            <w:r>
              <w:rPr>
                <w:spacing w:val="11"/>
              </w:rPr>
              <w:t>未履行</w:t>
            </w:r>
            <w:r>
              <w:rPr>
                <w:b/>
                <w:bCs/>
                <w:spacing w:val="11"/>
              </w:rPr>
              <w:t>关联交易</w:t>
            </w:r>
            <w:r>
              <w:rPr>
                <w:spacing w:val="11"/>
              </w:rPr>
              <w:t>审议流程和披露义务；</w:t>
            </w:r>
            <w:r>
              <w:rPr>
                <w:b/>
                <w:bCs/>
                <w:spacing w:val="11"/>
              </w:rPr>
              <w:t>财务会计核算</w:t>
            </w:r>
            <w:r>
              <w:rPr>
                <w:spacing w:val="11"/>
              </w:rPr>
              <w:t>不规</w:t>
            </w:r>
            <w:r>
              <w:rPr>
                <w:spacing w:val="1"/>
              </w:rPr>
              <w:t xml:space="preserve"> </w:t>
            </w:r>
            <w:r>
              <w:rPr>
                <w:spacing w:val="7"/>
              </w:rPr>
              <w:t>范；</w:t>
            </w:r>
            <w:r>
              <w:rPr>
                <w:spacing w:val="-24"/>
              </w:rPr>
              <w:t xml:space="preserve"> </w:t>
            </w:r>
            <w:r>
              <w:rPr>
                <w:b/>
                <w:bCs/>
                <w:spacing w:val="7"/>
              </w:rPr>
              <w:t>内幕信息知情人</w:t>
            </w:r>
            <w:r>
              <w:rPr>
                <w:spacing w:val="7"/>
              </w:rPr>
              <w:t>登记管理不规范。</w:t>
            </w:r>
          </w:p>
        </w:tc>
      </w:tr>
      <w:tr>
        <w:trPr>
          <w:trHeight w:val="724" w:hRule="atLeast"/>
        </w:trPr>
        <w:tc>
          <w:tcPr>
            <w:tcW w:w="8053" w:type="dxa"/>
            <w:vAlign w:val="top"/>
            <w:gridSpan w:val="3"/>
          </w:tcPr>
          <w:p>
            <w:pPr>
              <w:pStyle w:val="TableText"/>
              <w:ind w:left="105" w:right="115" w:firstLine="17"/>
              <w:spacing w:before="56" w:line="230" w:lineRule="auto"/>
              <w:rPr/>
            </w:pPr>
            <w:r>
              <w:rPr>
                <w:b/>
                <w:bCs/>
                <w:spacing w:val="9"/>
              </w:rPr>
              <w:t>【行政监管措施】</w:t>
            </w:r>
            <w:r>
              <w:rPr>
                <w:spacing w:val="9"/>
              </w:rPr>
              <w:t>中国证券监督管理委员会安徽监管局决定对董事长,时任总经理汪某</w:t>
            </w:r>
            <w:r>
              <w:rPr>
                <w:spacing w:val="8"/>
              </w:rPr>
              <w:t xml:space="preserve"> </w:t>
            </w:r>
            <w:r>
              <w:rPr>
                <w:spacing w:val="9"/>
              </w:rPr>
              <w:t>采取出具警示函的行政监管措施并记入证券期货市场诚信档案。</w:t>
            </w:r>
          </w:p>
        </w:tc>
      </w:tr>
      <w:tr>
        <w:trPr>
          <w:trHeight w:val="1084" w:hRule="atLeast"/>
        </w:trPr>
        <w:tc>
          <w:tcPr>
            <w:shd w:val="clear" w:fill="B8CCE4"/>
            <w:tcW w:w="1214" w:type="dxa"/>
            <w:vAlign w:val="top"/>
          </w:tcPr>
          <w:p>
            <w:pPr>
              <w:spacing w:line="385" w:lineRule="auto"/>
              <w:rPr>
                <w:rFonts w:ascii="Arial"/>
                <w:sz w:val="21"/>
              </w:rPr>
            </w:pPr>
            <w:r/>
          </w:p>
          <w:p>
            <w:pPr>
              <w:pStyle w:val="TableText"/>
              <w:ind w:left="239"/>
              <w:spacing w:before="86" w:line="178" w:lineRule="auto"/>
              <w:rPr/>
            </w:pPr>
            <w:r>
              <w:rPr>
                <w:spacing w:val="3"/>
              </w:rPr>
              <w:t>600375</w:t>
            </w:r>
          </w:p>
        </w:tc>
        <w:tc>
          <w:tcPr>
            <w:shd w:val="clear" w:fill="B8CCE4"/>
            <w:tcW w:w="1343" w:type="dxa"/>
            <w:vAlign w:val="top"/>
          </w:tcPr>
          <w:p>
            <w:pPr>
              <w:spacing w:line="372" w:lineRule="auto"/>
              <w:rPr>
                <w:rFonts w:ascii="Arial"/>
                <w:sz w:val="21"/>
              </w:rPr>
            </w:pPr>
            <w:r/>
          </w:p>
          <w:p>
            <w:pPr>
              <w:pStyle w:val="TableText"/>
              <w:ind w:left="243"/>
              <w:spacing w:before="86" w:line="188" w:lineRule="auto"/>
              <w:rPr/>
            </w:pPr>
            <w:r>
              <w:rPr>
                <w:spacing w:val="8"/>
              </w:rPr>
              <w:t>汉马科技</w:t>
            </w:r>
          </w:p>
        </w:tc>
        <w:tc>
          <w:tcPr>
            <w:shd w:val="clear" w:fill="B8CCE4"/>
            <w:tcW w:w="5496" w:type="dxa"/>
            <w:vAlign w:val="top"/>
          </w:tcPr>
          <w:p>
            <w:pPr>
              <w:pStyle w:val="TableText"/>
              <w:ind w:left="99" w:right="103"/>
              <w:spacing w:before="100" w:line="227" w:lineRule="auto"/>
              <w:rPr/>
            </w:pPr>
            <w:r>
              <w:rPr>
                <w:spacing w:val="8"/>
              </w:rPr>
              <w:t>公司自发布停牌公告</w:t>
            </w:r>
            <w:r>
              <w:rPr>
                <w:spacing w:val="-17"/>
              </w:rPr>
              <w:t xml:space="preserve"> </w:t>
            </w:r>
            <w:r>
              <w:rPr>
                <w:spacing w:val="8"/>
              </w:rPr>
              <w:t>，披露交易预案直至终止交易期间</w:t>
            </w:r>
            <w:r>
              <w:rPr>
                <w:spacing w:val="-25"/>
              </w:rPr>
              <w:t xml:space="preserve"> </w:t>
            </w:r>
            <w:r>
              <w:rPr>
                <w:spacing w:val="8"/>
              </w:rPr>
              <w:t>，</w:t>
            </w:r>
            <w:r>
              <w:rPr/>
              <w:t xml:space="preserve"> </w:t>
            </w:r>
            <w:r>
              <w:rPr>
                <w:spacing w:val="9"/>
              </w:rPr>
              <w:t>未提及标的公司</w:t>
            </w:r>
            <w:r>
              <w:rPr>
                <w:b/>
                <w:bCs/>
                <w:spacing w:val="9"/>
              </w:rPr>
              <w:t>尚未取得</w:t>
            </w:r>
            <w:r>
              <w:rPr>
                <w:spacing w:val="9"/>
              </w:rPr>
              <w:t>新能源整车制造生产</w:t>
            </w:r>
            <w:r>
              <w:rPr>
                <w:b/>
                <w:bCs/>
                <w:spacing w:val="9"/>
              </w:rPr>
              <w:t>资质</w:t>
            </w:r>
            <w:r>
              <w:rPr>
                <w:b/>
                <w:bCs/>
                <w:spacing w:val="-9"/>
              </w:rPr>
              <w:t xml:space="preserve"> </w:t>
            </w:r>
            <w:r>
              <w:rPr>
                <w:spacing w:val="9"/>
              </w:rPr>
              <w:t>，也未</w:t>
            </w:r>
            <w:r>
              <w:rPr/>
              <w:t xml:space="preserve"> </w:t>
            </w:r>
            <w:r>
              <w:rPr>
                <w:spacing w:val="8"/>
              </w:rPr>
              <w:t>对市场做好相关</w:t>
            </w:r>
            <w:r>
              <w:rPr>
                <w:b/>
                <w:bCs/>
                <w:spacing w:val="8"/>
              </w:rPr>
              <w:t>风险揭示。</w:t>
            </w:r>
          </w:p>
        </w:tc>
      </w:tr>
      <w:tr>
        <w:trPr>
          <w:trHeight w:val="724" w:hRule="atLeast"/>
        </w:trPr>
        <w:tc>
          <w:tcPr>
            <w:tcW w:w="8053" w:type="dxa"/>
            <w:vAlign w:val="top"/>
            <w:gridSpan w:val="3"/>
          </w:tcPr>
          <w:p>
            <w:pPr>
              <w:pStyle w:val="TableText"/>
              <w:ind w:left="118" w:right="103" w:firstLine="4"/>
              <w:spacing w:before="59" w:line="229" w:lineRule="auto"/>
              <w:rPr/>
            </w:pPr>
            <w:r>
              <w:rPr>
                <w:b/>
                <w:bCs/>
                <w:spacing w:val="11"/>
              </w:rPr>
              <w:t>【行政监管措施】</w:t>
            </w:r>
            <w:r>
              <w:rPr>
                <w:spacing w:val="11"/>
              </w:rPr>
              <w:t>中国证券监督管理委员会安徽监管局决定对汉马科技采取出具警示</w:t>
            </w:r>
            <w:r>
              <w:rPr>
                <w:spacing w:val="3"/>
              </w:rPr>
              <w:t xml:space="preserve"> </w:t>
            </w:r>
            <w:r>
              <w:rPr>
                <w:spacing w:val="8"/>
              </w:rPr>
              <w:t>函的行政监管措施并记入证券期货市场诚信档案。</w:t>
            </w:r>
          </w:p>
        </w:tc>
      </w:tr>
      <w:tr>
        <w:trPr>
          <w:trHeight w:val="1084" w:hRule="atLeast"/>
        </w:trPr>
        <w:tc>
          <w:tcPr>
            <w:shd w:val="clear" w:fill="B8CCE4"/>
            <w:tcW w:w="1214" w:type="dxa"/>
            <w:vAlign w:val="top"/>
          </w:tcPr>
          <w:p>
            <w:pPr>
              <w:spacing w:line="391" w:lineRule="auto"/>
              <w:rPr>
                <w:rFonts w:ascii="Arial"/>
                <w:sz w:val="21"/>
              </w:rPr>
            </w:pPr>
            <w:r/>
          </w:p>
          <w:p>
            <w:pPr>
              <w:pStyle w:val="TableText"/>
              <w:ind w:left="236"/>
              <w:spacing w:before="85" w:line="178" w:lineRule="auto"/>
              <w:rPr/>
            </w:pPr>
            <w:r>
              <w:rPr>
                <w:spacing w:val="3"/>
              </w:rPr>
              <w:t>002038</w:t>
            </w:r>
          </w:p>
        </w:tc>
        <w:tc>
          <w:tcPr>
            <w:shd w:val="clear" w:fill="B8CCE4"/>
            <w:tcW w:w="1343" w:type="dxa"/>
            <w:vAlign w:val="top"/>
          </w:tcPr>
          <w:p>
            <w:pPr>
              <w:spacing w:line="377" w:lineRule="auto"/>
              <w:rPr>
                <w:rFonts w:ascii="Arial"/>
                <w:sz w:val="21"/>
              </w:rPr>
            </w:pPr>
            <w:r/>
          </w:p>
          <w:p>
            <w:pPr>
              <w:pStyle w:val="TableText"/>
              <w:ind w:left="242"/>
              <w:spacing w:before="86" w:line="188" w:lineRule="auto"/>
              <w:rPr/>
            </w:pPr>
            <w:r>
              <w:rPr>
                <w:spacing w:val="8"/>
              </w:rPr>
              <w:t>双鹭药业</w:t>
            </w:r>
          </w:p>
        </w:tc>
        <w:tc>
          <w:tcPr>
            <w:shd w:val="clear" w:fill="B8CCE4"/>
            <w:tcW w:w="5496" w:type="dxa"/>
            <w:vAlign w:val="top"/>
          </w:tcPr>
          <w:p>
            <w:pPr>
              <w:pStyle w:val="TableText"/>
              <w:ind w:left="100" w:right="103"/>
              <w:spacing w:before="104" w:line="226" w:lineRule="auto"/>
              <w:jc w:val="both"/>
              <w:rPr/>
            </w:pPr>
            <w:r>
              <w:rPr>
                <w:spacing w:val="11"/>
              </w:rPr>
              <w:t>新乡白鹭投资集团有限公司在持有双鹭药业股份比例</w:t>
            </w:r>
            <w:r>
              <w:rPr>
                <w:b/>
                <w:bCs/>
                <w:spacing w:val="11"/>
              </w:rPr>
              <w:t>累计</w:t>
            </w:r>
            <w:r>
              <w:rPr>
                <w:b/>
                <w:bCs/>
                <w:spacing w:val="1"/>
              </w:rPr>
              <w:t xml:space="preserve"> </w:t>
            </w:r>
            <w:r>
              <w:rPr>
                <w:b/>
                <w:bCs/>
                <w:spacing w:val="9"/>
              </w:rPr>
              <w:t>变动达到 5%时</w:t>
            </w:r>
            <w:r>
              <w:rPr>
                <w:spacing w:val="9"/>
              </w:rPr>
              <w:t>,未及时履行信息披露义务并停止交易双鹭</w:t>
            </w:r>
            <w:r>
              <w:rPr>
                <w:spacing w:val="15"/>
                <w:w w:val="101"/>
              </w:rPr>
              <w:t xml:space="preserve"> </w:t>
            </w:r>
            <w:r>
              <w:rPr>
                <w:spacing w:val="6"/>
              </w:rPr>
              <w:t>药业股票。</w:t>
            </w:r>
          </w:p>
        </w:tc>
      </w:tr>
      <w:tr>
        <w:trPr>
          <w:trHeight w:val="725" w:hRule="atLeast"/>
        </w:trPr>
        <w:tc>
          <w:tcPr>
            <w:tcW w:w="8053" w:type="dxa"/>
            <w:vAlign w:val="top"/>
            <w:gridSpan w:val="3"/>
          </w:tcPr>
          <w:p>
            <w:pPr>
              <w:pStyle w:val="TableText"/>
              <w:ind w:left="105" w:right="166" w:firstLine="17"/>
              <w:spacing w:before="63" w:line="228" w:lineRule="auto"/>
              <w:rPr/>
            </w:pPr>
            <w:r>
              <w:rPr>
                <w:b/>
                <w:bCs/>
                <w:spacing w:val="9"/>
              </w:rPr>
              <w:t>【行政监管措施】</w:t>
            </w:r>
            <w:r>
              <w:rPr>
                <w:spacing w:val="9"/>
              </w:rPr>
              <w:t>中国证券监督管理委员会北京监管局对新乡白鹭投资集团有限公司</w:t>
            </w:r>
            <w:r>
              <w:rPr>
                <w:spacing w:val="14"/>
                <w:w w:val="101"/>
              </w:rPr>
              <w:t xml:space="preserve"> </w:t>
            </w:r>
            <w:r>
              <w:rPr>
                <w:spacing w:val="9"/>
              </w:rPr>
              <w:t>采取出具警示函的行政监管措施,并将相关违规行为记入资本市场诚信档案。</w:t>
            </w:r>
          </w:p>
        </w:tc>
      </w:tr>
      <w:tr>
        <w:trPr>
          <w:trHeight w:val="731" w:hRule="atLeast"/>
        </w:trPr>
        <w:tc>
          <w:tcPr>
            <w:shd w:val="clear" w:fill="B8CCE4"/>
            <w:tcW w:w="1214" w:type="dxa"/>
            <w:vAlign w:val="top"/>
          </w:tcPr>
          <w:p>
            <w:pPr>
              <w:pStyle w:val="TableText"/>
              <w:ind w:left="242"/>
              <w:spacing w:before="301" w:line="178" w:lineRule="auto"/>
              <w:rPr/>
            </w:pPr>
            <w:r>
              <w:rPr>
                <w:spacing w:val="3"/>
              </w:rPr>
              <w:t>300353</w:t>
            </w:r>
          </w:p>
        </w:tc>
        <w:tc>
          <w:tcPr>
            <w:shd w:val="clear" w:fill="B8CCE4"/>
            <w:tcW w:w="1343" w:type="dxa"/>
            <w:vAlign w:val="top"/>
          </w:tcPr>
          <w:p>
            <w:pPr>
              <w:pStyle w:val="TableText"/>
              <w:ind w:left="242"/>
              <w:spacing w:before="286" w:line="189" w:lineRule="auto"/>
              <w:rPr/>
            </w:pPr>
            <w:r>
              <w:rPr>
                <w:spacing w:val="8"/>
              </w:rPr>
              <w:t>东土科技</w:t>
            </w:r>
          </w:p>
        </w:tc>
        <w:tc>
          <w:tcPr>
            <w:shd w:val="clear" w:fill="B8CCE4"/>
            <w:tcW w:w="5496" w:type="dxa"/>
            <w:vAlign w:val="top"/>
          </w:tcPr>
          <w:p>
            <w:pPr>
              <w:pStyle w:val="TableText"/>
              <w:ind w:left="99" w:right="103"/>
              <w:spacing w:before="106" w:line="215" w:lineRule="auto"/>
              <w:rPr/>
            </w:pPr>
            <w:r>
              <w:rPr>
                <w:b/>
                <w:bCs/>
                <w:spacing w:val="17"/>
              </w:rPr>
              <w:t>共同投资构成关联交易</w:t>
            </w:r>
            <w:r>
              <w:rPr>
                <w:spacing w:val="17"/>
              </w:rPr>
              <w:t>且达到披露标准,但北京东土科技</w:t>
            </w:r>
            <w:r>
              <w:rPr>
                <w:spacing w:val="2"/>
              </w:rPr>
              <w:t xml:space="preserve"> </w:t>
            </w:r>
            <w:r>
              <w:rPr>
                <w:spacing w:val="11"/>
              </w:rPr>
              <w:t>股份有限公司未及时履行审议程序并对外披露关联交易情</w:t>
            </w:r>
          </w:p>
        </w:tc>
      </w:tr>
    </w:tbl>
    <w:p>
      <w:pPr>
        <w:pStyle w:val="BodyText"/>
        <w:spacing w:line="14" w:lineRule="auto"/>
        <w:rPr>
          <w:sz w:val="2"/>
        </w:rPr>
      </w:pPr>
      <w:r/>
    </w:p>
    <w:p>
      <w:pPr>
        <w:spacing w:line="14" w:lineRule="auto"/>
        <w:sectPr>
          <w:pgSz w:w="11910" w:h="16840"/>
          <w:pgMar w:top="400" w:right="1786" w:bottom="75" w:left="893" w:header="0" w:footer="0" w:gutter="0"/>
        </w:sectPr>
        <w:rPr>
          <w:sz w:val="2"/>
          <w:szCs w:val="2"/>
        </w:rPr>
      </w:pPr>
    </w:p>
    <w:tbl>
      <w:tblPr>
        <w:tblStyle w:val="TableNormal"/>
        <w:tblW w:w="8053" w:type="dxa"/>
        <w:tblInd w:w="56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shd w:val="clear" w:fill="B8CCE4"/>
            <w:tcW w:w="121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pStyle w:val="TableText"/>
              <w:ind w:left="100"/>
              <w:spacing w:before="114" w:line="181" w:lineRule="auto"/>
              <w:rPr/>
            </w:pPr>
            <w:r>
              <w:rPr>
                <w:spacing w:val="3"/>
              </w:rPr>
              <w:t>况。</w:t>
            </w:r>
          </w:p>
        </w:tc>
      </w:tr>
      <w:tr>
        <w:trPr>
          <w:trHeight w:val="1084" w:hRule="atLeast"/>
        </w:trPr>
        <w:tc>
          <w:tcPr>
            <w:tcW w:w="8053" w:type="dxa"/>
            <w:vAlign w:val="top"/>
            <w:gridSpan w:val="3"/>
          </w:tcPr>
          <w:p>
            <w:pPr>
              <w:pStyle w:val="TableText"/>
              <w:ind w:left="105" w:right="166" w:firstLine="17"/>
              <w:spacing w:before="39" w:line="241" w:lineRule="auto"/>
              <w:jc w:val="both"/>
              <w:rPr/>
            </w:pPr>
            <w:r>
              <w:rPr>
                <w:b/>
                <w:bCs/>
                <w:spacing w:val="9"/>
              </w:rPr>
              <w:t>【行政监管措施】</w:t>
            </w:r>
            <w:r>
              <w:rPr>
                <w:spacing w:val="9"/>
              </w:rPr>
              <w:t>中国证券监督管理委员会北京监管局决定对北京东土科技股份有限</w:t>
            </w:r>
            <w:r>
              <w:rPr>
                <w:spacing w:val="14"/>
                <w:w w:val="101"/>
              </w:rPr>
              <w:t xml:space="preserve"> </w:t>
            </w:r>
            <w:r>
              <w:rPr>
                <w:spacing w:val="9"/>
              </w:rPr>
              <w:t>公司、董事长,总经理李某、董事会秘书吴某国采取出具警示函的行政监管措施,并将</w:t>
            </w:r>
            <w:r>
              <w:rPr>
                <w:spacing w:val="5"/>
              </w:rPr>
              <w:t xml:space="preserve">   </w:t>
            </w:r>
            <w:r>
              <w:rPr>
                <w:spacing w:val="9"/>
              </w:rPr>
              <w:t>相关情况记入证券期货市场诚信档案。</w:t>
            </w:r>
          </w:p>
        </w:tc>
      </w:tr>
      <w:tr>
        <w:trPr>
          <w:trHeight w:val="1084" w:hRule="atLeast"/>
        </w:trPr>
        <w:tc>
          <w:tcPr>
            <w:shd w:val="clear" w:fill="B8CCE4"/>
            <w:tcW w:w="1214" w:type="dxa"/>
            <w:vAlign w:val="top"/>
          </w:tcPr>
          <w:p>
            <w:pPr>
              <w:spacing w:line="368" w:lineRule="auto"/>
              <w:rPr>
                <w:rFonts w:ascii="Arial"/>
                <w:sz w:val="21"/>
              </w:rPr>
            </w:pPr>
            <w:r/>
          </w:p>
          <w:p>
            <w:pPr>
              <w:pStyle w:val="TableText"/>
              <w:ind w:left="239"/>
              <w:spacing w:before="86" w:line="179" w:lineRule="auto"/>
              <w:rPr/>
            </w:pPr>
            <w:r>
              <w:rPr>
                <w:spacing w:val="3"/>
              </w:rPr>
              <w:t>600117</w:t>
            </w:r>
          </w:p>
        </w:tc>
        <w:tc>
          <w:tcPr>
            <w:shd w:val="clear" w:fill="B8CCE4"/>
            <w:tcW w:w="1343" w:type="dxa"/>
            <w:vAlign w:val="top"/>
          </w:tcPr>
          <w:p>
            <w:pPr>
              <w:spacing w:line="356" w:lineRule="auto"/>
              <w:rPr>
                <w:rFonts w:ascii="Arial"/>
                <w:sz w:val="21"/>
              </w:rPr>
            </w:pPr>
            <w:r/>
          </w:p>
          <w:p>
            <w:pPr>
              <w:pStyle w:val="TableText"/>
              <w:ind w:left="262"/>
              <w:spacing w:before="86" w:line="188" w:lineRule="auto"/>
              <w:rPr/>
            </w:pPr>
            <w:r>
              <w:rPr>
                <w:spacing w:val="4"/>
              </w:rPr>
              <w:t>*</w:t>
            </w:r>
            <w:r>
              <w:rPr/>
              <w:t>ST</w:t>
            </w:r>
            <w:r>
              <w:rPr>
                <w:spacing w:val="4"/>
              </w:rPr>
              <w:t xml:space="preserve"> 西钢</w:t>
            </w:r>
          </w:p>
        </w:tc>
        <w:tc>
          <w:tcPr>
            <w:shd w:val="clear" w:fill="B8CCE4"/>
            <w:tcW w:w="5496" w:type="dxa"/>
            <w:vAlign w:val="top"/>
          </w:tcPr>
          <w:p>
            <w:pPr>
              <w:pStyle w:val="TableText"/>
              <w:ind w:left="99" w:right="103"/>
              <w:spacing w:before="82" w:line="231" w:lineRule="auto"/>
              <w:jc w:val="both"/>
              <w:rPr/>
            </w:pPr>
            <w:r>
              <w:rPr>
                <w:spacing w:val="8"/>
              </w:rPr>
              <w:t>公司 2018 年至 2023 年年报中,营业收入、营业成</w:t>
            </w:r>
            <w:r>
              <w:rPr>
                <w:spacing w:val="7"/>
              </w:rPr>
              <w:t>本及毛</w:t>
            </w:r>
            <w:r>
              <w:rPr/>
              <w:t xml:space="preserve"> </w:t>
            </w:r>
            <w:r>
              <w:rPr>
                <w:spacing w:val="17"/>
              </w:rPr>
              <w:t>利率的同比变动幅度计算错误,公司在公告中对相关数据</w:t>
            </w:r>
            <w:r>
              <w:rPr>
                <w:spacing w:val="3"/>
              </w:rPr>
              <w:t xml:space="preserve"> </w:t>
            </w:r>
            <w:r>
              <w:rPr>
                <w:spacing w:val="7"/>
              </w:rPr>
              <w:t>进行了</w:t>
            </w:r>
            <w:r>
              <w:rPr>
                <w:b/>
                <w:bCs/>
                <w:spacing w:val="7"/>
              </w:rPr>
              <w:t>更正。</w:t>
            </w:r>
          </w:p>
        </w:tc>
      </w:tr>
      <w:tr>
        <w:trPr>
          <w:trHeight w:val="724" w:hRule="atLeast"/>
        </w:trPr>
        <w:tc>
          <w:tcPr>
            <w:tcW w:w="8053" w:type="dxa"/>
            <w:vAlign w:val="top"/>
            <w:gridSpan w:val="3"/>
          </w:tcPr>
          <w:p>
            <w:pPr>
              <w:pStyle w:val="TableText"/>
              <w:ind w:left="108" w:right="166" w:firstLine="14"/>
              <w:spacing w:before="41" w:line="235" w:lineRule="auto"/>
              <w:rPr/>
            </w:pPr>
            <w:r>
              <w:rPr>
                <w:b/>
                <w:bCs/>
                <w:spacing w:val="9"/>
              </w:rPr>
              <w:t>【行政监管措施】</w:t>
            </w:r>
            <w:r>
              <w:rPr>
                <w:spacing w:val="9"/>
              </w:rPr>
              <w:t>中国证券监督管理委员会青海监管局决定对西宁特殊钢股份有限公</w:t>
            </w:r>
            <w:r>
              <w:rPr>
                <w:spacing w:val="14"/>
                <w:w w:val="101"/>
              </w:rPr>
              <w:t xml:space="preserve"> </w:t>
            </w:r>
            <w:r>
              <w:rPr>
                <w:spacing w:val="9"/>
              </w:rPr>
              <w:t>司及财务总监周某采取出具警示函的行政监督管理措施。</w:t>
            </w:r>
          </w:p>
        </w:tc>
      </w:tr>
      <w:tr>
        <w:trPr>
          <w:trHeight w:val="724" w:hRule="atLeast"/>
        </w:trPr>
        <w:tc>
          <w:tcPr>
            <w:shd w:val="clear" w:fill="B8CCE4"/>
            <w:tcW w:w="1214" w:type="dxa"/>
            <w:vAlign w:val="top"/>
          </w:tcPr>
          <w:p>
            <w:pPr>
              <w:pStyle w:val="TableText"/>
              <w:ind w:left="239"/>
              <w:spacing w:before="280" w:line="178" w:lineRule="auto"/>
              <w:rPr/>
            </w:pPr>
            <w:r>
              <w:rPr>
                <w:spacing w:val="3"/>
              </w:rPr>
              <w:t>605007</w:t>
            </w:r>
          </w:p>
        </w:tc>
        <w:tc>
          <w:tcPr>
            <w:shd w:val="clear" w:fill="B8CCE4"/>
            <w:tcW w:w="1343" w:type="dxa"/>
            <w:vAlign w:val="top"/>
          </w:tcPr>
          <w:p>
            <w:pPr>
              <w:pStyle w:val="TableText"/>
              <w:ind w:left="244"/>
              <w:spacing w:before="267" w:line="188" w:lineRule="auto"/>
              <w:rPr/>
            </w:pPr>
            <w:r>
              <w:rPr>
                <w:spacing w:val="8"/>
              </w:rPr>
              <w:t>五洲特纸</w:t>
            </w:r>
          </w:p>
        </w:tc>
        <w:tc>
          <w:tcPr>
            <w:shd w:val="clear" w:fill="B8CCE4"/>
            <w:tcW w:w="5496" w:type="dxa"/>
            <w:vAlign w:val="top"/>
          </w:tcPr>
          <w:p>
            <w:pPr>
              <w:pStyle w:val="TableText"/>
              <w:ind w:left="100" w:right="103"/>
              <w:spacing w:before="84" w:line="220" w:lineRule="auto"/>
              <w:rPr/>
            </w:pPr>
            <w:r>
              <w:rPr>
                <w:spacing w:val="11"/>
              </w:rPr>
              <w:t>实际控制人一致行动人通过集中竞价交易方式减持公司股</w:t>
            </w:r>
            <w:r>
              <w:rPr/>
              <w:t xml:space="preserve"> </w:t>
            </w:r>
            <w:r>
              <w:rPr>
                <w:spacing w:val="7"/>
              </w:rPr>
              <w:t>票未提前 15 个交易日</w:t>
            </w:r>
            <w:r>
              <w:rPr>
                <w:b/>
                <w:bCs/>
                <w:spacing w:val="7"/>
              </w:rPr>
              <w:t>预披露减持计划。</w:t>
            </w:r>
          </w:p>
        </w:tc>
      </w:tr>
      <w:tr>
        <w:trPr>
          <w:trHeight w:val="725" w:hRule="atLeast"/>
        </w:trPr>
        <w:tc>
          <w:tcPr>
            <w:tcW w:w="8053" w:type="dxa"/>
            <w:vAlign w:val="top"/>
            <w:gridSpan w:val="3"/>
          </w:tcPr>
          <w:p>
            <w:pPr>
              <w:pStyle w:val="TableText"/>
              <w:ind w:left="106" w:right="166" w:firstLine="16"/>
              <w:spacing w:before="45" w:line="234" w:lineRule="auto"/>
              <w:rPr/>
            </w:pPr>
            <w:r>
              <w:rPr>
                <w:b/>
                <w:bCs/>
                <w:spacing w:val="9"/>
              </w:rPr>
              <w:t>【行政监管措施】</w:t>
            </w:r>
            <w:r>
              <w:rPr>
                <w:spacing w:val="9"/>
              </w:rPr>
              <w:t>中国证券监督管理委员会浙江监管局决定对股东赵某飞采取出具警</w:t>
            </w:r>
            <w:r>
              <w:rPr>
                <w:spacing w:val="14"/>
                <w:w w:val="101"/>
              </w:rPr>
              <w:t xml:space="preserve"> </w:t>
            </w:r>
            <w:r>
              <w:rPr>
                <w:spacing w:val="8"/>
              </w:rPr>
              <w:t>示函的监督管理措施</w:t>
            </w:r>
            <w:r>
              <w:rPr>
                <w:spacing w:val="-27"/>
              </w:rPr>
              <w:t xml:space="preserve"> </w:t>
            </w:r>
            <w:r>
              <w:rPr>
                <w:spacing w:val="8"/>
              </w:rPr>
              <w:t>，并记入证券期货市场诚信档案。</w:t>
            </w:r>
          </w:p>
        </w:tc>
      </w:tr>
      <w:tr>
        <w:trPr>
          <w:trHeight w:val="1444" w:hRule="atLeast"/>
        </w:trPr>
        <w:tc>
          <w:tcPr>
            <w:shd w:val="clear" w:fill="B8CCE4"/>
            <w:tcW w:w="1214" w:type="dxa"/>
            <w:vAlign w:val="top"/>
          </w:tcPr>
          <w:p>
            <w:pPr>
              <w:spacing w:line="275" w:lineRule="auto"/>
              <w:rPr>
                <w:rFonts w:ascii="Arial"/>
                <w:sz w:val="21"/>
              </w:rPr>
            </w:pPr>
            <w:r/>
          </w:p>
          <w:p>
            <w:pPr>
              <w:spacing w:line="276" w:lineRule="auto"/>
              <w:rPr>
                <w:rFonts w:ascii="Arial"/>
                <w:sz w:val="21"/>
              </w:rPr>
            </w:pPr>
            <w:r/>
          </w:p>
          <w:p>
            <w:pPr>
              <w:pStyle w:val="TableText"/>
              <w:ind w:left="239"/>
              <w:spacing w:before="86" w:line="179" w:lineRule="auto"/>
              <w:rPr/>
            </w:pPr>
            <w:r>
              <w:rPr>
                <w:spacing w:val="3"/>
              </w:rPr>
              <w:t>603001</w:t>
            </w:r>
          </w:p>
        </w:tc>
        <w:tc>
          <w:tcPr>
            <w:shd w:val="clear" w:fill="B8CCE4"/>
            <w:tcW w:w="1343" w:type="dxa"/>
            <w:vAlign w:val="top"/>
          </w:tcPr>
          <w:p>
            <w:pPr>
              <w:spacing w:line="269" w:lineRule="auto"/>
              <w:rPr>
                <w:rFonts w:ascii="Arial"/>
                <w:sz w:val="21"/>
              </w:rPr>
            </w:pPr>
            <w:r/>
          </w:p>
          <w:p>
            <w:pPr>
              <w:spacing w:line="269" w:lineRule="auto"/>
              <w:rPr>
                <w:rFonts w:ascii="Arial"/>
                <w:sz w:val="21"/>
              </w:rPr>
            </w:pPr>
            <w:r/>
          </w:p>
          <w:p>
            <w:pPr>
              <w:pStyle w:val="TableText"/>
              <w:ind w:left="315"/>
              <w:spacing w:before="86" w:line="189" w:lineRule="auto"/>
              <w:rPr/>
            </w:pPr>
            <w:r>
              <w:rPr/>
              <w:t>ST</w:t>
            </w:r>
            <w:r>
              <w:rPr>
                <w:spacing w:val="2"/>
              </w:rPr>
              <w:t xml:space="preserve"> 奥康</w:t>
            </w:r>
          </w:p>
        </w:tc>
        <w:tc>
          <w:tcPr>
            <w:shd w:val="clear" w:fill="B8CCE4"/>
            <w:tcW w:w="5496" w:type="dxa"/>
            <w:vAlign w:val="top"/>
          </w:tcPr>
          <w:p>
            <w:pPr>
              <w:pStyle w:val="TableText"/>
              <w:ind w:left="100" w:right="103" w:firstLine="9"/>
              <w:spacing w:before="84" w:line="236" w:lineRule="auto"/>
              <w:jc w:val="both"/>
              <w:rPr/>
            </w:pPr>
            <w:r>
              <w:rPr>
                <w:spacing w:val="6"/>
              </w:rPr>
              <w:t>2021 年年报、</w:t>
            </w:r>
            <w:r>
              <w:rPr>
                <w:spacing w:val="-35"/>
              </w:rPr>
              <w:t xml:space="preserve"> </w:t>
            </w:r>
            <w:r>
              <w:rPr>
                <w:spacing w:val="6"/>
              </w:rPr>
              <w:t>2022 年年报和 2023 年半年报中未按规定</w:t>
            </w:r>
            <w:r>
              <w:rPr/>
              <w:t xml:space="preserve"> </w:t>
            </w:r>
            <w:r>
              <w:rPr>
                <w:spacing w:val="11"/>
              </w:rPr>
              <w:t>披露</w:t>
            </w:r>
            <w:r>
              <w:rPr>
                <w:b/>
                <w:bCs/>
                <w:spacing w:val="11"/>
              </w:rPr>
              <w:t>关联方非经营性资金占用</w:t>
            </w:r>
            <w:r>
              <w:rPr>
                <w:spacing w:val="11"/>
              </w:rPr>
              <w:t>情况；公司资金支付、</w:t>
            </w:r>
            <w:r>
              <w:rPr>
                <w:spacing w:val="10"/>
              </w:rPr>
              <w:t>经销</w:t>
            </w:r>
            <w:r>
              <w:rPr/>
              <w:t xml:space="preserve"> </w:t>
            </w:r>
            <w:r>
              <w:rPr>
                <w:spacing w:val="9"/>
              </w:rPr>
              <w:t>商管理相关</w:t>
            </w:r>
            <w:r>
              <w:rPr>
                <w:b/>
                <w:bCs/>
                <w:spacing w:val="9"/>
              </w:rPr>
              <w:t>内部控制</w:t>
            </w:r>
            <w:r>
              <w:rPr>
                <w:spacing w:val="9"/>
              </w:rPr>
              <w:t>存在缺陷</w:t>
            </w:r>
            <w:r>
              <w:rPr>
                <w:spacing w:val="-9"/>
              </w:rPr>
              <w:t xml:space="preserve"> </w:t>
            </w:r>
            <w:r>
              <w:rPr>
                <w:spacing w:val="9"/>
              </w:rPr>
              <w:t>，奥康集团有限公司与公司</w:t>
            </w:r>
            <w:r>
              <w:rPr/>
              <w:t xml:space="preserve"> </w:t>
            </w:r>
            <w:r>
              <w:rPr>
                <w:spacing w:val="8"/>
              </w:rPr>
              <w:t>的财务人员存在混同。</w:t>
            </w:r>
          </w:p>
        </w:tc>
      </w:tr>
      <w:tr>
        <w:trPr>
          <w:trHeight w:val="1084" w:hRule="atLeast"/>
        </w:trPr>
        <w:tc>
          <w:tcPr>
            <w:tcW w:w="8053" w:type="dxa"/>
            <w:vAlign w:val="top"/>
            <w:gridSpan w:val="3"/>
          </w:tcPr>
          <w:p>
            <w:pPr>
              <w:pStyle w:val="TableText"/>
              <w:ind w:left="105" w:right="103" w:firstLine="17"/>
              <w:spacing w:before="44"/>
              <w:rPr/>
            </w:pPr>
            <w:r>
              <w:rPr>
                <w:b/>
                <w:bCs/>
                <w:spacing w:val="11"/>
              </w:rPr>
              <w:t>【行政监管措施】</w:t>
            </w:r>
            <w:r>
              <w:rPr>
                <w:spacing w:val="11"/>
              </w:rPr>
              <w:t>中国证券监督管理委员会浙江监管局决定对公司、董事长王某滔、</w:t>
            </w:r>
            <w:r>
              <w:rPr>
                <w:spacing w:val="3"/>
              </w:rPr>
              <w:t xml:space="preserve"> </w:t>
            </w:r>
            <w:r>
              <w:rPr>
                <w:spacing w:val="10"/>
              </w:rPr>
              <w:t>总经理王某权</w:t>
            </w:r>
            <w:r>
              <w:rPr>
                <w:spacing w:val="-25"/>
              </w:rPr>
              <w:t xml:space="preserve"> </w:t>
            </w:r>
            <w:r>
              <w:rPr>
                <w:spacing w:val="10"/>
              </w:rPr>
              <w:t>，财务总监兼董事会秘书翁某分别采取出具警</w:t>
            </w:r>
            <w:r>
              <w:rPr>
                <w:spacing w:val="9"/>
              </w:rPr>
              <w:t>示函的行政监管措施</w:t>
            </w:r>
            <w:r>
              <w:rPr>
                <w:spacing w:val="-26"/>
              </w:rPr>
              <w:t xml:space="preserve"> </w:t>
            </w:r>
            <w:r>
              <w:rPr>
                <w:spacing w:val="9"/>
              </w:rPr>
              <w:t>，并</w:t>
            </w:r>
            <w:r>
              <w:rPr/>
              <w:t xml:space="preserve"> </w:t>
            </w:r>
            <w:r>
              <w:rPr>
                <w:spacing w:val="8"/>
              </w:rPr>
              <w:t>记入证券期货市场诚信档案。</w:t>
            </w:r>
          </w:p>
        </w:tc>
      </w:tr>
      <w:tr>
        <w:trPr>
          <w:trHeight w:val="725" w:hRule="atLeast"/>
        </w:trPr>
        <w:tc>
          <w:tcPr>
            <w:shd w:val="clear" w:fill="B8CCE4"/>
            <w:tcW w:w="1214" w:type="dxa"/>
            <w:vAlign w:val="top"/>
          </w:tcPr>
          <w:p>
            <w:pPr>
              <w:pStyle w:val="TableText"/>
              <w:ind w:left="242"/>
              <w:spacing w:before="285" w:line="178" w:lineRule="auto"/>
              <w:rPr/>
            </w:pPr>
            <w:r>
              <w:rPr>
                <w:spacing w:val="3"/>
              </w:rPr>
              <w:t>300780</w:t>
            </w:r>
          </w:p>
        </w:tc>
        <w:tc>
          <w:tcPr>
            <w:shd w:val="clear" w:fill="B8CCE4"/>
            <w:tcW w:w="1343" w:type="dxa"/>
            <w:vAlign w:val="top"/>
          </w:tcPr>
          <w:p>
            <w:pPr>
              <w:pStyle w:val="TableText"/>
              <w:ind w:left="242"/>
              <w:spacing w:before="270" w:line="189" w:lineRule="auto"/>
              <w:rPr/>
            </w:pPr>
            <w:r>
              <w:rPr>
                <w:spacing w:val="8"/>
              </w:rPr>
              <w:t>德恩精工</w:t>
            </w:r>
          </w:p>
        </w:tc>
        <w:tc>
          <w:tcPr>
            <w:shd w:val="clear" w:fill="B8CCE4"/>
            <w:tcW w:w="5496" w:type="dxa"/>
            <w:vAlign w:val="top"/>
          </w:tcPr>
          <w:p>
            <w:pPr>
              <w:pStyle w:val="TableText"/>
              <w:ind w:left="100" w:right="149"/>
              <w:spacing w:before="48" w:line="233" w:lineRule="auto"/>
              <w:rPr/>
            </w:pPr>
            <w:r>
              <w:rPr>
                <w:spacing w:val="10"/>
              </w:rPr>
              <w:t>大股东在</w:t>
            </w:r>
            <w:r>
              <w:rPr>
                <w:b/>
                <w:bCs/>
                <w:spacing w:val="10"/>
              </w:rPr>
              <w:t>减持至持股比例 5%时</w:t>
            </w:r>
            <w:r>
              <w:rPr>
                <w:spacing w:val="10"/>
              </w:rPr>
              <w:t>未按规定停止减持行为，</w:t>
            </w:r>
            <w:r>
              <w:rPr>
                <w:spacing w:val="1"/>
              </w:rPr>
              <w:t xml:space="preserve"> </w:t>
            </w:r>
            <w:r>
              <w:rPr>
                <w:spacing w:val="8"/>
              </w:rPr>
              <w:t>且未及时履行报告、公告义务。</w:t>
            </w:r>
          </w:p>
        </w:tc>
      </w:tr>
      <w:tr>
        <w:trPr>
          <w:trHeight w:val="724" w:hRule="atLeast"/>
        </w:trPr>
        <w:tc>
          <w:tcPr>
            <w:tcW w:w="8053" w:type="dxa"/>
            <w:vAlign w:val="top"/>
            <w:gridSpan w:val="3"/>
          </w:tcPr>
          <w:p>
            <w:pPr>
              <w:pStyle w:val="TableText"/>
              <w:ind w:left="106" w:right="166" w:firstLine="16"/>
              <w:spacing w:before="47" w:line="233" w:lineRule="auto"/>
              <w:rPr/>
            </w:pPr>
            <w:r>
              <w:rPr>
                <w:b/>
                <w:bCs/>
                <w:spacing w:val="9"/>
              </w:rPr>
              <w:t>【行政监管措施】</w:t>
            </w:r>
            <w:r>
              <w:rPr>
                <w:spacing w:val="9"/>
              </w:rPr>
              <w:t>中国证券监督管理委员会四川监管局决定对王某民采取责令改正的</w:t>
            </w:r>
            <w:r>
              <w:rPr>
                <w:spacing w:val="14"/>
                <w:w w:val="101"/>
              </w:rPr>
              <w:t xml:space="preserve"> </w:t>
            </w:r>
            <w:r>
              <w:rPr>
                <w:spacing w:val="7"/>
              </w:rPr>
              <w:t>行政监管措施</w:t>
            </w:r>
            <w:r>
              <w:rPr>
                <w:spacing w:val="-19"/>
              </w:rPr>
              <w:t xml:space="preserve"> </w:t>
            </w:r>
            <w:r>
              <w:rPr>
                <w:spacing w:val="7"/>
              </w:rPr>
              <w:t>，并记入证券市场诚信档案。</w:t>
            </w:r>
          </w:p>
        </w:tc>
      </w:tr>
      <w:tr>
        <w:trPr>
          <w:trHeight w:val="725" w:hRule="atLeast"/>
        </w:trPr>
        <w:tc>
          <w:tcPr>
            <w:shd w:val="clear" w:fill="B8CCE4"/>
            <w:tcW w:w="1214" w:type="dxa"/>
            <w:vAlign w:val="top"/>
          </w:tcPr>
          <w:p>
            <w:pPr>
              <w:pStyle w:val="TableText"/>
              <w:ind w:left="242"/>
              <w:spacing w:before="289" w:line="178" w:lineRule="auto"/>
              <w:rPr/>
            </w:pPr>
            <w:r>
              <w:rPr>
                <w:spacing w:val="3"/>
              </w:rPr>
              <w:t>300344</w:t>
            </w:r>
          </w:p>
        </w:tc>
        <w:tc>
          <w:tcPr>
            <w:shd w:val="clear" w:fill="B8CCE4"/>
            <w:tcW w:w="1343" w:type="dxa"/>
            <w:vAlign w:val="top"/>
          </w:tcPr>
          <w:p>
            <w:pPr>
              <w:pStyle w:val="TableText"/>
              <w:ind w:left="246"/>
              <w:spacing w:before="273" w:line="190" w:lineRule="auto"/>
              <w:rPr/>
            </w:pPr>
            <w:r>
              <w:rPr>
                <w:spacing w:val="7"/>
              </w:rPr>
              <w:t>立方数科</w:t>
            </w:r>
          </w:p>
        </w:tc>
        <w:tc>
          <w:tcPr>
            <w:shd w:val="clear" w:fill="B8CCE4"/>
            <w:tcW w:w="5496" w:type="dxa"/>
            <w:vAlign w:val="top"/>
          </w:tcPr>
          <w:p>
            <w:pPr>
              <w:pStyle w:val="TableText"/>
              <w:ind w:left="100" w:right="103" w:hanging="1"/>
              <w:spacing w:before="91" w:line="218" w:lineRule="auto"/>
              <w:rPr/>
            </w:pPr>
            <w:r>
              <w:rPr>
                <w:spacing w:val="11"/>
              </w:rPr>
              <w:t>未履行</w:t>
            </w:r>
            <w:r>
              <w:rPr>
                <w:b/>
                <w:bCs/>
                <w:spacing w:val="11"/>
              </w:rPr>
              <w:t>关联交易</w:t>
            </w:r>
            <w:r>
              <w:rPr>
                <w:spacing w:val="11"/>
              </w:rPr>
              <w:t>审议流程和披露义务；</w:t>
            </w:r>
            <w:r>
              <w:rPr>
                <w:b/>
                <w:bCs/>
                <w:spacing w:val="11"/>
              </w:rPr>
              <w:t>财务会计核算</w:t>
            </w:r>
            <w:r>
              <w:rPr>
                <w:spacing w:val="11"/>
              </w:rPr>
              <w:t>不规</w:t>
            </w:r>
            <w:r>
              <w:rPr>
                <w:spacing w:val="1"/>
              </w:rPr>
              <w:t xml:space="preserve"> </w:t>
            </w:r>
            <w:r>
              <w:rPr>
                <w:spacing w:val="7"/>
              </w:rPr>
              <w:t>范；</w:t>
            </w:r>
            <w:r>
              <w:rPr>
                <w:spacing w:val="-24"/>
              </w:rPr>
              <w:t xml:space="preserve"> </w:t>
            </w:r>
            <w:r>
              <w:rPr>
                <w:b/>
                <w:bCs/>
                <w:spacing w:val="7"/>
              </w:rPr>
              <w:t>内幕信息知情人</w:t>
            </w:r>
            <w:r>
              <w:rPr>
                <w:spacing w:val="7"/>
              </w:rPr>
              <w:t>登记管理不规范。</w:t>
            </w:r>
          </w:p>
        </w:tc>
      </w:tr>
      <w:tr>
        <w:trPr>
          <w:trHeight w:val="1093" w:hRule="atLeast"/>
        </w:trPr>
        <w:tc>
          <w:tcPr>
            <w:tcW w:w="8053" w:type="dxa"/>
            <w:vAlign w:val="top"/>
            <w:gridSpan w:val="3"/>
          </w:tcPr>
          <w:p>
            <w:pPr>
              <w:pStyle w:val="TableText"/>
              <w:ind w:left="114" w:right="166" w:firstLine="8"/>
              <w:spacing w:before="49" w:line="241" w:lineRule="auto"/>
              <w:rPr/>
            </w:pPr>
            <w:r>
              <w:rPr>
                <w:b/>
                <w:bCs/>
                <w:spacing w:val="9"/>
              </w:rPr>
              <w:t>【行政监管措施】</w:t>
            </w:r>
            <w:r>
              <w:rPr>
                <w:spacing w:val="9"/>
              </w:rPr>
              <w:t>中国证券监督管理委员会安徽监管局决定对立方数科采取责令改正</w:t>
            </w:r>
            <w:r>
              <w:rPr>
                <w:spacing w:val="14"/>
                <w:w w:val="101"/>
              </w:rPr>
              <w:t xml:space="preserve"> </w:t>
            </w:r>
            <w:r>
              <w:rPr>
                <w:spacing w:val="9"/>
              </w:rPr>
              <w:t>的行政监管措施并记入证券期货市场诚信档案,公司应在收到本决定书之日起30日内</w:t>
            </w:r>
            <w:r>
              <w:rPr>
                <w:spacing w:val="2"/>
              </w:rPr>
              <w:t xml:space="preserve">   </w:t>
            </w:r>
            <w:r>
              <w:rPr>
                <w:spacing w:val="9"/>
              </w:rPr>
              <w:t>向中国证券监督管理委员会安徽监管局提交书面整改报告。</w:t>
            </w:r>
          </w:p>
        </w:tc>
      </w:tr>
    </w:tbl>
    <w:p>
      <w:pPr>
        <w:pStyle w:val="BodyText"/>
        <w:spacing w:line="344" w:lineRule="auto"/>
        <w:rPr/>
      </w:pPr>
      <w:r/>
    </w:p>
    <w:p>
      <w:pPr>
        <w:pStyle w:val="BodyText"/>
        <w:spacing w:line="34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 3</w:t>
      </w:r>
      <w:r>
        <w:rPr>
          <w:rFonts w:ascii="Microsoft YaHei" w:hAnsi="Microsoft YaHei" w:eastAsia="Microsoft YaHei" w:cs="Microsoft YaHei"/>
          <w:sz w:val="24"/>
          <w:szCs w:val="24"/>
          <w:b/>
          <w:bCs/>
          <w:color w:val="333333"/>
          <w:spacing w:val="-7"/>
        </w:rPr>
        <w:t xml:space="preserve"> </w:t>
      </w:r>
      <w:r>
        <w:rPr>
          <w:rFonts w:ascii="Microsoft YaHei" w:hAnsi="Microsoft YaHei" w:eastAsia="Microsoft YaHei" w:cs="Microsoft YaHei"/>
          <w:sz w:val="24"/>
          <w:szCs w:val="24"/>
          <w:b/>
          <w:bCs/>
          <w:color w:val="333333"/>
          <w:spacing w:val="-16"/>
        </w:rPr>
        <w:t>）立案调查</w:t>
      </w:r>
    </w:p>
    <w:p>
      <w:pPr>
        <w:spacing w:before="192"/>
        <w:rPr/>
      </w:pPr>
      <w:r/>
    </w:p>
    <w:tbl>
      <w:tblPr>
        <w:tblStyle w:val="TableNormal"/>
        <w:tblW w:w="8053" w:type="dxa"/>
        <w:tblInd w:w="56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4F81BD" w:sz="2" w:space="0"/>
            </w:tcBorders>
          </w:tcPr>
          <w:p>
            <w:pPr>
              <w:pStyle w:val="TableText"/>
              <w:ind w:left="181"/>
              <w:spacing w:before="107"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08" w:line="187"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07" w:line="188" w:lineRule="auto"/>
              <w:rPr/>
            </w:pPr>
            <w:r>
              <w:rPr>
                <w:b/>
                <w:bCs/>
                <w:color w:val="FFFFFF"/>
                <w:spacing w:val="8"/>
              </w:rPr>
              <w:t>违规行为</w:t>
            </w:r>
          </w:p>
        </w:tc>
      </w:tr>
      <w:tr>
        <w:trPr>
          <w:trHeight w:val="1085" w:hRule="atLeast"/>
        </w:trPr>
        <w:tc>
          <w:tcPr>
            <w:shd w:val="clear" w:fill="B8CCE4"/>
            <w:tcW w:w="1214" w:type="dxa"/>
            <w:vAlign w:val="top"/>
            <w:tcBorders>
              <w:top w:val="single" w:color="4F81BD" w:sz="2" w:space="0"/>
            </w:tcBorders>
          </w:tcPr>
          <w:p>
            <w:pPr>
              <w:spacing w:line="372" w:lineRule="auto"/>
              <w:rPr>
                <w:rFonts w:ascii="Arial"/>
                <w:sz w:val="21"/>
              </w:rPr>
            </w:pPr>
            <w:r/>
          </w:p>
          <w:p>
            <w:pPr>
              <w:pStyle w:val="TableText"/>
              <w:ind w:left="236"/>
              <w:spacing w:before="86" w:line="178" w:lineRule="auto"/>
              <w:rPr/>
            </w:pPr>
            <w:r>
              <w:rPr>
                <w:spacing w:val="3"/>
              </w:rPr>
              <w:t>002092</w:t>
            </w:r>
          </w:p>
        </w:tc>
        <w:tc>
          <w:tcPr>
            <w:shd w:val="clear" w:fill="B8CCE4"/>
            <w:tcW w:w="1343" w:type="dxa"/>
            <w:vAlign w:val="top"/>
            <w:tcBorders>
              <w:top w:val="single" w:color="4F81BD" w:sz="2" w:space="0"/>
            </w:tcBorders>
          </w:tcPr>
          <w:p>
            <w:pPr>
              <w:spacing w:line="358"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Borders>
              <w:top w:val="single" w:color="4F81BD" w:sz="2" w:space="0"/>
            </w:tcBorders>
          </w:tcPr>
          <w:p>
            <w:pPr>
              <w:pStyle w:val="TableText"/>
              <w:ind w:left="100" w:right="134" w:firstLine="14"/>
              <w:spacing w:before="49" w:line="239" w:lineRule="auto"/>
              <w:rPr/>
            </w:pPr>
            <w:r>
              <w:rPr>
                <w:spacing w:val="6"/>
              </w:rPr>
              <w:t>因</w:t>
            </w:r>
            <w:r>
              <w:rPr>
                <w:b/>
                <w:bCs/>
                <w:spacing w:val="6"/>
              </w:rPr>
              <w:t>涉嫌信息披露违法违规</w:t>
            </w:r>
            <w:r>
              <w:rPr>
                <w:b/>
                <w:bCs/>
                <w:spacing w:val="-14"/>
              </w:rPr>
              <w:t xml:space="preserve"> </w:t>
            </w:r>
            <w:r>
              <w:rPr>
                <w:spacing w:val="6"/>
              </w:rPr>
              <w:t>，根据《中华人民共和国证券    </w:t>
            </w:r>
            <w:r>
              <w:rPr>
                <w:spacing w:val="6"/>
              </w:rPr>
              <w:t>法》</w:t>
            </w:r>
            <w:r>
              <w:rPr>
                <w:spacing w:val="-22"/>
              </w:rPr>
              <w:t xml:space="preserve"> </w:t>
            </w:r>
            <w:r>
              <w:rPr>
                <w:spacing w:val="6"/>
              </w:rPr>
              <w:t>、《中华人民共和国行政处罚法》等法律法规</w:t>
            </w:r>
            <w:r>
              <w:rPr>
                <w:spacing w:val="-25"/>
              </w:rPr>
              <w:t xml:space="preserve"> </w:t>
            </w:r>
            <w:r>
              <w:rPr>
                <w:spacing w:val="6"/>
              </w:rPr>
              <w:t>，</w:t>
            </w:r>
            <w:r>
              <w:rPr>
                <w:spacing w:val="-36"/>
              </w:rPr>
              <w:t xml:space="preserve"> </w:t>
            </w:r>
            <w:r>
              <w:rPr>
                <w:spacing w:val="6"/>
              </w:rPr>
              <w:t>中国</w:t>
            </w:r>
            <w:r>
              <w:rPr/>
              <w:t xml:space="preserve"> </w:t>
            </w:r>
            <w:r>
              <w:rPr>
                <w:spacing w:val="8"/>
              </w:rPr>
              <w:t>证监会决定对公司立案。</w:t>
            </w:r>
          </w:p>
        </w:tc>
      </w:tr>
      <w:tr>
        <w:trPr>
          <w:trHeight w:val="1081" w:hRule="atLeast"/>
        </w:trPr>
        <w:tc>
          <w:tcPr>
            <w:tcW w:w="1214" w:type="dxa"/>
            <w:vAlign w:val="top"/>
          </w:tcPr>
          <w:p>
            <w:pPr>
              <w:spacing w:line="374" w:lineRule="auto"/>
              <w:rPr>
                <w:rFonts w:ascii="Arial"/>
                <w:sz w:val="21"/>
              </w:rPr>
            </w:pPr>
            <w:r/>
          </w:p>
          <w:p>
            <w:pPr>
              <w:pStyle w:val="TableText"/>
              <w:ind w:left="236"/>
              <w:spacing w:before="86" w:line="178" w:lineRule="auto"/>
              <w:rPr/>
            </w:pPr>
            <w:r>
              <w:rPr>
                <w:spacing w:val="3"/>
              </w:rPr>
              <w:t>002699</w:t>
            </w:r>
          </w:p>
        </w:tc>
        <w:tc>
          <w:tcPr>
            <w:tcW w:w="1343" w:type="dxa"/>
            <w:vAlign w:val="top"/>
          </w:tcPr>
          <w:p>
            <w:pPr>
              <w:spacing w:line="358" w:lineRule="auto"/>
              <w:rPr>
                <w:rFonts w:ascii="Arial"/>
                <w:sz w:val="21"/>
              </w:rPr>
            </w:pPr>
            <w:r/>
          </w:p>
          <w:p>
            <w:pPr>
              <w:pStyle w:val="TableText"/>
              <w:ind w:left="262"/>
              <w:spacing w:before="86" w:line="190" w:lineRule="auto"/>
              <w:rPr/>
            </w:pPr>
            <w:r>
              <w:rPr>
                <w:spacing w:val="4"/>
              </w:rPr>
              <w:t>*</w:t>
            </w:r>
            <w:r>
              <w:rPr/>
              <w:t>ST</w:t>
            </w:r>
            <w:r>
              <w:rPr>
                <w:spacing w:val="4"/>
              </w:rPr>
              <w:t xml:space="preserve"> 美盛</w:t>
            </w:r>
          </w:p>
        </w:tc>
        <w:tc>
          <w:tcPr>
            <w:tcW w:w="5496" w:type="dxa"/>
            <w:vAlign w:val="top"/>
          </w:tcPr>
          <w:p>
            <w:pPr>
              <w:pStyle w:val="TableText"/>
              <w:ind w:left="100" w:right="134" w:firstLine="14"/>
              <w:spacing w:before="50" w:line="238" w:lineRule="auto"/>
              <w:rPr/>
            </w:pPr>
            <w:r>
              <w:rPr>
                <w:spacing w:val="6"/>
              </w:rPr>
              <w:t>因</w:t>
            </w:r>
            <w:r>
              <w:rPr>
                <w:b/>
                <w:bCs/>
                <w:spacing w:val="6"/>
              </w:rPr>
              <w:t>涉嫌信息披露违法违规</w:t>
            </w:r>
            <w:r>
              <w:rPr>
                <w:b/>
                <w:bCs/>
                <w:spacing w:val="-14"/>
              </w:rPr>
              <w:t xml:space="preserve"> </w:t>
            </w:r>
            <w:r>
              <w:rPr>
                <w:spacing w:val="6"/>
              </w:rPr>
              <w:t>，根据《中华人民共和国证券    </w:t>
            </w:r>
            <w:r>
              <w:rPr>
                <w:spacing w:val="7"/>
              </w:rPr>
              <w:t>法》《中华人民共和国行政处罚法》等法律法规</w:t>
            </w:r>
            <w:r>
              <w:rPr>
                <w:spacing w:val="-15"/>
              </w:rPr>
              <w:t xml:space="preserve"> </w:t>
            </w:r>
            <w:r>
              <w:rPr>
                <w:spacing w:val="7"/>
              </w:rPr>
              <w:t>，</w:t>
            </w:r>
            <w:r>
              <w:rPr>
                <w:spacing w:val="-34"/>
              </w:rPr>
              <w:t xml:space="preserve"> </w:t>
            </w:r>
            <w:r>
              <w:rPr>
                <w:spacing w:val="7"/>
              </w:rPr>
              <w:t>中国证</w:t>
            </w:r>
            <w:r>
              <w:rPr/>
              <w:t xml:space="preserve"> </w:t>
            </w:r>
            <w:r>
              <w:rPr>
                <w:spacing w:val="9"/>
              </w:rPr>
              <w:t>监会决定对公司和实际控制人立案。</w:t>
            </w:r>
          </w:p>
        </w:tc>
      </w:tr>
      <w:tr>
        <w:trPr>
          <w:trHeight w:val="1090" w:hRule="atLeast"/>
        </w:trPr>
        <w:tc>
          <w:tcPr>
            <w:shd w:val="clear" w:fill="B8CCE4"/>
            <w:tcW w:w="1214" w:type="dxa"/>
            <w:vAlign w:val="top"/>
          </w:tcPr>
          <w:p>
            <w:pPr>
              <w:spacing w:line="380" w:lineRule="auto"/>
              <w:rPr>
                <w:rFonts w:ascii="Arial"/>
                <w:sz w:val="21"/>
              </w:rPr>
            </w:pPr>
            <w:r/>
          </w:p>
          <w:p>
            <w:pPr>
              <w:pStyle w:val="TableText"/>
              <w:ind w:left="236"/>
              <w:spacing w:before="85" w:line="178" w:lineRule="auto"/>
              <w:rPr/>
            </w:pPr>
            <w:r>
              <w:rPr>
                <w:spacing w:val="3"/>
              </w:rPr>
              <w:t>002087</w:t>
            </w:r>
          </w:p>
        </w:tc>
        <w:tc>
          <w:tcPr>
            <w:shd w:val="clear" w:fill="B8CCE4"/>
            <w:tcW w:w="1343" w:type="dxa"/>
            <w:vAlign w:val="top"/>
          </w:tcPr>
          <w:p>
            <w:pPr>
              <w:spacing w:line="365" w:lineRule="auto"/>
              <w:rPr>
                <w:rFonts w:ascii="Arial"/>
                <w:sz w:val="21"/>
              </w:rPr>
            </w:pPr>
            <w:r/>
          </w:p>
          <w:p>
            <w:pPr>
              <w:pStyle w:val="TableText"/>
              <w:ind w:left="262"/>
              <w:spacing w:before="86" w:line="189" w:lineRule="auto"/>
              <w:rPr/>
            </w:pPr>
            <w:r>
              <w:rPr>
                <w:spacing w:val="4"/>
              </w:rPr>
              <w:t>*</w:t>
            </w:r>
            <w:r>
              <w:rPr/>
              <w:t>ST</w:t>
            </w:r>
            <w:r>
              <w:rPr>
                <w:spacing w:val="4"/>
              </w:rPr>
              <w:t xml:space="preserve"> 新纺</w:t>
            </w:r>
          </w:p>
        </w:tc>
        <w:tc>
          <w:tcPr>
            <w:shd w:val="clear" w:fill="B8CCE4"/>
            <w:tcW w:w="5496" w:type="dxa"/>
            <w:vAlign w:val="top"/>
          </w:tcPr>
          <w:p>
            <w:pPr>
              <w:pStyle w:val="TableText"/>
              <w:ind w:left="100" w:right="134" w:firstLine="14"/>
              <w:spacing w:before="54" w:line="239" w:lineRule="auto"/>
              <w:rPr/>
            </w:pPr>
            <w:r>
              <w:rPr>
                <w:spacing w:val="6"/>
              </w:rPr>
              <w:t>因</w:t>
            </w:r>
            <w:r>
              <w:rPr>
                <w:b/>
                <w:bCs/>
                <w:spacing w:val="6"/>
              </w:rPr>
              <w:t>涉嫌信息披露违法违规</w:t>
            </w:r>
            <w:r>
              <w:rPr>
                <w:b/>
                <w:bCs/>
                <w:spacing w:val="-14"/>
              </w:rPr>
              <w:t xml:space="preserve"> </w:t>
            </w:r>
            <w:r>
              <w:rPr>
                <w:spacing w:val="6"/>
              </w:rPr>
              <w:t>，根据《中华人民共和国证券    </w:t>
            </w:r>
            <w:r>
              <w:rPr>
                <w:spacing w:val="7"/>
              </w:rPr>
              <w:t>法》《中华人民共和国行政处罚法》等法律法规</w:t>
            </w:r>
            <w:r>
              <w:rPr>
                <w:spacing w:val="-15"/>
              </w:rPr>
              <w:t xml:space="preserve"> </w:t>
            </w:r>
            <w:r>
              <w:rPr>
                <w:spacing w:val="7"/>
              </w:rPr>
              <w:t>，</w:t>
            </w:r>
            <w:r>
              <w:rPr>
                <w:spacing w:val="-34"/>
              </w:rPr>
              <w:t xml:space="preserve"> </w:t>
            </w:r>
            <w:r>
              <w:rPr>
                <w:spacing w:val="7"/>
              </w:rPr>
              <w:t>中国证</w:t>
            </w:r>
            <w:r>
              <w:rPr/>
              <w:t xml:space="preserve"> </w:t>
            </w:r>
            <w:r>
              <w:rPr>
                <w:spacing w:val="9"/>
              </w:rPr>
              <w:t>监会决定对河南新野纺织股份有限公司立案。</w:t>
            </w:r>
          </w:p>
        </w:tc>
      </w:tr>
    </w:tbl>
    <w:p>
      <w:pPr>
        <w:pStyle w:val="BodyText"/>
        <w:spacing w:line="14" w:lineRule="auto"/>
        <w:rPr>
          <w:sz w:val="2"/>
        </w:rPr>
      </w:pPr>
      <w:r/>
    </w:p>
    <w:p>
      <w:pPr>
        <w:spacing w:line="14" w:lineRule="auto"/>
        <w:sectPr>
          <w:pgSz w:w="11910" w:h="16840"/>
          <w:pgMar w:top="400" w:right="1786" w:bottom="400" w:left="893" w:header="0" w:footer="0" w:gutter="0"/>
        </w:sectPr>
        <w:rPr>
          <w:sz w:val="2"/>
          <w:szCs w:val="2"/>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3"/>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1、上市公司监管动态</w:t>
      </w:r>
    </w:p>
    <w:p>
      <w:pPr>
        <w:ind w:left="424" w:firstLine="482"/>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2024年3月18日-3月24日</w:t>
      </w:r>
      <w:r>
        <w:rPr>
          <w:rFonts w:ascii="Microsoft YaHei" w:hAnsi="Microsoft YaHei" w:eastAsia="Microsoft YaHei" w:cs="Microsoft YaHei"/>
          <w:sz w:val="24"/>
          <w:szCs w:val="24"/>
          <w:spacing w:val="-27"/>
        </w:rPr>
        <w:t xml:space="preserve"> </w:t>
      </w:r>
      <w:r>
        <w:rPr>
          <w:rFonts w:ascii="Microsoft YaHei" w:hAnsi="Microsoft YaHei" w:eastAsia="Microsoft YaHei" w:cs="Microsoft YaHei"/>
          <w:sz w:val="24"/>
          <w:szCs w:val="24"/>
          <w:spacing w:val="-5"/>
        </w:rPr>
        <w:t>，上交所公司监管部门作出7份监管警示函</w:t>
      </w:r>
      <w:r>
        <w:rPr>
          <w:rFonts w:ascii="Microsoft YaHei" w:hAnsi="Microsoft YaHei" w:eastAsia="Microsoft YaHei" w:cs="Microsoft YaHei"/>
          <w:sz w:val="24"/>
          <w:szCs w:val="24"/>
          <w:spacing w:val="-37"/>
        </w:rPr>
        <w:t xml:space="preserve"> </w:t>
      </w:r>
      <w:r>
        <w:rPr>
          <w:rFonts w:ascii="Microsoft YaHei" w:hAnsi="Microsoft YaHei" w:eastAsia="Microsoft YaHei" w:cs="Microsoft YaHei"/>
          <w:sz w:val="24"/>
          <w:szCs w:val="24"/>
          <w:spacing w:val="-5"/>
        </w:rPr>
        <w:t>，对4宗行为予以纪律处分。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同时，加大信息披露和股价异常的联动监管</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4"/>
        </w:rPr>
        <w:t>，针对公司披露敏感信息或股价发生明显异常的</w:t>
      </w:r>
      <w:r>
        <w:rPr>
          <w:rFonts w:ascii="Microsoft YaHei" w:hAnsi="Microsoft YaHei" w:eastAsia="Microsoft YaHei" w:cs="Microsoft YaHei"/>
          <w:sz w:val="24"/>
          <w:szCs w:val="24"/>
          <w:spacing w:val="-34"/>
        </w:rPr>
        <w:t xml:space="preserve"> </w:t>
      </w:r>
      <w:r>
        <w:rPr>
          <w:rFonts w:ascii="Microsoft YaHei" w:hAnsi="Microsoft YaHei" w:eastAsia="Microsoft YaHei" w:cs="Microsoft YaHei"/>
          <w:sz w:val="24"/>
          <w:szCs w:val="24"/>
          <w:spacing w:val="-4"/>
        </w:rPr>
        <w:t>，提请启 </w:t>
      </w:r>
      <w:r>
        <w:rPr>
          <w:rFonts w:ascii="Microsoft YaHei" w:hAnsi="Microsoft YaHei" w:eastAsia="Microsoft YaHei" w:cs="Microsoft YaHei"/>
          <w:sz w:val="24"/>
          <w:szCs w:val="24"/>
          <w:spacing w:val="-2"/>
        </w:rPr>
        <w:t>动内幕交易、异常交易核查16单。</w:t>
      </w:r>
    </w:p>
    <w:p>
      <w:pPr>
        <w:ind w:firstLine="1606"/>
        <w:spacing w:before="90" w:line="3448" w:lineRule="exact"/>
        <w:rPr/>
      </w:pPr>
      <w:r>
        <w:rPr>
          <w:position w:val="-68"/>
        </w:rPr>
        <w:drawing>
          <wp:inline distT="0" distB="0" distL="0" distR="0">
            <wp:extent cx="5039994" cy="2189480"/>
            <wp:effectExtent l="0" t="0" r="0" b="0"/>
            <wp:docPr id="18" name="IM 18"/>
            <wp:cNvGraphicFramePr/>
            <a:graphic>
              <a:graphicData uri="http://schemas.openxmlformats.org/drawingml/2006/picture">
                <pic:pic>
                  <pic:nvPicPr>
                    <pic:cNvPr id="18" name="IM 18"/>
                    <pic:cNvPicPr/>
                  </pic:nvPicPr>
                  <pic:blipFill>
                    <a:blip r:embed="rId14"/>
                    <a:stretch>
                      <a:fillRect/>
                    </a:stretch>
                  </pic:blipFill>
                  <pic:spPr>
                    <a:xfrm rot="0">
                      <a:off x="0" y="0"/>
                      <a:ext cx="5039994" cy="2189480"/>
                    </a:xfrm>
                    <a:prstGeom prst="rect">
                      <a:avLst/>
                    </a:prstGeom>
                  </pic:spPr>
                </pic:pic>
              </a:graphicData>
            </a:graphic>
          </wp:inline>
        </w:drawing>
      </w:r>
    </w:p>
    <w:p>
      <w:pPr>
        <w:ind w:left="43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1 ）监管措施统计</w:t>
      </w:r>
    </w:p>
    <w:p>
      <w:pPr>
        <w:spacing w:before="2"/>
        <w:rPr/>
      </w:pPr>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C0504D"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1"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6"/>
              <w:spacing w:before="93"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4"/>
              <w:spacing w:before="91" w:line="189" w:lineRule="auto"/>
              <w:rPr/>
            </w:pPr>
            <w:r>
              <w:rPr>
                <w:b/>
                <w:bCs/>
                <w:color w:val="FFFFFF"/>
                <w:spacing w:val="8"/>
              </w:rPr>
              <w:t>违规类型</w:t>
            </w:r>
          </w:p>
        </w:tc>
      </w:tr>
      <w:tr>
        <w:trPr>
          <w:trHeight w:val="2156" w:hRule="atLeast"/>
        </w:trPr>
        <w:tc>
          <w:tcPr>
            <w:shd w:val="clear" w:fill="F2DCDC"/>
            <w:tcW w:w="1276" w:type="dxa"/>
            <w:vAlign w:val="top"/>
            <w:tcBorders>
              <w:top w:val="single" w:color="C0504D" w:sz="10" w:space="0"/>
            </w:tcBorders>
          </w:tcPr>
          <w:p>
            <w:pPr>
              <w:pStyle w:val="TableText"/>
              <w:ind w:left="270"/>
              <w:spacing w:before="92" w:line="178" w:lineRule="auto"/>
              <w:rPr/>
            </w:pPr>
            <w:r>
              <w:rPr>
                <w:spacing w:val="3"/>
              </w:rPr>
              <w:t>600306</w:t>
            </w:r>
          </w:p>
        </w:tc>
        <w:tc>
          <w:tcPr>
            <w:shd w:val="clear" w:fill="F2DCDC"/>
            <w:tcW w:w="1215" w:type="dxa"/>
            <w:vAlign w:val="top"/>
            <w:tcBorders>
              <w:top w:val="single" w:color="C0504D" w:sz="10" w:space="0"/>
            </w:tcBorders>
          </w:tcPr>
          <w:p>
            <w:pPr>
              <w:pStyle w:val="TableText"/>
              <w:ind w:left="226"/>
              <w:spacing w:before="77" w:line="189" w:lineRule="auto"/>
              <w:rPr/>
            </w:pPr>
            <w:r>
              <w:rPr>
                <w:spacing w:val="8"/>
              </w:rPr>
              <w:t>*</w:t>
            </w:r>
            <w:r>
              <w:rPr/>
              <w:t>ST</w:t>
            </w:r>
            <w:r>
              <w:rPr>
                <w:spacing w:val="8"/>
              </w:rPr>
              <w:t>商城</w:t>
            </w:r>
          </w:p>
        </w:tc>
        <w:tc>
          <w:tcPr>
            <w:shd w:val="clear" w:fill="F2DCDC"/>
            <w:tcW w:w="1324" w:type="dxa"/>
            <w:vAlign w:val="top"/>
            <w:tcBorders>
              <w:top w:val="single" w:color="C0504D" w:sz="10" w:space="0"/>
            </w:tcBorders>
          </w:tcPr>
          <w:p>
            <w:pPr>
              <w:pStyle w:val="TableText"/>
              <w:ind w:left="236"/>
              <w:spacing w:before="77" w:line="189" w:lineRule="auto"/>
              <w:rPr/>
            </w:pPr>
            <w:r>
              <w:rPr>
                <w:spacing w:val="8"/>
              </w:rPr>
              <w:t>监管警示</w:t>
            </w:r>
          </w:p>
        </w:tc>
        <w:tc>
          <w:tcPr>
            <w:shd w:val="clear" w:fill="F2DCDC"/>
            <w:tcW w:w="5004" w:type="dxa"/>
            <w:vAlign w:val="top"/>
            <w:tcBorders>
              <w:top w:val="single" w:color="C0504D" w:sz="10" w:space="0"/>
            </w:tcBorders>
          </w:tcPr>
          <w:p>
            <w:pPr>
              <w:pStyle w:val="TableText"/>
              <w:ind w:left="2" w:right="159"/>
              <w:spacing w:before="79" w:line="239" w:lineRule="auto"/>
              <w:jc w:val="both"/>
              <w:rPr/>
            </w:pPr>
            <w:r>
              <w:rPr>
                <w:spacing w:val="9"/>
              </w:rPr>
              <w:t>公司未在被审计年度第四季度结束前完成</w:t>
            </w:r>
            <w:r>
              <w:rPr>
                <w:b/>
                <w:bCs/>
                <w:spacing w:val="9"/>
              </w:rPr>
              <w:t>更换会计师</w:t>
            </w:r>
            <w:r>
              <w:rPr>
                <w:b/>
                <w:bCs/>
                <w:spacing w:val="18"/>
              </w:rPr>
              <w:t xml:space="preserve"> </w:t>
            </w:r>
            <w:r>
              <w:rPr>
                <w:spacing w:val="9"/>
              </w:rPr>
              <w:t>选聘工作；公司</w:t>
            </w:r>
            <w:r>
              <w:rPr>
                <w:b/>
                <w:bCs/>
                <w:spacing w:val="9"/>
              </w:rPr>
              <w:t>审计委员会</w:t>
            </w:r>
            <w:r>
              <w:rPr>
                <w:spacing w:val="9"/>
              </w:rPr>
              <w:t>在对更换会计师事项审议</w:t>
            </w:r>
            <w:r>
              <w:rPr>
                <w:spacing w:val="18"/>
              </w:rPr>
              <w:t xml:space="preserve"> </w:t>
            </w:r>
            <w:r>
              <w:rPr>
                <w:spacing w:val="8"/>
              </w:rPr>
              <w:t>过程中会议召开程序不规范</w:t>
            </w:r>
            <w:r>
              <w:rPr>
                <w:spacing w:val="-18"/>
              </w:rPr>
              <w:t xml:space="preserve"> </w:t>
            </w:r>
            <w:r>
              <w:rPr>
                <w:spacing w:val="8"/>
              </w:rPr>
              <w:t>，担任审计委员会委员的</w:t>
            </w:r>
            <w:r>
              <w:rPr/>
              <w:t xml:space="preserve"> </w:t>
            </w:r>
            <w:r>
              <w:rPr>
                <w:spacing w:val="9"/>
              </w:rPr>
              <w:t>独立董事魏某峰、刘某涛未对公司更换年报审计机构</w:t>
            </w:r>
            <w:r>
              <w:rPr>
                <w:spacing w:val="18"/>
              </w:rPr>
              <w:t xml:space="preserve"> </w:t>
            </w:r>
            <w:r>
              <w:rPr>
                <w:spacing w:val="8"/>
              </w:rPr>
              <w:t>事项保持高度谨慎和关注</w:t>
            </w:r>
            <w:r>
              <w:rPr>
                <w:spacing w:val="-18"/>
              </w:rPr>
              <w:t xml:space="preserve"> </w:t>
            </w:r>
            <w:r>
              <w:rPr>
                <w:spacing w:val="8"/>
              </w:rPr>
              <w:t>，未充分履行勤勉尽责义务</w:t>
            </w:r>
          </w:p>
          <w:p>
            <w:pPr>
              <w:pStyle w:val="TableText"/>
              <w:ind w:left="13"/>
              <w:spacing w:before="240" w:line="117" w:lineRule="exact"/>
              <w:rPr/>
            </w:pPr>
            <w:r>
              <w:rPr>
                <w:position w:val="3"/>
              </w:rPr>
              <w:t>。</w:t>
            </w:r>
          </w:p>
        </w:tc>
      </w:tr>
      <w:tr>
        <w:trPr>
          <w:trHeight w:val="364" w:hRule="atLeast"/>
        </w:trPr>
        <w:tc>
          <w:tcPr>
            <w:tcW w:w="1276" w:type="dxa"/>
            <w:vAlign w:val="top"/>
          </w:tcPr>
          <w:p>
            <w:pPr>
              <w:pStyle w:val="TableText"/>
              <w:ind w:left="270"/>
              <w:spacing w:before="102" w:line="176" w:lineRule="auto"/>
              <w:rPr/>
            </w:pPr>
            <w:r>
              <w:rPr>
                <w:spacing w:val="3"/>
              </w:rPr>
              <w:t>688400</w:t>
            </w:r>
          </w:p>
        </w:tc>
        <w:tc>
          <w:tcPr>
            <w:tcW w:w="1215" w:type="dxa"/>
            <w:vAlign w:val="top"/>
          </w:tcPr>
          <w:p>
            <w:pPr>
              <w:pStyle w:val="TableText"/>
              <w:ind w:left="286"/>
              <w:spacing w:before="89" w:line="185" w:lineRule="auto"/>
              <w:rPr/>
            </w:pPr>
            <w:r>
              <w:rPr>
                <w:spacing w:val="7"/>
              </w:rPr>
              <w:t>凌云光</w:t>
            </w:r>
          </w:p>
        </w:tc>
        <w:tc>
          <w:tcPr>
            <w:tcW w:w="1324" w:type="dxa"/>
            <w:vAlign w:val="top"/>
          </w:tcPr>
          <w:p>
            <w:pPr>
              <w:pStyle w:val="TableText"/>
              <w:ind w:left="236"/>
              <w:spacing w:before="88" w:line="186" w:lineRule="auto"/>
              <w:rPr/>
            </w:pPr>
            <w:r>
              <w:rPr>
                <w:spacing w:val="8"/>
              </w:rPr>
              <w:t>监管警示</w:t>
            </w:r>
          </w:p>
        </w:tc>
        <w:tc>
          <w:tcPr>
            <w:tcW w:w="5004" w:type="dxa"/>
            <w:vAlign w:val="top"/>
          </w:tcPr>
          <w:p>
            <w:pPr>
              <w:pStyle w:val="TableText"/>
              <w:ind w:left="2"/>
              <w:spacing w:before="88" w:line="186" w:lineRule="auto"/>
              <w:rPr/>
            </w:pPr>
            <w:r>
              <w:rPr>
                <w:spacing w:val="9"/>
              </w:rPr>
              <w:t>公司违规</w:t>
            </w:r>
            <w:r>
              <w:rPr>
                <w:b/>
                <w:bCs/>
                <w:spacing w:val="9"/>
              </w:rPr>
              <w:t>向关联方提供资金拆借</w:t>
            </w:r>
            <w:r>
              <w:rPr>
                <w:spacing w:val="9"/>
              </w:rPr>
              <w:t>。</w:t>
            </w:r>
          </w:p>
        </w:tc>
      </w:tr>
      <w:tr>
        <w:trPr>
          <w:trHeight w:val="1442" w:hRule="atLeast"/>
        </w:trPr>
        <w:tc>
          <w:tcPr>
            <w:shd w:val="clear" w:fill="F2DCDC"/>
            <w:tcW w:w="1276" w:type="dxa"/>
            <w:vAlign w:val="top"/>
          </w:tcPr>
          <w:p>
            <w:pPr>
              <w:pStyle w:val="TableText"/>
              <w:ind w:left="270"/>
              <w:spacing w:before="101" w:line="179" w:lineRule="auto"/>
              <w:rPr/>
            </w:pPr>
            <w:r>
              <w:rPr>
                <w:spacing w:val="3"/>
              </w:rPr>
              <w:t>688151</w:t>
            </w:r>
          </w:p>
        </w:tc>
        <w:tc>
          <w:tcPr>
            <w:shd w:val="clear" w:fill="F2DCDC"/>
            <w:tcW w:w="1215" w:type="dxa"/>
            <w:vAlign w:val="top"/>
          </w:tcPr>
          <w:p>
            <w:pPr>
              <w:pStyle w:val="TableText"/>
              <w:ind w:left="179"/>
              <w:spacing w:before="88" w:line="189" w:lineRule="auto"/>
              <w:rPr/>
            </w:pPr>
            <w:r>
              <w:rPr>
                <w:spacing w:val="8"/>
              </w:rPr>
              <w:t>华强科技</w:t>
            </w:r>
          </w:p>
        </w:tc>
        <w:tc>
          <w:tcPr>
            <w:shd w:val="clear" w:fill="F2DCDC"/>
            <w:tcW w:w="1324" w:type="dxa"/>
            <w:vAlign w:val="top"/>
          </w:tcPr>
          <w:p>
            <w:pPr>
              <w:pStyle w:val="TableText"/>
              <w:ind w:left="236"/>
              <w:spacing w:before="88" w:line="189" w:lineRule="auto"/>
              <w:rPr/>
            </w:pPr>
            <w:r>
              <w:rPr>
                <w:spacing w:val="8"/>
              </w:rPr>
              <w:t>监管警示</w:t>
            </w:r>
          </w:p>
        </w:tc>
        <w:tc>
          <w:tcPr>
            <w:shd w:val="clear" w:fill="F2DCDC"/>
            <w:tcW w:w="5004" w:type="dxa"/>
            <w:vAlign w:val="top"/>
          </w:tcPr>
          <w:p>
            <w:pPr>
              <w:pStyle w:val="TableText"/>
              <w:ind w:left="2" w:right="159"/>
              <w:spacing w:before="87" w:line="235" w:lineRule="auto"/>
              <w:jc w:val="both"/>
              <w:rPr/>
            </w:pPr>
            <w:r>
              <w:rPr>
                <w:b/>
                <w:bCs/>
                <w:spacing w:val="9"/>
              </w:rPr>
              <w:t>会计估计变更</w:t>
            </w:r>
            <w:r>
              <w:rPr>
                <w:spacing w:val="9"/>
              </w:rPr>
              <w:t>未履行审议程序及披露义务；部分</w:t>
            </w:r>
            <w:r>
              <w:rPr>
                <w:b/>
                <w:bCs/>
                <w:spacing w:val="9"/>
              </w:rPr>
              <w:t>产品</w:t>
            </w:r>
            <w:r>
              <w:rPr>
                <w:b/>
                <w:bCs/>
                <w:spacing w:val="18"/>
              </w:rPr>
              <w:t xml:space="preserve"> </w:t>
            </w:r>
            <w:r>
              <w:rPr>
                <w:b/>
                <w:bCs/>
                <w:spacing w:val="9"/>
              </w:rPr>
              <w:t>收入确认</w:t>
            </w:r>
            <w:r>
              <w:rPr>
                <w:spacing w:val="9"/>
              </w:rPr>
              <w:t>依据不充分；</w:t>
            </w:r>
            <w:r>
              <w:rPr>
                <w:b/>
                <w:bCs/>
                <w:spacing w:val="9"/>
              </w:rPr>
              <w:t>存货跌价计提</w:t>
            </w:r>
            <w:r>
              <w:rPr>
                <w:spacing w:val="9"/>
              </w:rPr>
              <w:t>不充分；部分</w:t>
            </w:r>
            <w:r>
              <w:rPr>
                <w:b/>
                <w:bCs/>
                <w:spacing w:val="9"/>
              </w:rPr>
              <w:t>成</w:t>
            </w:r>
            <w:r>
              <w:rPr>
                <w:b/>
                <w:bCs/>
                <w:spacing w:val="18"/>
              </w:rPr>
              <w:t xml:space="preserve"> </w:t>
            </w:r>
            <w:r>
              <w:rPr>
                <w:b/>
                <w:bCs/>
                <w:spacing w:val="9"/>
              </w:rPr>
              <w:t>本费用</w:t>
            </w:r>
            <w:r>
              <w:rPr>
                <w:spacing w:val="9"/>
              </w:rPr>
              <w:t>存在跨期；</w:t>
            </w:r>
            <w:r>
              <w:rPr>
                <w:b/>
                <w:bCs/>
                <w:spacing w:val="9"/>
              </w:rPr>
              <w:t>募集资金</w:t>
            </w:r>
            <w:r>
              <w:rPr>
                <w:spacing w:val="9"/>
              </w:rPr>
              <w:t>使用和管理不规范；</w:t>
            </w:r>
            <w:r>
              <w:rPr>
                <w:b/>
                <w:bCs/>
                <w:spacing w:val="9"/>
              </w:rPr>
              <w:t>募集</w:t>
            </w:r>
            <w:r>
              <w:rPr>
                <w:b/>
                <w:bCs/>
                <w:spacing w:val="18"/>
              </w:rPr>
              <w:t xml:space="preserve"> </w:t>
            </w:r>
            <w:r>
              <w:rPr>
                <w:b/>
                <w:bCs/>
                <w:spacing w:val="8"/>
              </w:rPr>
              <w:t>资金</w:t>
            </w:r>
            <w:r>
              <w:rPr>
                <w:spacing w:val="8"/>
              </w:rPr>
              <w:t>相关信息披露不规范。</w:t>
            </w:r>
          </w:p>
        </w:tc>
      </w:tr>
      <w:tr>
        <w:trPr>
          <w:trHeight w:val="1800" w:hRule="atLeast"/>
        </w:trPr>
        <w:tc>
          <w:tcPr>
            <w:tcW w:w="1276" w:type="dxa"/>
            <w:vAlign w:val="top"/>
          </w:tcPr>
          <w:p>
            <w:pPr>
              <w:pStyle w:val="TableText"/>
              <w:ind w:left="270"/>
              <w:spacing w:before="107" w:line="178" w:lineRule="auto"/>
              <w:rPr/>
            </w:pPr>
            <w:r>
              <w:rPr>
                <w:spacing w:val="3"/>
              </w:rPr>
              <w:t>603555</w:t>
            </w:r>
          </w:p>
        </w:tc>
        <w:tc>
          <w:tcPr>
            <w:tcW w:w="1215" w:type="dxa"/>
            <w:vAlign w:val="top"/>
          </w:tcPr>
          <w:p>
            <w:pPr>
              <w:pStyle w:val="TableText"/>
              <w:ind w:left="277"/>
              <w:spacing w:before="94" w:line="188" w:lineRule="auto"/>
              <w:rPr/>
            </w:pPr>
            <w:r>
              <w:rPr/>
              <w:t>ST</w:t>
            </w:r>
            <w:r>
              <w:rPr>
                <w:spacing w:val="8"/>
              </w:rPr>
              <w:t>贵人</w:t>
            </w:r>
          </w:p>
        </w:tc>
        <w:tc>
          <w:tcPr>
            <w:tcW w:w="1324" w:type="dxa"/>
            <w:vAlign w:val="top"/>
          </w:tcPr>
          <w:p>
            <w:pPr>
              <w:pStyle w:val="TableText"/>
              <w:ind w:left="234"/>
              <w:spacing w:before="94" w:line="188" w:lineRule="auto"/>
              <w:rPr/>
            </w:pPr>
            <w:r>
              <w:rPr>
                <w:spacing w:val="8"/>
              </w:rPr>
              <w:t>通报批评</w:t>
            </w:r>
          </w:p>
        </w:tc>
        <w:tc>
          <w:tcPr>
            <w:tcW w:w="5004" w:type="dxa"/>
            <w:vAlign w:val="top"/>
          </w:tcPr>
          <w:p>
            <w:pPr>
              <w:pStyle w:val="TableText"/>
              <w:ind w:left="1" w:right="159" w:firstLine="1"/>
              <w:spacing w:before="95" w:line="237" w:lineRule="auto"/>
              <w:jc w:val="both"/>
              <w:rPr/>
            </w:pPr>
            <w:r>
              <w:rPr>
                <w:spacing w:val="7"/>
              </w:rPr>
              <w:t>公司连续多年发生</w:t>
            </w:r>
            <w:r>
              <w:rPr>
                <w:b/>
                <w:bCs/>
                <w:spacing w:val="7"/>
              </w:rPr>
              <w:t>日常关联交易</w:t>
            </w:r>
            <w:r>
              <w:rPr>
                <w:b/>
                <w:bCs/>
                <w:spacing w:val="-26"/>
              </w:rPr>
              <w:t xml:space="preserve"> </w:t>
            </w:r>
            <w:r>
              <w:rPr>
                <w:spacing w:val="7"/>
              </w:rPr>
              <w:t>，涉及金额巨大</w:t>
            </w:r>
            <w:r>
              <w:rPr>
                <w:spacing w:val="-28"/>
              </w:rPr>
              <w:t xml:space="preserve"> </w:t>
            </w:r>
            <w:r>
              <w:rPr>
                <w:spacing w:val="7"/>
              </w:rPr>
              <w:t>，未</w:t>
            </w:r>
            <w:r>
              <w:rPr/>
              <w:t xml:space="preserve"> </w:t>
            </w:r>
            <w:r>
              <w:rPr>
                <w:spacing w:val="10"/>
              </w:rPr>
              <w:t>及时披露相关关联交易并履行董事会、股东</w:t>
            </w:r>
            <w:r>
              <w:rPr>
                <w:spacing w:val="9"/>
              </w:rPr>
              <w:t>大会审议</w:t>
            </w:r>
            <w:r>
              <w:rPr/>
              <w:t xml:space="preserve"> </w:t>
            </w:r>
            <w:r>
              <w:rPr>
                <w:spacing w:val="8"/>
              </w:rPr>
              <w:t>程序</w:t>
            </w:r>
            <w:r>
              <w:rPr>
                <w:spacing w:val="-17"/>
              </w:rPr>
              <w:t xml:space="preserve"> </w:t>
            </w:r>
            <w:r>
              <w:rPr>
                <w:spacing w:val="8"/>
              </w:rPr>
              <w:t>，且在该事项导致公司财务报告被</w:t>
            </w:r>
            <w:r>
              <w:rPr>
                <w:b/>
                <w:bCs/>
                <w:spacing w:val="8"/>
              </w:rPr>
              <w:t>出具保留意见</w:t>
            </w:r>
            <w:r>
              <w:rPr>
                <w:b/>
                <w:bCs/>
              </w:rPr>
              <w:t xml:space="preserve"> </w:t>
            </w:r>
            <w:r>
              <w:rPr>
                <w:spacing w:val="8"/>
              </w:rPr>
              <w:t>、</w:t>
            </w:r>
            <w:r>
              <w:rPr>
                <w:spacing w:val="-17"/>
              </w:rPr>
              <w:t xml:space="preserve"> </w:t>
            </w:r>
            <w:r>
              <w:rPr>
                <w:spacing w:val="8"/>
              </w:rPr>
              <w:t>内部控制被出具</w:t>
            </w:r>
            <w:r>
              <w:rPr>
                <w:b/>
                <w:bCs/>
                <w:spacing w:val="8"/>
              </w:rPr>
              <w:t>否定意见</w:t>
            </w:r>
            <w:r>
              <w:rPr>
                <w:spacing w:val="8"/>
              </w:rPr>
              <w:t>、本所督促核实披露的情</w:t>
            </w:r>
            <w:r>
              <w:rPr/>
              <w:t xml:space="preserve"> </w:t>
            </w:r>
            <w:r>
              <w:rPr>
                <w:spacing w:val="6"/>
              </w:rPr>
              <w:t>况下</w:t>
            </w:r>
            <w:r>
              <w:rPr>
                <w:spacing w:val="-17"/>
              </w:rPr>
              <w:t xml:space="preserve"> </w:t>
            </w:r>
            <w:r>
              <w:rPr>
                <w:spacing w:val="6"/>
              </w:rPr>
              <w:t>，仍未如实披露相关情况。</w:t>
            </w:r>
          </w:p>
        </w:tc>
      </w:tr>
      <w:tr>
        <w:trPr>
          <w:trHeight w:val="1801" w:hRule="atLeast"/>
        </w:trPr>
        <w:tc>
          <w:tcPr>
            <w:shd w:val="clear" w:fill="F2DCDC"/>
            <w:tcW w:w="1276" w:type="dxa"/>
            <w:vAlign w:val="top"/>
          </w:tcPr>
          <w:p>
            <w:pPr>
              <w:pStyle w:val="TableText"/>
              <w:ind w:left="270"/>
              <w:spacing w:before="114" w:line="178" w:lineRule="auto"/>
              <w:rPr/>
            </w:pPr>
            <w:r>
              <w:rPr>
                <w:spacing w:val="3"/>
              </w:rPr>
              <w:t>603555</w:t>
            </w:r>
          </w:p>
        </w:tc>
        <w:tc>
          <w:tcPr>
            <w:shd w:val="clear" w:fill="F2DCDC"/>
            <w:tcW w:w="1215" w:type="dxa"/>
            <w:vAlign w:val="top"/>
          </w:tcPr>
          <w:p>
            <w:pPr>
              <w:pStyle w:val="TableText"/>
              <w:ind w:left="277"/>
              <w:spacing w:before="101" w:line="188" w:lineRule="auto"/>
              <w:rPr/>
            </w:pPr>
            <w:r>
              <w:rPr/>
              <w:t>ST</w:t>
            </w:r>
            <w:r>
              <w:rPr>
                <w:spacing w:val="8"/>
              </w:rPr>
              <w:t>贵人</w:t>
            </w:r>
          </w:p>
        </w:tc>
        <w:tc>
          <w:tcPr>
            <w:shd w:val="clear" w:fill="F2DCDC"/>
            <w:tcW w:w="1324" w:type="dxa"/>
            <w:vAlign w:val="top"/>
          </w:tcPr>
          <w:p>
            <w:pPr>
              <w:pStyle w:val="TableText"/>
              <w:ind w:left="234"/>
              <w:spacing w:before="101" w:line="188" w:lineRule="auto"/>
              <w:rPr/>
            </w:pPr>
            <w:r>
              <w:rPr>
                <w:spacing w:val="8"/>
              </w:rPr>
              <w:t>通报批评</w:t>
            </w:r>
          </w:p>
        </w:tc>
        <w:tc>
          <w:tcPr>
            <w:shd w:val="clear" w:fill="F2DCDC"/>
            <w:tcW w:w="5004" w:type="dxa"/>
            <w:vAlign w:val="top"/>
          </w:tcPr>
          <w:p>
            <w:pPr>
              <w:pStyle w:val="TableText"/>
              <w:ind w:left="2" w:right="123"/>
              <w:spacing w:before="100" w:line="236" w:lineRule="auto"/>
              <w:jc w:val="both"/>
              <w:rPr/>
            </w:pPr>
            <w:r>
              <w:rPr>
                <w:spacing w:val="8"/>
              </w:rPr>
              <w:t>公司控股股东面向全市场披露</w:t>
            </w:r>
            <w:r>
              <w:rPr>
                <w:b/>
                <w:bCs/>
                <w:spacing w:val="8"/>
              </w:rPr>
              <w:t>增持股份计划</w:t>
            </w:r>
            <w:r>
              <w:rPr>
                <w:b/>
                <w:bCs/>
                <w:spacing w:val="-26"/>
              </w:rPr>
              <w:t xml:space="preserve"> </w:t>
            </w:r>
            <w:r>
              <w:rPr>
                <w:spacing w:val="8"/>
              </w:rPr>
              <w:t>，</w:t>
            </w:r>
            <w:r>
              <w:rPr>
                <w:spacing w:val="7"/>
              </w:rPr>
              <w:t>是其作 </w:t>
            </w:r>
            <w:r>
              <w:rPr>
                <w:spacing w:val="8"/>
              </w:rPr>
              <w:t>出的公开承诺</w:t>
            </w:r>
            <w:r>
              <w:rPr>
                <w:spacing w:val="-25"/>
              </w:rPr>
              <w:t xml:space="preserve"> </w:t>
            </w:r>
            <w:r>
              <w:rPr>
                <w:spacing w:val="8"/>
              </w:rPr>
              <w:t>，为市场高度关注的重大事项。</w:t>
            </w:r>
            <w:r>
              <w:rPr>
                <w:spacing w:val="7"/>
              </w:rPr>
              <w:t>公司控 </w:t>
            </w:r>
            <w:r>
              <w:rPr>
                <w:spacing w:val="8"/>
              </w:rPr>
              <w:t>股股东泰富金谷未按计划实施增持行为</w:t>
            </w:r>
            <w:r>
              <w:rPr>
                <w:spacing w:val="-28"/>
              </w:rPr>
              <w:t xml:space="preserve"> </w:t>
            </w:r>
            <w:r>
              <w:rPr>
                <w:spacing w:val="8"/>
              </w:rPr>
              <w:t>，与其前期披 </w:t>
            </w:r>
            <w:r>
              <w:rPr>
                <w:spacing w:val="8"/>
              </w:rPr>
              <w:t>露的增持计划不一致</w:t>
            </w:r>
            <w:r>
              <w:rPr>
                <w:spacing w:val="-25"/>
              </w:rPr>
              <w:t xml:space="preserve"> </w:t>
            </w:r>
            <w:r>
              <w:rPr>
                <w:spacing w:val="8"/>
              </w:rPr>
              <w:t>，且延期后截至3月5日仍未增持</w:t>
            </w:r>
          </w:p>
          <w:p>
            <w:pPr>
              <w:pStyle w:val="TableText"/>
              <w:ind w:left="13"/>
              <w:spacing w:before="238" w:line="103" w:lineRule="exact"/>
              <w:rPr/>
            </w:pPr>
            <w:r>
              <w:rPr>
                <w:position w:val="3"/>
              </w:rPr>
              <w:t>。</w:t>
            </w:r>
          </w:p>
        </w:tc>
      </w:tr>
      <w:tr>
        <w:trPr>
          <w:trHeight w:val="723" w:hRule="atLeast"/>
        </w:trPr>
        <w:tc>
          <w:tcPr>
            <w:tcW w:w="1276" w:type="dxa"/>
            <w:vAlign w:val="top"/>
          </w:tcPr>
          <w:p>
            <w:pPr>
              <w:pStyle w:val="TableText"/>
              <w:ind w:left="270"/>
              <w:spacing w:before="118" w:line="179" w:lineRule="auto"/>
              <w:rPr/>
            </w:pPr>
            <w:r>
              <w:rPr>
                <w:spacing w:val="3"/>
              </w:rPr>
              <w:t>600117</w:t>
            </w:r>
          </w:p>
        </w:tc>
        <w:tc>
          <w:tcPr>
            <w:tcW w:w="1215" w:type="dxa"/>
            <w:vAlign w:val="top"/>
          </w:tcPr>
          <w:p>
            <w:pPr>
              <w:pStyle w:val="TableText"/>
              <w:ind w:left="226"/>
              <w:spacing w:before="106" w:line="188" w:lineRule="auto"/>
              <w:rPr/>
            </w:pPr>
            <w:r>
              <w:rPr>
                <w:spacing w:val="8"/>
              </w:rPr>
              <w:t>*</w:t>
            </w:r>
            <w:r>
              <w:rPr/>
              <w:t>ST</w:t>
            </w:r>
            <w:r>
              <w:rPr>
                <w:spacing w:val="8"/>
              </w:rPr>
              <w:t>西钢</w:t>
            </w:r>
          </w:p>
        </w:tc>
        <w:tc>
          <w:tcPr>
            <w:tcW w:w="1324" w:type="dxa"/>
            <w:vAlign w:val="top"/>
          </w:tcPr>
          <w:p>
            <w:pPr>
              <w:pStyle w:val="TableText"/>
              <w:ind w:left="236"/>
              <w:spacing w:before="105" w:line="189" w:lineRule="auto"/>
              <w:rPr/>
            </w:pPr>
            <w:r>
              <w:rPr>
                <w:spacing w:val="8"/>
              </w:rPr>
              <w:t>监管警示</w:t>
            </w:r>
          </w:p>
        </w:tc>
        <w:tc>
          <w:tcPr>
            <w:tcW w:w="5004" w:type="dxa"/>
            <w:vAlign w:val="top"/>
          </w:tcPr>
          <w:p>
            <w:pPr>
              <w:pStyle w:val="TableText"/>
              <w:ind w:left="2" w:right="15"/>
              <w:spacing w:before="103" w:line="213" w:lineRule="auto"/>
              <w:rPr/>
            </w:pPr>
            <w:r>
              <w:rPr>
                <w:spacing w:val="8"/>
              </w:rPr>
              <w:t>公司2018年至2023年定期报告中</w:t>
            </w:r>
            <w:r>
              <w:rPr>
                <w:b/>
                <w:bCs/>
                <w:spacing w:val="8"/>
              </w:rPr>
              <w:t>数据增长率</w:t>
            </w:r>
            <w:r>
              <w:rPr>
                <w:spacing w:val="8"/>
              </w:rPr>
              <w:t>相关信息</w:t>
            </w:r>
            <w:r>
              <w:rPr>
                <w:spacing w:val="15"/>
              </w:rPr>
              <w:t xml:space="preserve"> </w:t>
            </w:r>
            <w:r>
              <w:rPr>
                <w:spacing w:val="7"/>
              </w:rPr>
              <w:t>披露不准确。</w:t>
            </w:r>
          </w:p>
        </w:tc>
      </w:tr>
      <w:tr>
        <w:trPr>
          <w:trHeight w:val="371" w:hRule="atLeast"/>
        </w:trPr>
        <w:tc>
          <w:tcPr>
            <w:shd w:val="clear" w:fill="F2DCDC"/>
            <w:tcW w:w="1276" w:type="dxa"/>
            <w:vAlign w:val="top"/>
          </w:tcPr>
          <w:p>
            <w:pPr>
              <w:pStyle w:val="TableText"/>
              <w:ind w:left="270"/>
              <w:spacing w:before="120" w:line="168" w:lineRule="auto"/>
              <w:rPr/>
            </w:pPr>
            <w:r>
              <w:rPr>
                <w:spacing w:val="3"/>
              </w:rPr>
              <w:t>688086</w:t>
            </w:r>
          </w:p>
        </w:tc>
        <w:tc>
          <w:tcPr>
            <w:shd w:val="clear" w:fill="F2DCDC"/>
            <w:tcW w:w="1215" w:type="dxa"/>
            <w:vAlign w:val="top"/>
          </w:tcPr>
          <w:p>
            <w:pPr>
              <w:pStyle w:val="TableText"/>
              <w:ind w:left="177"/>
              <w:spacing w:before="105" w:line="179" w:lineRule="auto"/>
              <w:rPr/>
            </w:pPr>
            <w:r>
              <w:rPr>
                <w:spacing w:val="8"/>
              </w:rPr>
              <w:t>退市紫晶</w:t>
            </w:r>
          </w:p>
        </w:tc>
        <w:tc>
          <w:tcPr>
            <w:shd w:val="clear" w:fill="F2DCDC"/>
            <w:tcW w:w="1324" w:type="dxa"/>
            <w:vAlign w:val="top"/>
          </w:tcPr>
          <w:p>
            <w:pPr>
              <w:pStyle w:val="TableText"/>
              <w:ind w:left="234"/>
              <w:spacing w:before="109" w:line="176" w:lineRule="auto"/>
              <w:rPr/>
            </w:pPr>
            <w:r>
              <w:rPr>
                <w:spacing w:val="8"/>
              </w:rPr>
              <w:t>公开谴责</w:t>
            </w:r>
          </w:p>
        </w:tc>
        <w:tc>
          <w:tcPr>
            <w:shd w:val="clear" w:fill="F2DCDC"/>
            <w:tcW w:w="5004" w:type="dxa"/>
            <w:vAlign w:val="top"/>
          </w:tcPr>
          <w:p>
            <w:pPr>
              <w:pStyle w:val="TableText"/>
              <w:ind w:left="2"/>
              <w:spacing w:before="105" w:line="179" w:lineRule="auto"/>
              <w:rPr/>
            </w:pPr>
            <w:r>
              <w:rPr>
                <w:spacing w:val="8"/>
              </w:rPr>
              <w:t>公司未在法定期限内披露公司2022年</w:t>
            </w:r>
            <w:r>
              <w:rPr>
                <w:b/>
                <w:bCs/>
                <w:spacing w:val="8"/>
              </w:rPr>
              <w:t>年度报告</w:t>
            </w:r>
            <w:r>
              <w:rPr>
                <w:spacing w:val="8"/>
              </w:rPr>
              <w:t>。</w:t>
            </w:r>
          </w:p>
        </w:tc>
      </w:tr>
    </w:tbl>
    <w:p>
      <w:pPr>
        <w:pStyle w:val="BodyText"/>
        <w:spacing w:line="14" w:lineRule="auto"/>
        <w:rPr>
          <w:sz w:val="2"/>
        </w:rPr>
      </w:pPr>
      <w:r/>
    </w:p>
    <w:p>
      <w:pPr>
        <w:spacing w:line="14" w:lineRule="auto"/>
        <w:sectPr>
          <w:pgSz w:w="11910" w:h="16840"/>
          <w:pgMar w:top="374" w:right="508" w:bottom="195" w:left="463" w:header="0" w:footer="0" w:gutter="0"/>
        </w:sectPr>
        <w:rPr>
          <w:sz w:val="2"/>
          <w:szCs w:val="2"/>
        </w:rPr>
      </w:pPr>
    </w:p>
    <w:tbl>
      <w:tblPr>
        <w:tblStyle w:val="TableNormal"/>
        <w:tblW w:w="8819" w:type="dxa"/>
        <w:tblInd w:w="78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1102" w:hRule="atLeast"/>
        </w:trPr>
        <w:tc>
          <w:tcPr>
            <w:tcW w:w="1276" w:type="dxa"/>
            <w:vAlign w:val="top"/>
            <w:tcBorders>
              <w:top w:val="single" w:color="C0504D" w:sz="2" w:space="0"/>
            </w:tcBorders>
          </w:tcPr>
          <w:p>
            <w:pPr>
              <w:pStyle w:val="TableText"/>
              <w:ind w:left="270"/>
              <w:spacing w:before="117" w:line="178" w:lineRule="auto"/>
              <w:rPr/>
            </w:pPr>
            <w:r>
              <w:rPr>
                <w:spacing w:val="3"/>
              </w:rPr>
              <w:t>600083</w:t>
            </w:r>
          </w:p>
        </w:tc>
        <w:tc>
          <w:tcPr>
            <w:tcW w:w="1215" w:type="dxa"/>
            <w:vAlign w:val="top"/>
            <w:tcBorders>
              <w:top w:val="single" w:color="C0504D" w:sz="2" w:space="0"/>
            </w:tcBorders>
          </w:tcPr>
          <w:p>
            <w:pPr>
              <w:pStyle w:val="TableText"/>
              <w:ind w:left="178"/>
              <w:spacing w:before="102" w:line="189" w:lineRule="auto"/>
              <w:rPr/>
            </w:pPr>
            <w:r>
              <w:rPr>
                <w:spacing w:val="8"/>
              </w:rPr>
              <w:t>博信股份</w:t>
            </w:r>
          </w:p>
        </w:tc>
        <w:tc>
          <w:tcPr>
            <w:tcW w:w="1324" w:type="dxa"/>
            <w:vAlign w:val="top"/>
            <w:tcBorders>
              <w:top w:val="single" w:color="C0504D" w:sz="2" w:space="0"/>
            </w:tcBorders>
          </w:tcPr>
          <w:p>
            <w:pPr>
              <w:pStyle w:val="TableText"/>
              <w:ind w:left="236"/>
              <w:spacing w:before="102" w:line="189" w:lineRule="auto"/>
              <w:rPr/>
            </w:pPr>
            <w:r>
              <w:rPr>
                <w:spacing w:val="8"/>
              </w:rPr>
              <w:t>监管警示</w:t>
            </w:r>
          </w:p>
        </w:tc>
        <w:tc>
          <w:tcPr>
            <w:tcW w:w="5004" w:type="dxa"/>
            <w:vAlign w:val="top"/>
            <w:tcBorders>
              <w:top w:val="single" w:color="C0504D" w:sz="2" w:space="0"/>
            </w:tcBorders>
          </w:tcPr>
          <w:p>
            <w:pPr>
              <w:pStyle w:val="TableText"/>
              <w:ind w:left="2" w:right="37"/>
              <w:spacing w:before="101" w:line="231" w:lineRule="auto"/>
              <w:rPr/>
            </w:pPr>
            <w:r>
              <w:rPr>
                <w:spacing w:val="9"/>
              </w:rPr>
              <w:t>在华为等相关概念处于当前市场高度关注的热点时期</w:t>
            </w:r>
            <w:r>
              <w:rPr>
                <w:spacing w:val="6"/>
              </w:rPr>
              <w:t xml:space="preserve">   </w:t>
            </w:r>
            <w:r>
              <w:rPr>
                <w:spacing w:val="9"/>
              </w:rPr>
              <w:t>,  公司在</w:t>
            </w:r>
            <w:r>
              <w:rPr>
                <w:b/>
                <w:bCs/>
                <w:spacing w:val="9"/>
              </w:rPr>
              <w:t>上证e互动</w:t>
            </w:r>
            <w:r>
              <w:rPr>
                <w:spacing w:val="9"/>
              </w:rPr>
              <w:t>发布经营信息涉及华为</w:t>
            </w:r>
            <w:r>
              <w:rPr>
                <w:spacing w:val="-25"/>
              </w:rPr>
              <w:t xml:space="preserve"> </w:t>
            </w:r>
            <w:r>
              <w:rPr>
                <w:spacing w:val="9"/>
              </w:rPr>
              <w:t>，但</w:t>
            </w:r>
            <w:r>
              <w:rPr>
                <w:spacing w:val="8"/>
              </w:rPr>
              <w:t>相关信</w:t>
            </w:r>
            <w:r>
              <w:rPr/>
              <w:t xml:space="preserve"> </w:t>
            </w:r>
            <w:r>
              <w:rPr>
                <w:spacing w:val="8"/>
              </w:rPr>
              <w:t>息不完整、风险提示不充分。</w:t>
            </w:r>
          </w:p>
        </w:tc>
      </w:tr>
      <w:tr>
        <w:trPr>
          <w:trHeight w:val="1442" w:hRule="atLeast"/>
        </w:trPr>
        <w:tc>
          <w:tcPr>
            <w:shd w:val="clear" w:fill="F2DCDC"/>
            <w:tcW w:w="1276" w:type="dxa"/>
            <w:vAlign w:val="top"/>
          </w:tcPr>
          <w:p>
            <w:pPr>
              <w:pStyle w:val="TableText"/>
              <w:ind w:left="270"/>
              <w:spacing w:before="98" w:line="179" w:lineRule="auto"/>
              <w:rPr/>
            </w:pPr>
            <w:r>
              <w:rPr>
                <w:spacing w:val="3"/>
              </w:rPr>
              <w:t>600671</w:t>
            </w:r>
          </w:p>
        </w:tc>
        <w:tc>
          <w:tcPr>
            <w:shd w:val="clear" w:fill="F2DCDC"/>
            <w:tcW w:w="1215" w:type="dxa"/>
            <w:vAlign w:val="top"/>
          </w:tcPr>
          <w:p>
            <w:pPr>
              <w:pStyle w:val="TableText"/>
              <w:ind w:left="226"/>
              <w:spacing w:before="86" w:line="188" w:lineRule="auto"/>
              <w:rPr/>
            </w:pPr>
            <w:r>
              <w:rPr>
                <w:spacing w:val="8"/>
              </w:rPr>
              <w:t>*</w:t>
            </w:r>
            <w:r>
              <w:rPr/>
              <w:t>ST</w:t>
            </w:r>
            <w:r>
              <w:rPr>
                <w:spacing w:val="8"/>
              </w:rPr>
              <w:t>目药</w:t>
            </w:r>
          </w:p>
        </w:tc>
        <w:tc>
          <w:tcPr>
            <w:shd w:val="clear" w:fill="F2DCDC"/>
            <w:tcW w:w="1324" w:type="dxa"/>
            <w:vAlign w:val="top"/>
          </w:tcPr>
          <w:p>
            <w:pPr>
              <w:pStyle w:val="TableText"/>
              <w:ind w:left="234"/>
              <w:spacing w:before="86" w:line="188" w:lineRule="auto"/>
              <w:rPr/>
            </w:pPr>
            <w:r>
              <w:rPr>
                <w:spacing w:val="8"/>
              </w:rPr>
              <w:t>通报批评</w:t>
            </w:r>
          </w:p>
        </w:tc>
        <w:tc>
          <w:tcPr>
            <w:shd w:val="clear" w:fill="F2DCDC"/>
            <w:tcW w:w="5004" w:type="dxa"/>
            <w:vAlign w:val="top"/>
          </w:tcPr>
          <w:p>
            <w:pPr>
              <w:pStyle w:val="TableText"/>
              <w:ind w:left="1" w:right="159" w:firstLine="1"/>
              <w:spacing w:before="82" w:line="236" w:lineRule="auto"/>
              <w:jc w:val="both"/>
              <w:rPr/>
            </w:pPr>
            <w:r>
              <w:rPr>
                <w:spacing w:val="8"/>
              </w:rPr>
              <w:t>公司</w:t>
            </w:r>
            <w:r>
              <w:rPr>
                <w:b/>
                <w:bCs/>
                <w:spacing w:val="8"/>
              </w:rPr>
              <w:t>为时任董事兼总经理的借款提供关联担保</w:t>
            </w:r>
            <w:r>
              <w:rPr>
                <w:b/>
                <w:bCs/>
                <w:spacing w:val="-19"/>
              </w:rPr>
              <w:t xml:space="preserve"> </w:t>
            </w:r>
            <w:r>
              <w:rPr>
                <w:spacing w:val="8"/>
              </w:rPr>
              <w:t>，但未</w:t>
            </w:r>
            <w:r>
              <w:rPr/>
              <w:t xml:space="preserve"> </w:t>
            </w:r>
            <w:r>
              <w:rPr>
                <w:spacing w:val="10"/>
              </w:rPr>
              <w:t>按规定履行董事会、股东大会决策程序和信</w:t>
            </w:r>
            <w:r>
              <w:rPr>
                <w:spacing w:val="9"/>
              </w:rPr>
              <w:t>息披露义</w:t>
            </w:r>
            <w:r>
              <w:rPr/>
              <w:t xml:space="preserve"> </w:t>
            </w:r>
            <w:r>
              <w:rPr>
                <w:spacing w:val="8"/>
              </w:rPr>
              <w:t>务</w:t>
            </w:r>
            <w:r>
              <w:rPr>
                <w:spacing w:val="-17"/>
              </w:rPr>
              <w:t xml:space="preserve"> </w:t>
            </w:r>
            <w:r>
              <w:rPr>
                <w:spacing w:val="8"/>
              </w:rPr>
              <w:t>，且相关担保事项涉诉后仍未及时履行信息披露义</w:t>
            </w:r>
            <w:r>
              <w:rPr/>
              <w:t xml:space="preserve"> </w:t>
            </w:r>
            <w:r>
              <w:rPr>
                <w:spacing w:val="3"/>
              </w:rPr>
              <w:t>务。</w:t>
            </w:r>
          </w:p>
        </w:tc>
      </w:tr>
      <w:tr>
        <w:trPr>
          <w:trHeight w:val="1801" w:hRule="atLeast"/>
        </w:trPr>
        <w:tc>
          <w:tcPr>
            <w:tcW w:w="1276" w:type="dxa"/>
            <w:vAlign w:val="top"/>
          </w:tcPr>
          <w:p>
            <w:pPr>
              <w:pStyle w:val="TableText"/>
              <w:ind w:left="270"/>
              <w:spacing w:before="102" w:line="179" w:lineRule="auto"/>
              <w:rPr/>
            </w:pPr>
            <w:r>
              <w:rPr>
                <w:spacing w:val="3"/>
              </w:rPr>
              <w:t>603001</w:t>
            </w:r>
          </w:p>
        </w:tc>
        <w:tc>
          <w:tcPr>
            <w:tcW w:w="1215" w:type="dxa"/>
            <w:vAlign w:val="top"/>
          </w:tcPr>
          <w:p>
            <w:pPr>
              <w:pStyle w:val="TableText"/>
              <w:ind w:left="277"/>
              <w:spacing w:before="89" w:line="189" w:lineRule="auto"/>
              <w:rPr/>
            </w:pPr>
            <w:r>
              <w:rPr/>
              <w:t>ST</w:t>
            </w:r>
            <w:r>
              <w:rPr>
                <w:spacing w:val="8"/>
              </w:rPr>
              <w:t>奥康</w:t>
            </w:r>
          </w:p>
        </w:tc>
        <w:tc>
          <w:tcPr>
            <w:tcW w:w="1324" w:type="dxa"/>
            <w:vAlign w:val="top"/>
          </w:tcPr>
          <w:p>
            <w:pPr>
              <w:pStyle w:val="TableText"/>
              <w:ind w:left="236"/>
              <w:spacing w:before="89" w:line="189" w:lineRule="auto"/>
              <w:rPr/>
            </w:pPr>
            <w:r>
              <w:rPr>
                <w:spacing w:val="8"/>
              </w:rPr>
              <w:t>监管警示</w:t>
            </w:r>
          </w:p>
        </w:tc>
        <w:tc>
          <w:tcPr>
            <w:tcW w:w="5004" w:type="dxa"/>
            <w:vAlign w:val="top"/>
          </w:tcPr>
          <w:p>
            <w:pPr>
              <w:pStyle w:val="TableText"/>
              <w:ind w:left="1" w:right="152" w:firstLine="1"/>
              <w:spacing w:before="89" w:line="238" w:lineRule="auto"/>
              <w:rPr/>
            </w:pPr>
            <w:r>
              <w:rPr>
                <w:spacing w:val="7"/>
              </w:rPr>
              <w:t>公司在2021年年报、</w:t>
            </w:r>
            <w:r>
              <w:rPr>
                <w:spacing w:val="-30"/>
              </w:rPr>
              <w:t xml:space="preserve"> </w:t>
            </w:r>
            <w:r>
              <w:rPr>
                <w:spacing w:val="7"/>
              </w:rPr>
              <w:t>2022年年报和2023年半年报中</w:t>
            </w:r>
            <w:r>
              <w:rPr/>
              <w:t xml:space="preserve"> </w:t>
            </w:r>
            <w:r>
              <w:rPr>
                <w:spacing w:val="7"/>
              </w:rPr>
              <w:t>未按规定披露关联方</w:t>
            </w:r>
            <w:r>
              <w:rPr>
                <w:b/>
                <w:bCs/>
                <w:spacing w:val="7"/>
              </w:rPr>
              <w:t>非经营性资金占用</w:t>
            </w:r>
            <w:r>
              <w:rPr>
                <w:spacing w:val="7"/>
              </w:rPr>
              <w:t>情况。</w:t>
            </w:r>
            <w:r>
              <w:rPr>
                <w:spacing w:val="-18"/>
              </w:rPr>
              <w:t xml:space="preserve"> </w:t>
            </w:r>
            <w:r>
              <w:rPr>
                <w:spacing w:val="7"/>
              </w:rPr>
              <w:t>目前</w:t>
            </w:r>
            <w:r>
              <w:rPr>
                <w:spacing w:val="-28"/>
              </w:rPr>
              <w:t xml:space="preserve"> </w:t>
            </w:r>
            <w:r>
              <w:rPr>
                <w:spacing w:val="7"/>
              </w:rPr>
              <w:t>，</w:t>
            </w:r>
            <w:r>
              <w:rPr/>
              <w:t xml:space="preserve"> </w:t>
            </w:r>
            <w:r>
              <w:rPr>
                <w:spacing w:val="10"/>
              </w:rPr>
              <w:t>相关资金占用款项已归还。公司资金支付、</w:t>
            </w:r>
            <w:r>
              <w:rPr>
                <w:spacing w:val="9"/>
              </w:rPr>
              <w:t>经销商管</w:t>
            </w:r>
            <w:r>
              <w:rPr/>
              <w:t xml:space="preserve"> </w:t>
            </w:r>
            <w:r>
              <w:rPr>
                <w:spacing w:val="8"/>
              </w:rPr>
              <w:t>理相关</w:t>
            </w:r>
            <w:r>
              <w:rPr>
                <w:b/>
                <w:bCs/>
                <w:spacing w:val="8"/>
              </w:rPr>
              <w:t>内部控制</w:t>
            </w:r>
            <w:r>
              <w:rPr>
                <w:spacing w:val="8"/>
              </w:rPr>
              <w:t>存在缺陷</w:t>
            </w:r>
            <w:r>
              <w:rPr>
                <w:spacing w:val="-17"/>
              </w:rPr>
              <w:t xml:space="preserve"> </w:t>
            </w:r>
            <w:r>
              <w:rPr>
                <w:spacing w:val="8"/>
              </w:rPr>
              <w:t>，奥康集团有限公司与公司</w:t>
            </w:r>
            <w:r>
              <w:rPr/>
              <w:t xml:space="preserve"> </w:t>
            </w:r>
            <w:r>
              <w:rPr>
                <w:spacing w:val="8"/>
              </w:rPr>
              <w:t>的财务人员存在混同。</w:t>
            </w:r>
          </w:p>
        </w:tc>
      </w:tr>
      <w:tr>
        <w:trPr>
          <w:trHeight w:val="1092" w:hRule="atLeast"/>
        </w:trPr>
        <w:tc>
          <w:tcPr>
            <w:shd w:val="clear" w:fill="F2DCDC"/>
            <w:tcW w:w="1276" w:type="dxa"/>
            <w:vAlign w:val="top"/>
          </w:tcPr>
          <w:p>
            <w:pPr>
              <w:pStyle w:val="TableText"/>
              <w:ind w:left="270"/>
              <w:spacing w:before="107" w:line="178" w:lineRule="auto"/>
              <w:rPr/>
            </w:pPr>
            <w:r>
              <w:rPr>
                <w:spacing w:val="3"/>
              </w:rPr>
              <w:t>603955</w:t>
            </w:r>
          </w:p>
        </w:tc>
        <w:tc>
          <w:tcPr>
            <w:shd w:val="clear" w:fill="F2DCDC"/>
            <w:tcW w:w="1215" w:type="dxa"/>
            <w:vAlign w:val="top"/>
          </w:tcPr>
          <w:p>
            <w:pPr>
              <w:pStyle w:val="TableText"/>
              <w:ind w:left="178"/>
              <w:spacing w:before="92" w:line="189" w:lineRule="auto"/>
              <w:rPr/>
            </w:pPr>
            <w:r>
              <w:rPr>
                <w:spacing w:val="8"/>
              </w:rPr>
              <w:t>大千生态</w:t>
            </w:r>
          </w:p>
        </w:tc>
        <w:tc>
          <w:tcPr>
            <w:shd w:val="clear" w:fill="F2DCDC"/>
            <w:tcW w:w="1324" w:type="dxa"/>
            <w:vAlign w:val="top"/>
          </w:tcPr>
          <w:p>
            <w:pPr>
              <w:pStyle w:val="TableText"/>
              <w:ind w:left="236"/>
              <w:spacing w:before="92" w:line="189" w:lineRule="auto"/>
              <w:rPr/>
            </w:pPr>
            <w:r>
              <w:rPr>
                <w:spacing w:val="8"/>
              </w:rPr>
              <w:t>监管警示</w:t>
            </w:r>
          </w:p>
        </w:tc>
        <w:tc>
          <w:tcPr>
            <w:shd w:val="clear" w:fill="F2DCDC"/>
            <w:tcW w:w="5004" w:type="dxa"/>
            <w:vAlign w:val="top"/>
          </w:tcPr>
          <w:p>
            <w:pPr>
              <w:pStyle w:val="TableText"/>
              <w:ind w:left="2" w:right="159"/>
              <w:spacing w:before="91" w:line="231" w:lineRule="auto"/>
              <w:jc w:val="both"/>
              <w:rPr/>
            </w:pPr>
            <w:r>
              <w:rPr>
                <w:spacing w:val="9"/>
              </w:rPr>
              <w:t>公司募投项目原定达到预定可使用状态的期限届满后</w:t>
            </w:r>
            <w:r>
              <w:rPr>
                <w:spacing w:val="18"/>
              </w:rPr>
              <w:t xml:space="preserve"> </w:t>
            </w:r>
            <w:r>
              <w:rPr>
                <w:spacing w:val="10"/>
              </w:rPr>
              <w:t>,  公司未及时履行</w:t>
            </w:r>
            <w:r>
              <w:rPr>
                <w:b/>
                <w:bCs/>
                <w:spacing w:val="10"/>
              </w:rPr>
              <w:t>募投项目延期</w:t>
            </w:r>
            <w:r>
              <w:rPr>
                <w:spacing w:val="10"/>
              </w:rPr>
              <w:t>的董事会审议程序和</w:t>
            </w:r>
            <w:r>
              <w:rPr>
                <w:spacing w:val="8"/>
              </w:rPr>
              <w:t xml:space="preserve"> </w:t>
            </w:r>
            <w:r>
              <w:rPr>
                <w:spacing w:val="7"/>
              </w:rPr>
              <w:t>信息披露义务。</w:t>
            </w:r>
          </w:p>
        </w:tc>
      </w:tr>
    </w:tbl>
    <w:p>
      <w:pPr>
        <w:pStyle w:val="BodyText"/>
        <w:spacing w:line="308" w:lineRule="auto"/>
        <w:rPr/>
      </w:pPr>
      <w:r/>
    </w:p>
    <w:p>
      <w:pPr>
        <w:ind w:left="9"/>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6"/>
        </w:rPr>
        <w:t>2</w:t>
      </w:r>
      <w:r>
        <w:rPr>
          <w:rFonts w:ascii="Microsoft YaHei" w:hAnsi="Microsoft YaHei" w:eastAsia="Microsoft YaHei" w:cs="Microsoft YaHei"/>
          <w:sz w:val="24"/>
          <w:szCs w:val="24"/>
          <w:b/>
          <w:bCs/>
          <w:color w:val="333333"/>
          <w:spacing w:val="-14"/>
        </w:rPr>
        <w:t xml:space="preserve"> </w:t>
      </w:r>
      <w:r>
        <w:rPr>
          <w:rFonts w:ascii="Microsoft YaHei" w:hAnsi="Microsoft YaHei" w:eastAsia="Microsoft YaHei" w:cs="Microsoft YaHei"/>
          <w:sz w:val="24"/>
          <w:szCs w:val="24"/>
          <w:b/>
          <w:bCs/>
          <w:color w:val="333333"/>
          <w:spacing w:val="-16"/>
        </w:rPr>
        <w:t>）函件统计</w:t>
      </w:r>
    </w:p>
    <w:p>
      <w:pPr>
        <w:ind w:left="649"/>
        <w:spacing w:before="29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2024年3月18日-3月24日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，上交</w:t>
      </w:r>
      <w:r>
        <w:rPr>
          <w:rFonts w:ascii="Microsoft YaHei" w:hAnsi="Microsoft YaHei" w:eastAsia="Microsoft YaHei" w:cs="Microsoft YaHei"/>
          <w:sz w:val="22"/>
          <w:szCs w:val="22"/>
          <w:spacing w:val="-4"/>
        </w:rPr>
        <w:t>所发出2份监管问询函。</w:t>
      </w:r>
    </w:p>
    <w:p>
      <w:pPr>
        <w:spacing w:line="91" w:lineRule="auto"/>
        <w:rPr>
          <w:rFonts w:ascii="Arial"/>
          <w:sz w:val="2"/>
        </w:rPr>
      </w:pPr>
      <w:r>
        <w:rPr>
          <w:rFonts w:ascii="Arial"/>
          <w:sz w:val="2"/>
        </w:rPr>
      </w:r>
    </w:p>
    <w:tbl>
      <w:tblPr>
        <w:tblStyle w:val="TableNormal"/>
        <w:tblW w:w="8837" w:type="dxa"/>
        <w:tblInd w:w="78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4" w:hRule="atLeast"/>
        </w:trPr>
        <w:tc>
          <w:tcPr>
            <w:shd w:val="clear" w:fill="C0504D"/>
            <w:tcW w:w="1276" w:type="dxa"/>
            <w:vAlign w:val="top"/>
            <w:tcBorders>
              <w:bottom w:val="single" w:color="C0504D"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1"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6"/>
              <w:spacing w:before="92" w:line="188" w:lineRule="auto"/>
              <w:rPr/>
            </w:pPr>
            <w:r>
              <w:rPr>
                <w:b/>
                <w:bCs/>
                <w:color w:val="FFFFFF"/>
                <w:spacing w:val="5"/>
              </w:rPr>
              <w:t>函件类别</w:t>
            </w:r>
          </w:p>
        </w:tc>
      </w:tr>
      <w:tr>
        <w:trPr>
          <w:trHeight w:val="355" w:hRule="atLeast"/>
        </w:trPr>
        <w:tc>
          <w:tcPr>
            <w:tcW w:w="1276" w:type="dxa"/>
            <w:vAlign w:val="top"/>
            <w:tcBorders>
              <w:top w:val="single" w:color="C0504D" w:sz="10" w:space="0"/>
            </w:tcBorders>
          </w:tcPr>
          <w:p>
            <w:pPr>
              <w:pStyle w:val="TableText"/>
              <w:ind w:left="270"/>
              <w:spacing w:before="97" w:line="173" w:lineRule="auto"/>
              <w:rPr/>
            </w:pPr>
            <w:r>
              <w:rPr>
                <w:spacing w:val="3"/>
              </w:rPr>
              <w:t>688685</w:t>
            </w:r>
          </w:p>
        </w:tc>
        <w:tc>
          <w:tcPr>
            <w:tcW w:w="1215" w:type="dxa"/>
            <w:vAlign w:val="top"/>
            <w:tcBorders>
              <w:top w:val="single" w:color="C0504D" w:sz="10" w:space="0"/>
            </w:tcBorders>
          </w:tcPr>
          <w:p>
            <w:pPr>
              <w:pStyle w:val="TableText"/>
              <w:ind w:left="283"/>
              <w:spacing w:before="84" w:line="182" w:lineRule="auto"/>
              <w:rPr/>
            </w:pPr>
            <w:r>
              <w:rPr>
                <w:spacing w:val="8"/>
              </w:rPr>
              <w:t>迈信林</w:t>
            </w:r>
          </w:p>
        </w:tc>
        <w:tc>
          <w:tcPr>
            <w:tcW w:w="6346" w:type="dxa"/>
            <w:vAlign w:val="top"/>
            <w:tcBorders>
              <w:top w:val="single" w:color="C0504D" w:sz="10" w:space="0"/>
            </w:tcBorders>
          </w:tcPr>
          <w:p>
            <w:pPr>
              <w:pStyle w:val="TableText"/>
              <w:ind w:left="2862"/>
              <w:spacing w:before="83" w:line="183" w:lineRule="auto"/>
              <w:rPr/>
            </w:pPr>
            <w:r>
              <w:rPr>
                <w:spacing w:val="4"/>
              </w:rPr>
              <w:t>问询函</w:t>
            </w:r>
          </w:p>
        </w:tc>
      </w:tr>
      <w:tr>
        <w:trPr>
          <w:trHeight w:val="371" w:hRule="atLeast"/>
        </w:trPr>
        <w:tc>
          <w:tcPr>
            <w:shd w:val="clear" w:fill="F2DCDC"/>
            <w:tcW w:w="1276" w:type="dxa"/>
            <w:vAlign w:val="top"/>
          </w:tcPr>
          <w:p>
            <w:pPr>
              <w:pStyle w:val="TableText"/>
              <w:ind w:left="270"/>
              <w:spacing w:before="106" w:line="178" w:lineRule="auto"/>
              <w:rPr/>
            </w:pPr>
            <w:r>
              <w:rPr>
                <w:spacing w:val="3"/>
              </w:rPr>
              <w:t>600589</w:t>
            </w:r>
          </w:p>
        </w:tc>
        <w:tc>
          <w:tcPr>
            <w:shd w:val="clear" w:fill="F2DCDC"/>
            <w:tcW w:w="1215" w:type="dxa"/>
            <w:vAlign w:val="top"/>
          </w:tcPr>
          <w:p>
            <w:pPr>
              <w:pStyle w:val="TableText"/>
              <w:ind w:left="226"/>
              <w:spacing w:before="93" w:line="187" w:lineRule="auto"/>
              <w:rPr/>
            </w:pPr>
            <w:r>
              <w:rPr>
                <w:spacing w:val="8"/>
              </w:rPr>
              <w:t>*</w:t>
            </w:r>
            <w:r>
              <w:rPr/>
              <w:t>ST</w:t>
            </w:r>
            <w:r>
              <w:rPr>
                <w:spacing w:val="8"/>
              </w:rPr>
              <w:t>榕泰</w:t>
            </w:r>
          </w:p>
        </w:tc>
        <w:tc>
          <w:tcPr>
            <w:shd w:val="clear" w:fill="F2DCDC"/>
            <w:tcW w:w="6346" w:type="dxa"/>
            <w:vAlign w:val="top"/>
          </w:tcPr>
          <w:p>
            <w:pPr>
              <w:pStyle w:val="TableText"/>
              <w:ind w:left="1799"/>
              <w:spacing w:before="92" w:line="188" w:lineRule="auto"/>
              <w:rPr/>
            </w:pPr>
            <w:r>
              <w:rPr>
                <w:spacing w:val="9"/>
              </w:rPr>
              <w:t>定期报告信息披露监管问询函</w:t>
            </w:r>
          </w:p>
        </w:tc>
      </w:tr>
    </w:tbl>
    <w:p>
      <w:pPr>
        <w:pStyle w:val="BodyText"/>
        <w:spacing w:line="263" w:lineRule="auto"/>
        <w:rPr/>
      </w:pPr>
      <w:r/>
    </w:p>
    <w:p>
      <w:pPr>
        <w:pStyle w:val="BodyText"/>
        <w:spacing w:line="263" w:lineRule="auto"/>
        <w:rPr/>
      </w:pPr>
      <w:r/>
    </w:p>
    <w:p>
      <w:pPr>
        <w:ind w:left="507"/>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2、市场交易监管</w:t>
      </w:r>
    </w:p>
    <w:p>
      <w:pPr>
        <w:ind w:firstLine="485"/>
        <w:spacing w:before="31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2024年3月18日-3月24日</w:t>
      </w:r>
      <w:r>
        <w:rPr>
          <w:rFonts w:ascii="Microsoft YaHei" w:hAnsi="Microsoft YaHei" w:eastAsia="Microsoft YaHei" w:cs="Microsoft YaHei"/>
          <w:sz w:val="24"/>
          <w:szCs w:val="24"/>
          <w:spacing w:val="-38"/>
        </w:rPr>
        <w:t xml:space="preserve"> </w:t>
      </w:r>
      <w:r>
        <w:rPr>
          <w:rFonts w:ascii="Microsoft YaHei" w:hAnsi="Microsoft YaHei" w:eastAsia="Microsoft YaHei" w:cs="Microsoft YaHei"/>
          <w:sz w:val="24"/>
          <w:szCs w:val="24"/>
          <w:spacing w:val="-3"/>
        </w:rPr>
        <w:t>，上交所对84起拉抬打压、虚假申报等证券异常交易行为采取了书面</w:t>
      </w:r>
      <w:r>
        <w:rPr>
          <w:rFonts w:ascii="Microsoft YaHei" w:hAnsi="Microsoft YaHei" w:eastAsia="Microsoft YaHei" w:cs="Microsoft YaHei"/>
          <w:sz w:val="24"/>
          <w:szCs w:val="24"/>
          <w:spacing w:val="-4"/>
        </w:rPr>
        <w:t xml:space="preserve">   </w:t>
      </w:r>
      <w:r>
        <w:rPr>
          <w:rFonts w:ascii="Microsoft YaHei" w:hAnsi="Microsoft YaHei" w:eastAsia="Microsoft YaHei" w:cs="Microsoft YaHei"/>
          <w:sz w:val="24"/>
          <w:szCs w:val="24"/>
          <w:spacing w:val="-3"/>
        </w:rPr>
        <w:t>警示等监管措施</w:t>
      </w:r>
      <w:r>
        <w:rPr>
          <w:rFonts w:ascii="Microsoft YaHei" w:hAnsi="Microsoft YaHei" w:eastAsia="Microsoft YaHei" w:cs="Microsoft YaHei"/>
          <w:sz w:val="24"/>
          <w:szCs w:val="24"/>
          <w:spacing w:val="-38"/>
        </w:rPr>
        <w:t xml:space="preserve"> </w:t>
      </w:r>
      <w:r>
        <w:rPr>
          <w:rFonts w:ascii="Microsoft YaHei" w:hAnsi="Microsoft YaHei" w:eastAsia="Microsoft YaHei" w:cs="Microsoft YaHei"/>
          <w:sz w:val="24"/>
          <w:szCs w:val="24"/>
          <w:spacing w:val="-3"/>
        </w:rPr>
        <w:t>，对艾艾精工等严重异常波动</w:t>
      </w:r>
      <w:r>
        <w:rPr>
          <w:rFonts w:ascii="Microsoft YaHei" w:hAnsi="Microsoft YaHei" w:eastAsia="Microsoft YaHei" w:cs="Microsoft YaHei"/>
          <w:sz w:val="24"/>
          <w:szCs w:val="24"/>
          <w:spacing w:val="-4"/>
        </w:rPr>
        <w:t>股票进行重点监控</w:t>
      </w:r>
      <w:r>
        <w:rPr>
          <w:rFonts w:ascii="Microsoft YaHei" w:hAnsi="Microsoft YaHei" w:eastAsia="Microsoft YaHei" w:cs="Microsoft YaHei"/>
          <w:sz w:val="24"/>
          <w:szCs w:val="24"/>
          <w:spacing w:val="-34"/>
        </w:rPr>
        <w:t xml:space="preserve"> </w:t>
      </w:r>
      <w:r>
        <w:rPr>
          <w:rFonts w:ascii="Microsoft YaHei" w:hAnsi="Microsoft YaHei" w:eastAsia="Microsoft YaHei" w:cs="Microsoft YaHei"/>
          <w:sz w:val="24"/>
          <w:szCs w:val="24"/>
          <w:spacing w:val="-4"/>
        </w:rPr>
        <w:t>，对53起上市公司重大事项等进行专</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项核查。</w:t>
      </w:r>
    </w:p>
    <w:p>
      <w:pPr>
        <w:spacing w:line="183" w:lineRule="auto"/>
        <w:sectPr>
          <w:pgSz w:w="11910" w:h="16840"/>
          <w:pgMar w:top="400" w:right="512" w:bottom="400" w:left="884" w:header="0" w:footer="0" w:gutter="0"/>
        </w:sectPr>
        <w:rPr>
          <w:rFonts w:ascii="Microsoft YaHei" w:hAnsi="Microsoft YaHei" w:eastAsia="Microsoft YaHei" w:cs="Microsoft YaHei"/>
          <w:sz w:val="24"/>
          <w:szCs w:val="24"/>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3"/>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41"/>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1、上市公司监管动态</w:t>
      </w:r>
    </w:p>
    <w:p>
      <w:pPr>
        <w:ind w:left="1308"/>
        <w:spacing w:before="328"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2024年3月18日-3月24日</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4"/>
        </w:rPr>
        <w:t>，深交所发出15份监管函；共发出关注函11份。</w:t>
      </w:r>
    </w:p>
    <w:p>
      <w:pPr>
        <w:pStyle w:val="BodyText"/>
        <w:spacing w:line="241" w:lineRule="auto"/>
        <w:rPr/>
      </w:pPr>
      <w:r/>
    </w:p>
    <w:p>
      <w:pPr>
        <w:ind w:firstLine="1815"/>
        <w:spacing w:line="4331" w:lineRule="exact"/>
        <w:rPr/>
      </w:pPr>
      <w:r>
        <w:rPr>
          <w:position w:val="-86"/>
        </w:rPr>
        <w:drawing>
          <wp:inline distT="0" distB="0" distL="0" distR="0">
            <wp:extent cx="5493384" cy="2750184"/>
            <wp:effectExtent l="0" t="0" r="0" b="0"/>
            <wp:docPr id="20" name="IM 20"/>
            <wp:cNvGraphicFramePr/>
            <a:graphic>
              <a:graphicData uri="http://schemas.openxmlformats.org/drawingml/2006/picture">
                <pic:pic>
                  <pic:nvPicPr>
                    <pic:cNvPr id="20" name="IM 20"/>
                    <pic:cNvPicPr/>
                  </pic:nvPicPr>
                  <pic:blipFill>
                    <a:blip r:embed="rId15"/>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 1 ）纪律处分及监管措施</w:t>
      </w:r>
    </w:p>
    <w:p>
      <w:pPr>
        <w:spacing w:line="193" w:lineRule="exact"/>
        <w:rPr/>
      </w:pPr>
      <w:r/>
    </w:p>
    <w:tbl>
      <w:tblPr>
        <w:tblStyle w:val="TableNormal"/>
        <w:tblW w:w="9016" w:type="dxa"/>
        <w:tblInd w:w="97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4"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4"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3"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3" w:line="184" w:lineRule="auto"/>
              <w:rPr>
                <w:sz w:val="22"/>
                <w:szCs w:val="22"/>
              </w:rPr>
            </w:pPr>
            <w:r>
              <w:rPr>
                <w:sz w:val="22"/>
                <w:szCs w:val="22"/>
                <w:b/>
                <w:bCs/>
                <w:color w:val="FFFFFF"/>
                <w:spacing w:val="-1"/>
              </w:rPr>
              <w:t>处理事由</w:t>
            </w:r>
          </w:p>
        </w:tc>
      </w:tr>
      <w:tr>
        <w:trPr>
          <w:trHeight w:val="725" w:hRule="atLeast"/>
        </w:trPr>
        <w:tc>
          <w:tcPr>
            <w:tcW w:w="1471" w:type="dxa"/>
            <w:vAlign w:val="top"/>
          </w:tcPr>
          <w:p>
            <w:pPr>
              <w:pStyle w:val="TableText"/>
              <w:ind w:left="377"/>
              <w:spacing w:before="279" w:line="179" w:lineRule="auto"/>
              <w:rPr/>
            </w:pPr>
            <w:r>
              <w:rPr>
                <w:spacing w:val="3"/>
              </w:rPr>
              <w:t>301218</w:t>
            </w:r>
          </w:p>
        </w:tc>
        <w:tc>
          <w:tcPr>
            <w:tcW w:w="1484" w:type="dxa"/>
            <w:vAlign w:val="top"/>
          </w:tcPr>
          <w:p>
            <w:pPr>
              <w:pStyle w:val="TableText"/>
              <w:ind w:left="322"/>
              <w:spacing w:before="265" w:line="189" w:lineRule="auto"/>
              <w:rPr/>
            </w:pPr>
            <w:r>
              <w:rPr>
                <w:spacing w:val="8"/>
              </w:rPr>
              <w:t>华是科技</w:t>
            </w:r>
          </w:p>
        </w:tc>
        <w:tc>
          <w:tcPr>
            <w:tcW w:w="1498" w:type="dxa"/>
            <w:vAlign w:val="top"/>
          </w:tcPr>
          <w:p>
            <w:pPr>
              <w:pStyle w:val="TableText"/>
              <w:ind w:left="434"/>
              <w:spacing w:before="265" w:line="189" w:lineRule="auto"/>
              <w:rPr/>
            </w:pPr>
            <w:r>
              <w:rPr>
                <w:spacing w:val="8"/>
              </w:rPr>
              <w:t>监管函</w:t>
            </w:r>
          </w:p>
        </w:tc>
        <w:tc>
          <w:tcPr>
            <w:tcW w:w="4563" w:type="dxa"/>
            <w:vAlign w:val="top"/>
          </w:tcPr>
          <w:p>
            <w:pPr>
              <w:pStyle w:val="TableText"/>
              <w:ind w:left="106" w:right="254" w:firstLine="1"/>
              <w:spacing w:before="88" w:line="219" w:lineRule="auto"/>
              <w:rPr/>
            </w:pPr>
            <w:r>
              <w:rPr>
                <w:spacing w:val="9"/>
              </w:rPr>
              <w:t>公司未及时披露实际控制人之一、董事、总经</w:t>
            </w:r>
            <w:r>
              <w:rPr>
                <w:spacing w:val="14"/>
              </w:rPr>
              <w:t xml:space="preserve"> </w:t>
            </w:r>
            <w:r>
              <w:rPr>
                <w:spacing w:val="9"/>
              </w:rPr>
              <w:t>理被</w:t>
            </w:r>
            <w:r>
              <w:rPr>
                <w:b/>
                <w:bCs/>
                <w:spacing w:val="9"/>
              </w:rPr>
              <w:t>立案调查、实施留置</w:t>
            </w:r>
            <w:r>
              <w:rPr>
                <w:spacing w:val="9"/>
              </w:rPr>
              <w:t>的情况。</w:t>
            </w:r>
          </w:p>
        </w:tc>
      </w:tr>
      <w:tr>
        <w:trPr>
          <w:trHeight w:val="725" w:hRule="atLeast"/>
        </w:trPr>
        <w:tc>
          <w:tcPr>
            <w:shd w:val="clear" w:fill="B8CCE4"/>
            <w:tcW w:w="1471" w:type="dxa"/>
            <w:vAlign w:val="top"/>
          </w:tcPr>
          <w:p>
            <w:pPr>
              <w:pStyle w:val="TableText"/>
              <w:ind w:left="372"/>
              <w:spacing w:before="280" w:line="178" w:lineRule="auto"/>
              <w:rPr/>
            </w:pPr>
            <w:r>
              <w:rPr>
                <w:spacing w:val="3"/>
              </w:rPr>
              <w:t>002824</w:t>
            </w:r>
          </w:p>
        </w:tc>
        <w:tc>
          <w:tcPr>
            <w:shd w:val="clear" w:fill="B8CCE4"/>
            <w:tcW w:w="1484" w:type="dxa"/>
            <w:vAlign w:val="top"/>
          </w:tcPr>
          <w:p>
            <w:pPr>
              <w:pStyle w:val="TableText"/>
              <w:ind w:left="320"/>
              <w:spacing w:before="266" w:line="188" w:lineRule="auto"/>
              <w:rPr/>
            </w:pPr>
            <w:r>
              <w:rPr>
                <w:spacing w:val="8"/>
              </w:rPr>
              <w:t>和胜股份</w:t>
            </w:r>
          </w:p>
        </w:tc>
        <w:tc>
          <w:tcPr>
            <w:shd w:val="clear" w:fill="B8CCE4"/>
            <w:tcW w:w="1498" w:type="dxa"/>
            <w:vAlign w:val="top"/>
          </w:tcPr>
          <w:p>
            <w:pPr>
              <w:pStyle w:val="TableText"/>
              <w:ind w:left="434"/>
              <w:spacing w:before="265" w:line="189" w:lineRule="auto"/>
              <w:rPr/>
            </w:pPr>
            <w:r>
              <w:rPr>
                <w:spacing w:val="8"/>
              </w:rPr>
              <w:t>监管函</w:t>
            </w:r>
          </w:p>
        </w:tc>
        <w:tc>
          <w:tcPr>
            <w:shd w:val="clear" w:fill="B8CCE4"/>
            <w:tcW w:w="4563" w:type="dxa"/>
            <w:vAlign w:val="top"/>
          </w:tcPr>
          <w:p>
            <w:pPr>
              <w:pStyle w:val="TableText"/>
              <w:ind w:left="108" w:right="257" w:firstLine="71"/>
              <w:spacing w:before="85" w:line="220" w:lineRule="auto"/>
              <w:rPr/>
            </w:pPr>
            <w:r>
              <w:rPr>
                <w:spacing w:val="8"/>
              </w:rPr>
              <w:t>2021年度财务报表、2022年度财务报</w:t>
            </w:r>
            <w:r>
              <w:rPr>
                <w:spacing w:val="7"/>
              </w:rPr>
              <w:t>表中的</w:t>
            </w:r>
            <w:r>
              <w:rPr/>
              <w:t xml:space="preserve"> </w:t>
            </w:r>
            <w:r>
              <w:rPr>
                <w:spacing w:val="9"/>
              </w:rPr>
              <w:t>合并及母公司现金流量表存在前期</w:t>
            </w:r>
            <w:r>
              <w:rPr>
                <w:b/>
                <w:bCs/>
                <w:spacing w:val="9"/>
              </w:rPr>
              <w:t>会计差错</w:t>
            </w:r>
            <w:r>
              <w:rPr>
                <w:spacing w:val="9"/>
              </w:rPr>
              <w:t>。</w:t>
            </w:r>
          </w:p>
        </w:tc>
      </w:tr>
      <w:tr>
        <w:trPr>
          <w:trHeight w:val="1445" w:hRule="atLeast"/>
        </w:trPr>
        <w:tc>
          <w:tcPr>
            <w:tcW w:w="1471" w:type="dxa"/>
            <w:vAlign w:val="top"/>
          </w:tcPr>
          <w:p>
            <w:pPr>
              <w:spacing w:line="275" w:lineRule="auto"/>
              <w:rPr>
                <w:rFonts w:ascii="Arial"/>
                <w:sz w:val="21"/>
              </w:rPr>
            </w:pPr>
            <w:r/>
          </w:p>
          <w:p>
            <w:pPr>
              <w:spacing w:line="276" w:lineRule="auto"/>
              <w:rPr>
                <w:rFonts w:ascii="Arial"/>
                <w:sz w:val="21"/>
              </w:rPr>
            </w:pPr>
            <w:r/>
          </w:p>
          <w:p>
            <w:pPr>
              <w:pStyle w:val="TableText"/>
              <w:ind w:left="372"/>
              <w:spacing w:before="86" w:line="179" w:lineRule="auto"/>
              <w:rPr/>
            </w:pPr>
            <w:r>
              <w:rPr>
                <w:spacing w:val="3"/>
              </w:rPr>
              <w:t>000971</w:t>
            </w:r>
          </w:p>
        </w:tc>
        <w:tc>
          <w:tcPr>
            <w:tcW w:w="1484" w:type="dxa"/>
            <w:vAlign w:val="top"/>
          </w:tcPr>
          <w:p>
            <w:pPr>
              <w:spacing w:line="268" w:lineRule="auto"/>
              <w:rPr>
                <w:rFonts w:ascii="Arial"/>
                <w:sz w:val="21"/>
              </w:rPr>
            </w:pPr>
            <w:r/>
          </w:p>
          <w:p>
            <w:pPr>
              <w:spacing w:line="268" w:lineRule="auto"/>
              <w:rPr>
                <w:rFonts w:ascii="Arial"/>
                <w:sz w:val="21"/>
              </w:rPr>
            </w:pPr>
            <w:r/>
          </w:p>
          <w:p>
            <w:pPr>
              <w:pStyle w:val="TableText"/>
              <w:ind w:left="419"/>
              <w:spacing w:before="86" w:line="190" w:lineRule="auto"/>
              <w:rPr/>
            </w:pPr>
            <w:r>
              <w:rPr/>
              <w:t>ST</w:t>
            </w:r>
            <w:r>
              <w:rPr>
                <w:spacing w:val="7"/>
              </w:rPr>
              <w:t>高升</w:t>
            </w:r>
          </w:p>
        </w:tc>
        <w:tc>
          <w:tcPr>
            <w:tcW w:w="1498" w:type="dxa"/>
            <w:vAlign w:val="top"/>
          </w:tcPr>
          <w:p>
            <w:pPr>
              <w:spacing w:line="269"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2"/>
              <w:spacing w:before="85" w:line="236" w:lineRule="auto"/>
              <w:jc w:val="both"/>
              <w:rPr/>
            </w:pPr>
            <w:r>
              <w:rPr>
                <w:spacing w:val="9"/>
              </w:rPr>
              <w:t>公司及子公司曾</w:t>
            </w:r>
            <w:r>
              <w:rPr>
                <w:b/>
                <w:bCs/>
                <w:spacing w:val="9"/>
              </w:rPr>
              <w:t>接受</w:t>
            </w:r>
            <w:r>
              <w:rPr>
                <w:spacing w:val="9"/>
              </w:rPr>
              <w:t>控股股东天津百若克医药</w:t>
            </w:r>
            <w:r>
              <w:rPr>
                <w:spacing w:val="16"/>
                <w:w w:val="101"/>
              </w:rPr>
              <w:t xml:space="preserve"> </w:t>
            </w:r>
            <w:r>
              <w:rPr>
                <w:spacing w:val="9"/>
              </w:rPr>
              <w:t>生物技术有限责任公司提供的</w:t>
            </w:r>
            <w:r>
              <w:rPr>
                <w:b/>
                <w:bCs/>
                <w:spacing w:val="9"/>
              </w:rPr>
              <w:t>无偿借款</w:t>
            </w:r>
            <w:r>
              <w:rPr>
                <w:spacing w:val="9"/>
              </w:rPr>
              <w:t>构成关</w:t>
            </w:r>
            <w:r>
              <w:rPr>
                <w:spacing w:val="16"/>
                <w:w w:val="101"/>
              </w:rPr>
              <w:t xml:space="preserve"> </w:t>
            </w:r>
            <w:r>
              <w:rPr>
                <w:spacing w:val="8"/>
              </w:rPr>
              <w:t>联交易</w:t>
            </w:r>
            <w:r>
              <w:rPr>
                <w:spacing w:val="-26"/>
              </w:rPr>
              <w:t xml:space="preserve"> </w:t>
            </w:r>
            <w:r>
              <w:rPr>
                <w:spacing w:val="8"/>
              </w:rPr>
              <w:t>，公司未对关联交易及时履行审议程序</w:t>
            </w:r>
            <w:r>
              <w:rPr/>
              <w:t xml:space="preserve"> </w:t>
            </w:r>
            <w:r>
              <w:rPr>
                <w:spacing w:val="8"/>
              </w:rPr>
              <w:t>和信息披露义务。</w:t>
            </w:r>
          </w:p>
        </w:tc>
      </w:tr>
      <w:tr>
        <w:trPr>
          <w:trHeight w:val="1445" w:hRule="atLeast"/>
        </w:trPr>
        <w:tc>
          <w:tcPr>
            <w:shd w:val="clear" w:fill="B8CCE4"/>
            <w:tcW w:w="1471" w:type="dxa"/>
            <w:vAlign w:val="top"/>
          </w:tcPr>
          <w:p>
            <w:pPr>
              <w:spacing w:line="277" w:lineRule="auto"/>
              <w:rPr>
                <w:rFonts w:ascii="Arial"/>
                <w:sz w:val="21"/>
              </w:rPr>
            </w:pPr>
            <w:r/>
          </w:p>
          <w:p>
            <w:pPr>
              <w:spacing w:line="277" w:lineRule="auto"/>
              <w:rPr>
                <w:rFonts w:ascii="Arial"/>
                <w:sz w:val="21"/>
              </w:rPr>
            </w:pPr>
            <w:r/>
          </w:p>
          <w:p>
            <w:pPr>
              <w:pStyle w:val="TableText"/>
              <w:ind w:left="377"/>
              <w:spacing w:before="86" w:line="178" w:lineRule="auto"/>
              <w:rPr/>
            </w:pPr>
            <w:r>
              <w:rPr>
                <w:spacing w:val="3"/>
              </w:rPr>
              <w:t>300843</w:t>
            </w:r>
          </w:p>
        </w:tc>
        <w:tc>
          <w:tcPr>
            <w:shd w:val="clear" w:fill="B8CCE4"/>
            <w:tcW w:w="1484" w:type="dxa"/>
            <w:vAlign w:val="top"/>
          </w:tcPr>
          <w:p>
            <w:pPr>
              <w:spacing w:line="270" w:lineRule="auto"/>
              <w:rPr>
                <w:rFonts w:ascii="Arial"/>
                <w:sz w:val="21"/>
              </w:rPr>
            </w:pPr>
            <w:r/>
          </w:p>
          <w:p>
            <w:pPr>
              <w:spacing w:line="270" w:lineRule="auto"/>
              <w:rPr>
                <w:rFonts w:ascii="Arial"/>
                <w:sz w:val="21"/>
              </w:rPr>
            </w:pPr>
            <w:r/>
          </w:p>
          <w:p>
            <w:pPr>
              <w:pStyle w:val="TableText"/>
              <w:ind w:left="321"/>
              <w:spacing w:before="86" w:line="189" w:lineRule="auto"/>
              <w:rPr/>
            </w:pPr>
            <w:r>
              <w:rPr>
                <w:spacing w:val="8"/>
              </w:rPr>
              <w:t>胜蓝股份</w:t>
            </w:r>
          </w:p>
        </w:tc>
        <w:tc>
          <w:tcPr>
            <w:shd w:val="clear" w:fill="B8CCE4"/>
            <w:tcW w:w="1498" w:type="dxa"/>
            <w:vAlign w:val="top"/>
          </w:tcPr>
          <w:p>
            <w:pPr>
              <w:spacing w:line="270"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7" w:right="130"/>
              <w:spacing w:before="90" w:line="235"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日前披露提示性公告</w:t>
            </w:r>
            <w:r>
              <w:rPr>
                <w:spacing w:val="-25"/>
              </w:rPr>
              <w:t xml:space="preserve"> </w:t>
            </w:r>
            <w:r>
              <w:rPr>
                <w:spacing w:val="8"/>
              </w:rPr>
              <w:t>，亦未在触发转股价格修</w:t>
            </w:r>
            <w:r>
              <w:rPr/>
              <w:t xml:space="preserve">   </w:t>
            </w:r>
            <w:r>
              <w:rPr>
                <w:spacing w:val="9"/>
              </w:rPr>
              <w:t>正条件当日召开</w:t>
            </w:r>
            <w:r>
              <w:rPr>
                <w:b/>
                <w:bCs/>
                <w:spacing w:val="9"/>
              </w:rPr>
              <w:t>董事会</w:t>
            </w:r>
            <w:r>
              <w:rPr>
                <w:spacing w:val="9"/>
              </w:rPr>
              <w:t>审议决定是否修正转股</w:t>
            </w:r>
            <w:r>
              <w:rPr>
                <w:spacing w:val="4"/>
              </w:rPr>
              <w:t xml:space="preserve">   </w:t>
            </w:r>
            <w:r>
              <w:rPr>
                <w:spacing w:val="5"/>
              </w:rPr>
              <w:t>价格。</w:t>
            </w:r>
          </w:p>
        </w:tc>
      </w:tr>
      <w:tr>
        <w:trPr>
          <w:trHeight w:val="1445" w:hRule="atLeast"/>
        </w:trPr>
        <w:tc>
          <w:tcPr>
            <w:tcW w:w="1471" w:type="dxa"/>
            <w:vAlign w:val="top"/>
          </w:tcPr>
          <w:p>
            <w:pPr>
              <w:spacing w:line="277" w:lineRule="auto"/>
              <w:rPr>
                <w:rFonts w:ascii="Arial"/>
                <w:sz w:val="21"/>
              </w:rPr>
            </w:pPr>
            <w:r/>
          </w:p>
          <w:p>
            <w:pPr>
              <w:spacing w:line="277" w:lineRule="auto"/>
              <w:rPr>
                <w:rFonts w:ascii="Arial"/>
                <w:sz w:val="21"/>
              </w:rPr>
            </w:pPr>
            <w:r/>
          </w:p>
          <w:p>
            <w:pPr>
              <w:pStyle w:val="TableText"/>
              <w:ind w:left="377"/>
              <w:spacing w:before="86" w:line="178" w:lineRule="auto"/>
              <w:rPr/>
            </w:pPr>
            <w:r>
              <w:rPr>
                <w:spacing w:val="3"/>
              </w:rPr>
              <w:t>300707</w:t>
            </w:r>
          </w:p>
        </w:tc>
        <w:tc>
          <w:tcPr>
            <w:tcW w:w="1484" w:type="dxa"/>
            <w:vAlign w:val="top"/>
          </w:tcPr>
          <w:p>
            <w:pPr>
              <w:spacing w:line="269" w:lineRule="auto"/>
              <w:rPr>
                <w:rFonts w:ascii="Arial"/>
                <w:sz w:val="21"/>
              </w:rPr>
            </w:pPr>
            <w:r/>
          </w:p>
          <w:p>
            <w:pPr>
              <w:spacing w:line="270" w:lineRule="auto"/>
              <w:rPr>
                <w:rFonts w:ascii="Arial"/>
                <w:sz w:val="21"/>
              </w:rPr>
            </w:pPr>
            <w:r/>
          </w:p>
          <w:p>
            <w:pPr>
              <w:pStyle w:val="TableText"/>
              <w:ind w:left="320"/>
              <w:spacing w:before="86" w:line="189" w:lineRule="auto"/>
              <w:rPr/>
            </w:pPr>
            <w:r>
              <w:rPr>
                <w:spacing w:val="8"/>
              </w:rPr>
              <w:t>威唐工业</w:t>
            </w:r>
          </w:p>
        </w:tc>
        <w:tc>
          <w:tcPr>
            <w:tcW w:w="1498" w:type="dxa"/>
            <w:vAlign w:val="top"/>
          </w:tcPr>
          <w:p>
            <w:pPr>
              <w:spacing w:line="269"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130" w:firstLine="1"/>
              <w:spacing w:before="90" w:line="235"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日前及时披露提示性公告</w:t>
            </w:r>
            <w:r>
              <w:rPr>
                <w:spacing w:val="-24"/>
              </w:rPr>
              <w:t xml:space="preserve"> </w:t>
            </w:r>
            <w:r>
              <w:rPr>
                <w:spacing w:val="8"/>
              </w:rPr>
              <w:t>，未在触发转股价格</w:t>
            </w:r>
            <w:r>
              <w:rPr/>
              <w:t xml:space="preserve">   </w:t>
            </w:r>
            <w:r>
              <w:rPr>
                <w:spacing w:val="9"/>
              </w:rPr>
              <w:t>修正条件当日履行相应审议程序和信息披露义</w:t>
            </w:r>
            <w:r>
              <w:rPr>
                <w:spacing w:val="5"/>
              </w:rPr>
              <w:t xml:space="preserve">   </w:t>
            </w:r>
            <w:r>
              <w:rPr>
                <w:spacing w:val="3"/>
              </w:rPr>
              <w:t>务。</w:t>
            </w:r>
          </w:p>
        </w:tc>
      </w:tr>
      <w:tr>
        <w:trPr>
          <w:trHeight w:val="727" w:hRule="atLeast"/>
        </w:trPr>
        <w:tc>
          <w:tcPr>
            <w:shd w:val="clear" w:fill="B8CCE4"/>
            <w:tcW w:w="1471" w:type="dxa"/>
            <w:vAlign w:val="top"/>
          </w:tcPr>
          <w:p>
            <w:pPr>
              <w:pStyle w:val="TableText"/>
              <w:ind w:left="372"/>
              <w:spacing w:before="283" w:line="178" w:lineRule="auto"/>
              <w:rPr/>
            </w:pPr>
            <w:r>
              <w:rPr>
                <w:spacing w:val="3"/>
              </w:rPr>
              <w:t>002798</w:t>
            </w:r>
          </w:p>
        </w:tc>
        <w:tc>
          <w:tcPr>
            <w:shd w:val="clear" w:fill="B8CCE4"/>
            <w:tcW w:w="1484" w:type="dxa"/>
            <w:vAlign w:val="top"/>
          </w:tcPr>
          <w:p>
            <w:pPr>
              <w:pStyle w:val="TableText"/>
              <w:ind w:left="328"/>
              <w:spacing w:before="267" w:line="190" w:lineRule="auto"/>
              <w:rPr/>
            </w:pPr>
            <w:r>
              <w:rPr>
                <w:spacing w:val="6"/>
              </w:rPr>
              <w:t>帝欧家居</w:t>
            </w:r>
          </w:p>
        </w:tc>
        <w:tc>
          <w:tcPr>
            <w:shd w:val="clear" w:fill="B8CCE4"/>
            <w:tcW w:w="1498" w:type="dxa"/>
            <w:vAlign w:val="top"/>
          </w:tcPr>
          <w:p>
            <w:pPr>
              <w:pStyle w:val="TableText"/>
              <w:ind w:left="434"/>
              <w:spacing w:before="268" w:line="189" w:lineRule="auto"/>
              <w:rPr/>
            </w:pPr>
            <w:r>
              <w:rPr>
                <w:spacing w:val="8"/>
              </w:rPr>
              <w:t>监管函</w:t>
            </w:r>
          </w:p>
        </w:tc>
        <w:tc>
          <w:tcPr>
            <w:shd w:val="clear" w:fill="B8CCE4"/>
            <w:tcW w:w="4563" w:type="dxa"/>
            <w:vAlign w:val="top"/>
          </w:tcPr>
          <w:p>
            <w:pPr>
              <w:pStyle w:val="TableText"/>
              <w:ind w:left="136" w:right="130" w:hanging="29"/>
              <w:spacing w:before="90" w:line="219" w:lineRule="auto"/>
              <w:rPr/>
            </w:pPr>
            <w:r>
              <w:rPr>
                <w:spacing w:val="9"/>
              </w:rPr>
              <w:t>公司未在</w:t>
            </w:r>
            <w:r>
              <w:rPr>
                <w:b/>
                <w:bCs/>
                <w:spacing w:val="9"/>
              </w:rPr>
              <w:t>预计触发转股价格修正条件</w:t>
            </w:r>
            <w:r>
              <w:rPr>
                <w:spacing w:val="9"/>
              </w:rPr>
              <w:t>的5个交易</w:t>
            </w:r>
            <w:r>
              <w:rPr>
                <w:spacing w:val="12"/>
              </w:rPr>
              <w:t xml:space="preserve"> </w:t>
            </w:r>
            <w:r>
              <w:rPr>
                <w:spacing w:val="6"/>
              </w:rPr>
              <w:t>日前及时披露提示性公告。</w:t>
            </w:r>
          </w:p>
        </w:tc>
      </w:tr>
    </w:tbl>
    <w:p>
      <w:pPr>
        <w:pStyle w:val="BodyText"/>
        <w:spacing w:line="122" w:lineRule="exact"/>
        <w:rPr>
          <w:sz w:val="10"/>
        </w:rPr>
      </w:pPr>
      <w:r/>
    </w:p>
    <w:p>
      <w:pPr>
        <w:spacing w:line="122" w:lineRule="exact"/>
        <w:sectPr>
          <w:pgSz w:w="11910" w:h="16840"/>
          <w:pgMar w:top="374" w:right="982" w:bottom="400" w:left="460" w:header="0" w:footer="0" w:gutter="0"/>
        </w:sectPr>
        <w:rPr>
          <w:sz w:val="10"/>
          <w:szCs w:val="10"/>
        </w:rPr>
      </w:pPr>
    </w:p>
    <w:tbl>
      <w:tblPr>
        <w:tblStyle w:val="TableNormal"/>
        <w:tblW w:w="9016" w:type="dxa"/>
        <w:tblInd w:w="1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729" w:hRule="atLeast"/>
        </w:trPr>
        <w:tc>
          <w:tcPr>
            <w:tcW w:w="1471" w:type="dxa"/>
            <w:vAlign w:val="top"/>
          </w:tcPr>
          <w:p>
            <w:pPr>
              <w:pStyle w:val="TableText"/>
              <w:ind w:left="372"/>
              <w:spacing w:before="285" w:line="178" w:lineRule="auto"/>
              <w:rPr/>
            </w:pPr>
            <w:r>
              <w:rPr>
                <w:spacing w:val="3"/>
              </w:rPr>
              <w:t>002996</w:t>
            </w:r>
          </w:p>
        </w:tc>
        <w:tc>
          <w:tcPr>
            <w:tcW w:w="1484" w:type="dxa"/>
            <w:vAlign w:val="top"/>
          </w:tcPr>
          <w:p>
            <w:pPr>
              <w:pStyle w:val="TableText"/>
              <w:ind w:left="319"/>
              <w:spacing w:before="272" w:line="188" w:lineRule="auto"/>
              <w:rPr/>
            </w:pPr>
            <w:r>
              <w:rPr>
                <w:spacing w:val="9"/>
              </w:rPr>
              <w:t>顺博合金</w:t>
            </w:r>
          </w:p>
        </w:tc>
        <w:tc>
          <w:tcPr>
            <w:tcW w:w="1498" w:type="dxa"/>
            <w:vAlign w:val="top"/>
          </w:tcPr>
          <w:p>
            <w:pPr>
              <w:pStyle w:val="TableText"/>
              <w:ind w:left="434"/>
              <w:spacing w:before="270" w:line="189" w:lineRule="auto"/>
              <w:rPr/>
            </w:pPr>
            <w:r>
              <w:rPr>
                <w:spacing w:val="8"/>
              </w:rPr>
              <w:t>监管函</w:t>
            </w:r>
          </w:p>
        </w:tc>
        <w:tc>
          <w:tcPr>
            <w:tcW w:w="4563" w:type="dxa"/>
            <w:vAlign w:val="top"/>
          </w:tcPr>
          <w:p>
            <w:pPr>
              <w:pStyle w:val="TableText"/>
              <w:ind w:left="136" w:right="130" w:hanging="29"/>
              <w:spacing w:before="89" w:line="220" w:lineRule="auto"/>
              <w:rPr/>
            </w:pPr>
            <w:r>
              <w:rPr>
                <w:spacing w:val="9"/>
              </w:rPr>
              <w:t>公司未在</w:t>
            </w:r>
            <w:r>
              <w:rPr>
                <w:b/>
                <w:bCs/>
                <w:spacing w:val="9"/>
              </w:rPr>
              <w:t>预计触发转股价格修正条件</w:t>
            </w:r>
            <w:r>
              <w:rPr>
                <w:spacing w:val="9"/>
              </w:rPr>
              <w:t>的5个交易</w:t>
            </w:r>
            <w:r>
              <w:rPr>
                <w:spacing w:val="12"/>
              </w:rPr>
              <w:t xml:space="preserve"> </w:t>
            </w:r>
            <w:r>
              <w:rPr>
                <w:spacing w:val="6"/>
              </w:rPr>
              <w:t>日前及时披露提示性公告。</w:t>
            </w:r>
          </w:p>
        </w:tc>
      </w:tr>
      <w:tr>
        <w:trPr>
          <w:trHeight w:val="2526" w:hRule="atLeast"/>
        </w:trPr>
        <w:tc>
          <w:tcPr>
            <w:shd w:val="clear" w:fill="B8CCE4"/>
            <w:tcW w:w="1471"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377"/>
              <w:spacing w:before="86" w:line="178" w:lineRule="auto"/>
              <w:rPr/>
            </w:pPr>
            <w:r>
              <w:rPr>
                <w:spacing w:val="3"/>
              </w:rPr>
              <w:t>300287</w:t>
            </w:r>
          </w:p>
        </w:tc>
        <w:tc>
          <w:tcPr>
            <w:shd w:val="clear" w:fill="B8CCE4"/>
            <w:tcW w:w="1484"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426"/>
              <w:spacing w:before="85" w:line="189" w:lineRule="auto"/>
              <w:rPr/>
            </w:pPr>
            <w:r>
              <w:rPr>
                <w:spacing w:val="8"/>
              </w:rPr>
              <w:t>飞利信</w:t>
            </w:r>
          </w:p>
        </w:tc>
        <w:tc>
          <w:tcPr>
            <w:shd w:val="clear" w:fill="B8CCE4"/>
            <w:tcW w:w="1498"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434"/>
              <w:spacing w:before="85" w:line="189" w:lineRule="auto"/>
              <w:rPr/>
            </w:pPr>
            <w:r>
              <w:rPr>
                <w:spacing w:val="8"/>
              </w:rPr>
              <w:t>监管函</w:t>
            </w:r>
          </w:p>
        </w:tc>
        <w:tc>
          <w:tcPr>
            <w:shd w:val="clear" w:fill="B8CCE4"/>
            <w:tcW w:w="4563" w:type="dxa"/>
            <w:vAlign w:val="top"/>
          </w:tcPr>
          <w:p>
            <w:pPr>
              <w:pStyle w:val="TableText"/>
              <w:ind w:left="106" w:right="254" w:firstLine="11"/>
              <w:spacing w:before="83" w:line="243" w:lineRule="auto"/>
              <w:jc w:val="both"/>
              <w:rPr/>
            </w:pPr>
            <w:r>
              <w:rPr>
                <w:spacing w:val="8"/>
              </w:rPr>
              <w:t>2019年至2022年年报中未正确核算、列报和</w:t>
            </w:r>
            <w:r>
              <w:rPr/>
              <w:t xml:space="preserve">  </w:t>
            </w:r>
            <w:r>
              <w:rPr>
                <w:spacing w:val="9"/>
              </w:rPr>
              <w:t>披露上海同江机动车检测有限公司、上海宝盈</w:t>
            </w:r>
            <w:r>
              <w:rPr>
                <w:spacing w:val="15"/>
                <w:w w:val="101"/>
              </w:rPr>
              <w:t xml:space="preserve"> </w:t>
            </w:r>
            <w:r>
              <w:rPr>
                <w:spacing w:val="9"/>
              </w:rPr>
              <w:t>机动车检测有限公司、上海盈江机动车检测有</w:t>
            </w:r>
            <w:r>
              <w:rPr>
                <w:spacing w:val="15"/>
                <w:w w:val="101"/>
              </w:rPr>
              <w:t xml:space="preserve"> </w:t>
            </w:r>
            <w:r>
              <w:rPr>
                <w:spacing w:val="9"/>
              </w:rPr>
              <w:t>限公司三家检测场受托经营业务相关的合同义</w:t>
            </w:r>
            <w:r>
              <w:rPr>
                <w:spacing w:val="15"/>
                <w:w w:val="101"/>
              </w:rPr>
              <w:t xml:space="preserve"> </w:t>
            </w:r>
            <w:r>
              <w:rPr>
                <w:spacing w:val="7"/>
              </w:rPr>
              <w:t>务；</w:t>
            </w:r>
            <w:r>
              <w:rPr>
                <w:spacing w:val="-26"/>
              </w:rPr>
              <w:t xml:space="preserve"> </w:t>
            </w:r>
            <w:r>
              <w:rPr>
                <w:spacing w:val="7"/>
              </w:rPr>
              <w:t>2018年至2020年年报中未正确列报和披</w:t>
            </w:r>
            <w:r>
              <w:rPr/>
              <w:t xml:space="preserve">  </w:t>
            </w:r>
            <w:r>
              <w:rPr>
                <w:spacing w:val="9"/>
              </w:rPr>
              <w:t>露对北京飞利信泽渊基金管理中心（有限合伙</w:t>
            </w:r>
            <w:r>
              <w:rPr>
                <w:spacing w:val="15"/>
                <w:w w:val="101"/>
              </w:rPr>
              <w:t xml:space="preserve"> </w:t>
            </w:r>
            <w:r>
              <w:rPr>
                <w:spacing w:val="4"/>
              </w:rPr>
              <w:t>)</w:t>
            </w:r>
            <w:r>
              <w:rPr>
                <w:spacing w:val="15"/>
              </w:rPr>
              <w:t xml:space="preserve">  </w:t>
            </w:r>
            <w:r>
              <w:rPr>
                <w:spacing w:val="4"/>
              </w:rPr>
              <w:t>的投资。</w:t>
            </w:r>
          </w:p>
        </w:tc>
      </w:tr>
      <w:tr>
        <w:trPr>
          <w:trHeight w:val="725" w:hRule="atLeast"/>
        </w:trPr>
        <w:tc>
          <w:tcPr>
            <w:tcW w:w="1471" w:type="dxa"/>
            <w:vAlign w:val="top"/>
          </w:tcPr>
          <w:p>
            <w:pPr>
              <w:pStyle w:val="TableText"/>
              <w:ind w:left="372"/>
              <w:spacing w:before="282" w:line="178" w:lineRule="auto"/>
              <w:rPr/>
            </w:pPr>
            <w:r>
              <w:rPr>
                <w:spacing w:val="3"/>
              </w:rPr>
              <w:t>002608</w:t>
            </w:r>
          </w:p>
        </w:tc>
        <w:tc>
          <w:tcPr>
            <w:tcW w:w="1484" w:type="dxa"/>
            <w:vAlign w:val="top"/>
          </w:tcPr>
          <w:p>
            <w:pPr>
              <w:pStyle w:val="TableText"/>
              <w:ind w:left="320"/>
              <w:spacing w:before="267" w:line="189" w:lineRule="auto"/>
              <w:rPr/>
            </w:pPr>
            <w:r>
              <w:rPr>
                <w:spacing w:val="8"/>
              </w:rPr>
              <w:t>江苏国信</w:t>
            </w:r>
          </w:p>
        </w:tc>
        <w:tc>
          <w:tcPr>
            <w:tcW w:w="1498" w:type="dxa"/>
            <w:vAlign w:val="top"/>
          </w:tcPr>
          <w:p>
            <w:pPr>
              <w:pStyle w:val="TableText"/>
              <w:ind w:left="434"/>
              <w:spacing w:before="267" w:line="189" w:lineRule="auto"/>
              <w:rPr/>
            </w:pPr>
            <w:r>
              <w:rPr>
                <w:spacing w:val="8"/>
              </w:rPr>
              <w:t>监管函</w:t>
            </w:r>
          </w:p>
        </w:tc>
        <w:tc>
          <w:tcPr>
            <w:tcW w:w="4563" w:type="dxa"/>
            <w:vAlign w:val="top"/>
          </w:tcPr>
          <w:p>
            <w:pPr>
              <w:pStyle w:val="TableText"/>
              <w:ind w:left="108" w:right="254" w:firstLine="1"/>
              <w:spacing w:before="85" w:line="220" w:lineRule="auto"/>
              <w:rPr/>
            </w:pPr>
            <w:r>
              <w:rPr>
                <w:spacing w:val="9"/>
              </w:rPr>
              <w:t>副总经理、财务负责人、董事会秘书亲属</w:t>
            </w:r>
            <w:r>
              <w:rPr>
                <w:b/>
                <w:bCs/>
                <w:spacing w:val="9"/>
              </w:rPr>
              <w:t>短线</w:t>
            </w:r>
            <w:r>
              <w:rPr>
                <w:b/>
                <w:bCs/>
                <w:spacing w:val="11"/>
              </w:rPr>
              <w:t xml:space="preserve"> </w:t>
            </w:r>
            <w:r>
              <w:rPr>
                <w:b/>
                <w:bCs/>
                <w:spacing w:val="4"/>
              </w:rPr>
              <w:t>交易。</w:t>
            </w:r>
          </w:p>
        </w:tc>
      </w:tr>
      <w:tr>
        <w:trPr>
          <w:trHeight w:val="1445" w:hRule="atLeast"/>
        </w:trPr>
        <w:tc>
          <w:tcPr>
            <w:shd w:val="clear" w:fill="B8CCE4"/>
            <w:tcW w:w="1471" w:type="dxa"/>
            <w:vAlign w:val="top"/>
          </w:tcPr>
          <w:p>
            <w:pPr>
              <w:spacing w:line="275" w:lineRule="auto"/>
              <w:rPr>
                <w:rFonts w:ascii="Arial"/>
                <w:sz w:val="21"/>
              </w:rPr>
            </w:pPr>
            <w:r/>
          </w:p>
          <w:p>
            <w:pPr>
              <w:spacing w:line="275" w:lineRule="auto"/>
              <w:rPr>
                <w:rFonts w:ascii="Arial"/>
                <w:sz w:val="21"/>
              </w:rPr>
            </w:pPr>
            <w:r/>
          </w:p>
          <w:p>
            <w:pPr>
              <w:pStyle w:val="TableText"/>
              <w:ind w:left="372"/>
              <w:spacing w:before="86" w:line="179" w:lineRule="auto"/>
              <w:rPr/>
            </w:pPr>
            <w:r>
              <w:rPr>
                <w:spacing w:val="3"/>
              </w:rPr>
              <w:t>002861</w:t>
            </w:r>
          </w:p>
        </w:tc>
        <w:tc>
          <w:tcPr>
            <w:shd w:val="clear" w:fill="B8CCE4"/>
            <w:tcW w:w="1484" w:type="dxa"/>
            <w:vAlign w:val="top"/>
          </w:tcPr>
          <w:p>
            <w:pPr>
              <w:spacing w:line="268" w:lineRule="auto"/>
              <w:rPr>
                <w:rFonts w:ascii="Arial"/>
                <w:sz w:val="21"/>
              </w:rPr>
            </w:pPr>
            <w:r/>
          </w:p>
          <w:p>
            <w:pPr>
              <w:spacing w:line="269" w:lineRule="auto"/>
              <w:rPr>
                <w:rFonts w:ascii="Arial"/>
                <w:sz w:val="21"/>
              </w:rPr>
            </w:pPr>
            <w:r/>
          </w:p>
          <w:p>
            <w:pPr>
              <w:pStyle w:val="TableText"/>
              <w:ind w:left="320"/>
              <w:spacing w:before="86" w:line="189" w:lineRule="auto"/>
              <w:rPr/>
            </w:pPr>
            <w:r>
              <w:rPr>
                <w:spacing w:val="8"/>
              </w:rPr>
              <w:t>瀛通通讯</w:t>
            </w:r>
          </w:p>
        </w:tc>
        <w:tc>
          <w:tcPr>
            <w:shd w:val="clear" w:fill="B8CCE4"/>
            <w:tcW w:w="1498" w:type="dxa"/>
            <w:vAlign w:val="top"/>
          </w:tcPr>
          <w:p>
            <w:pPr>
              <w:spacing w:line="268"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7" w:right="130"/>
              <w:spacing w:before="90" w:line="235"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日前及时披露提示性公告</w:t>
            </w:r>
            <w:r>
              <w:rPr>
                <w:spacing w:val="-26"/>
              </w:rPr>
              <w:t xml:space="preserve"> </w:t>
            </w:r>
            <w:r>
              <w:rPr>
                <w:spacing w:val="8"/>
              </w:rPr>
              <w:t>，未在触发转股价格</w:t>
            </w:r>
            <w:r>
              <w:rPr/>
              <w:t xml:space="preserve">   </w:t>
            </w:r>
            <w:r>
              <w:rPr>
                <w:spacing w:val="9"/>
              </w:rPr>
              <w:t>修正条件次一交易日开市前披露修正或者不修</w:t>
            </w:r>
            <w:r>
              <w:rPr>
                <w:spacing w:val="4"/>
              </w:rPr>
              <w:t xml:space="preserve">   </w:t>
            </w:r>
            <w:r>
              <w:rPr>
                <w:spacing w:val="8"/>
              </w:rPr>
              <w:t>正可转债转股价格的提示性公告。</w:t>
            </w:r>
          </w:p>
        </w:tc>
      </w:tr>
      <w:tr>
        <w:trPr>
          <w:trHeight w:val="1445" w:hRule="atLeast"/>
        </w:trPr>
        <w:tc>
          <w:tcPr>
            <w:tcW w:w="1471" w:type="dxa"/>
            <w:vAlign w:val="top"/>
          </w:tcPr>
          <w:p>
            <w:pPr>
              <w:spacing w:line="277" w:lineRule="auto"/>
              <w:rPr>
                <w:rFonts w:ascii="Arial"/>
                <w:sz w:val="21"/>
              </w:rPr>
            </w:pPr>
            <w:r/>
          </w:p>
          <w:p>
            <w:pPr>
              <w:spacing w:line="277" w:lineRule="auto"/>
              <w:rPr>
                <w:rFonts w:ascii="Arial"/>
                <w:sz w:val="21"/>
              </w:rPr>
            </w:pPr>
            <w:r/>
          </w:p>
          <w:p>
            <w:pPr>
              <w:pStyle w:val="TableText"/>
              <w:ind w:left="377"/>
              <w:spacing w:before="86" w:line="178" w:lineRule="auto"/>
              <w:rPr/>
            </w:pPr>
            <w:r>
              <w:rPr>
                <w:spacing w:val="3"/>
              </w:rPr>
              <w:t>300008</w:t>
            </w:r>
          </w:p>
        </w:tc>
        <w:tc>
          <w:tcPr>
            <w:tcW w:w="1484" w:type="dxa"/>
            <w:vAlign w:val="top"/>
          </w:tcPr>
          <w:p>
            <w:pPr>
              <w:spacing w:line="269" w:lineRule="auto"/>
              <w:rPr>
                <w:rFonts w:ascii="Arial"/>
                <w:sz w:val="21"/>
              </w:rPr>
            </w:pPr>
            <w:r/>
          </w:p>
          <w:p>
            <w:pPr>
              <w:spacing w:line="269" w:lineRule="auto"/>
              <w:rPr>
                <w:rFonts w:ascii="Arial"/>
                <w:sz w:val="21"/>
              </w:rPr>
            </w:pPr>
            <w:r/>
          </w:p>
          <w:p>
            <w:pPr>
              <w:pStyle w:val="TableText"/>
              <w:ind w:left="320"/>
              <w:spacing w:before="86" w:line="190" w:lineRule="auto"/>
              <w:rPr/>
            </w:pPr>
            <w:r>
              <w:rPr>
                <w:spacing w:val="8"/>
              </w:rPr>
              <w:t>天海防务</w:t>
            </w:r>
          </w:p>
        </w:tc>
        <w:tc>
          <w:tcPr>
            <w:tcW w:w="1498" w:type="dxa"/>
            <w:vAlign w:val="top"/>
          </w:tcPr>
          <w:p>
            <w:pPr>
              <w:spacing w:line="269"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182"/>
              <w:spacing w:before="50" w:line="242" w:lineRule="auto"/>
              <w:jc w:val="both"/>
              <w:rPr/>
            </w:pPr>
            <w:r>
              <w:rPr>
                <w:spacing w:val="9"/>
              </w:rPr>
              <w:t>大信会计师事务所（特殊普通合伙）及注册会</w:t>
            </w:r>
            <w:r>
              <w:rPr>
                <w:spacing w:val="6"/>
              </w:rPr>
              <w:t xml:space="preserve">  </w:t>
            </w:r>
            <w:r>
              <w:rPr>
                <w:spacing w:val="9"/>
              </w:rPr>
              <w:t>计师出具的天海防务2017年年度</w:t>
            </w:r>
            <w:r>
              <w:rPr>
                <w:b/>
                <w:bCs/>
                <w:spacing w:val="9"/>
              </w:rPr>
              <w:t>审计报告存在</w:t>
            </w:r>
            <w:r>
              <w:rPr>
                <w:b/>
                <w:bCs/>
              </w:rPr>
              <w:t xml:space="preserve"> </w:t>
            </w:r>
            <w:r>
              <w:rPr>
                <w:b/>
                <w:bCs/>
                <w:spacing w:val="9"/>
              </w:rPr>
              <w:t>虚假记载</w:t>
            </w:r>
            <w:r>
              <w:rPr>
                <w:spacing w:val="9"/>
              </w:rPr>
              <w:t>；对天海防务2017年财务报表的审计</w:t>
            </w:r>
            <w:r>
              <w:rPr/>
              <w:t xml:space="preserve"> </w:t>
            </w:r>
            <w:r>
              <w:rPr>
                <w:spacing w:val="7"/>
              </w:rPr>
              <w:t>存在缺陷。</w:t>
            </w:r>
          </w:p>
        </w:tc>
      </w:tr>
      <w:tr>
        <w:trPr>
          <w:trHeight w:val="1805" w:hRule="atLeast"/>
        </w:trPr>
        <w:tc>
          <w:tcPr>
            <w:shd w:val="clear" w:fill="B8CCE4"/>
            <w:tcW w:w="1471"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372"/>
              <w:spacing w:before="86" w:line="179" w:lineRule="auto"/>
              <w:rPr/>
            </w:pPr>
            <w:r>
              <w:rPr>
                <w:spacing w:val="3"/>
              </w:rPr>
              <w:t>002313</w:t>
            </w:r>
          </w:p>
        </w:tc>
        <w:tc>
          <w:tcPr>
            <w:shd w:val="clear" w:fill="B8CCE4"/>
            <w:tcW w:w="1484" w:type="dxa"/>
            <w:vAlign w:val="top"/>
          </w:tcPr>
          <w:p>
            <w:pPr>
              <w:spacing w:line="359" w:lineRule="auto"/>
              <w:rPr>
                <w:rFonts w:ascii="Arial"/>
                <w:sz w:val="21"/>
              </w:rPr>
            </w:pPr>
            <w:r/>
          </w:p>
          <w:p>
            <w:pPr>
              <w:spacing w:line="360" w:lineRule="auto"/>
              <w:rPr>
                <w:rFonts w:ascii="Arial"/>
                <w:sz w:val="21"/>
              </w:rPr>
            </w:pPr>
            <w:r/>
          </w:p>
          <w:p>
            <w:pPr>
              <w:pStyle w:val="TableText"/>
              <w:ind w:left="349"/>
              <w:spacing w:before="85" w:line="190" w:lineRule="auto"/>
              <w:rPr/>
            </w:pPr>
            <w:r>
              <w:rPr>
                <w:spacing w:val="1"/>
              </w:rPr>
              <w:t>日海智能</w:t>
            </w:r>
          </w:p>
        </w:tc>
        <w:tc>
          <w:tcPr>
            <w:shd w:val="clear" w:fill="B8CCE4"/>
            <w:tcW w:w="1498" w:type="dxa"/>
            <w:vAlign w:val="top"/>
          </w:tcPr>
          <w:p>
            <w:pPr>
              <w:rPr>
                <w:rFonts w:ascii="Arial"/>
                <w:sz w:val="21"/>
              </w:rPr>
            </w:pPr>
            <w:r/>
          </w:p>
          <w:p>
            <w:pPr>
              <w:rPr>
                <w:rFonts w:ascii="Arial"/>
                <w:sz w:val="21"/>
              </w:rPr>
            </w:pPr>
            <w:r/>
          </w:p>
          <w:p>
            <w:pPr>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8" w:right="182" w:firstLine="11"/>
              <w:spacing w:before="86" w:line="239" w:lineRule="auto"/>
              <w:jc w:val="both"/>
              <w:rPr/>
            </w:pPr>
            <w:r>
              <w:rPr>
                <w:spacing w:val="8"/>
              </w:rPr>
              <w:t>国众联资产评估土地房地产估价有限公司2019 </w:t>
            </w:r>
            <w:r>
              <w:rPr>
                <w:spacing w:val="9"/>
              </w:rPr>
              <w:t>年执行对日海智能科技股份有限公司子公司龙</w:t>
            </w:r>
            <w:r>
              <w:rPr>
                <w:spacing w:val="6"/>
              </w:rPr>
              <w:t xml:space="preserve">  </w:t>
            </w:r>
            <w:r>
              <w:rPr>
                <w:spacing w:val="9"/>
              </w:rPr>
              <w:t>尚科技（上海）有限公司商誉及相关资产组的</w:t>
            </w:r>
            <w:r>
              <w:rPr>
                <w:spacing w:val="6"/>
              </w:rPr>
              <w:t xml:space="preserve">  </w:t>
            </w:r>
            <w:r>
              <w:rPr>
                <w:spacing w:val="6"/>
              </w:rPr>
              <w:t>评估项目</w:t>
            </w:r>
            <w:r>
              <w:rPr>
                <w:spacing w:val="-12"/>
              </w:rPr>
              <w:t xml:space="preserve"> </w:t>
            </w:r>
            <w:r>
              <w:rPr>
                <w:spacing w:val="6"/>
              </w:rPr>
              <w:t>，</w:t>
            </w:r>
            <w:r>
              <w:rPr>
                <w:spacing w:val="-34"/>
              </w:rPr>
              <w:t xml:space="preserve"> </w:t>
            </w:r>
            <w:r>
              <w:rPr>
                <w:spacing w:val="6"/>
              </w:rPr>
              <w:t>出具的相关资产评估报告附件中作</w:t>
            </w:r>
            <w:r>
              <w:rPr/>
              <w:t xml:space="preserve">  </w:t>
            </w:r>
            <w:r>
              <w:rPr>
                <w:spacing w:val="9"/>
              </w:rPr>
              <w:t>出的</w:t>
            </w:r>
            <w:r>
              <w:rPr>
                <w:b/>
                <w:bCs/>
                <w:spacing w:val="9"/>
              </w:rPr>
              <w:t>商誉“不减值”结论不恰当</w:t>
            </w:r>
            <w:r>
              <w:rPr>
                <w:spacing w:val="9"/>
              </w:rPr>
              <w:t>。</w:t>
            </w:r>
          </w:p>
        </w:tc>
      </w:tr>
      <w:tr>
        <w:trPr>
          <w:trHeight w:val="611" w:hRule="atLeast"/>
        </w:trPr>
        <w:tc>
          <w:tcPr>
            <w:tcW w:w="1471" w:type="dxa"/>
            <w:vAlign w:val="top"/>
          </w:tcPr>
          <w:p>
            <w:pPr>
              <w:pStyle w:val="TableText"/>
              <w:ind w:left="372"/>
              <w:spacing w:before="226" w:line="179" w:lineRule="auto"/>
              <w:rPr/>
            </w:pPr>
            <w:r>
              <w:rPr>
                <w:spacing w:val="3"/>
              </w:rPr>
              <w:t>002109</w:t>
            </w:r>
          </w:p>
        </w:tc>
        <w:tc>
          <w:tcPr>
            <w:tcW w:w="1484" w:type="dxa"/>
            <w:vAlign w:val="top"/>
          </w:tcPr>
          <w:p>
            <w:pPr>
              <w:pStyle w:val="TableText"/>
              <w:ind w:left="322"/>
              <w:spacing w:before="214" w:line="188" w:lineRule="auto"/>
              <w:rPr/>
            </w:pPr>
            <w:r>
              <w:rPr>
                <w:spacing w:val="8"/>
              </w:rPr>
              <w:t>兴化股份</w:t>
            </w:r>
          </w:p>
        </w:tc>
        <w:tc>
          <w:tcPr>
            <w:tcW w:w="1498" w:type="dxa"/>
            <w:vAlign w:val="top"/>
          </w:tcPr>
          <w:p>
            <w:pPr>
              <w:pStyle w:val="TableText"/>
              <w:ind w:left="434"/>
              <w:spacing w:before="212" w:line="189" w:lineRule="auto"/>
              <w:rPr/>
            </w:pPr>
            <w:r>
              <w:rPr>
                <w:spacing w:val="8"/>
              </w:rPr>
              <w:t>监管函</w:t>
            </w:r>
          </w:p>
        </w:tc>
        <w:tc>
          <w:tcPr>
            <w:tcW w:w="4563" w:type="dxa"/>
            <w:vAlign w:val="top"/>
          </w:tcPr>
          <w:p>
            <w:pPr>
              <w:pStyle w:val="TableText"/>
              <w:ind w:left="109"/>
              <w:spacing w:before="212" w:line="189" w:lineRule="auto"/>
              <w:rPr/>
            </w:pPr>
            <w:r>
              <w:rPr>
                <w:spacing w:val="8"/>
              </w:rPr>
              <w:t>董事长配偶</w:t>
            </w:r>
            <w:r>
              <w:rPr>
                <w:b/>
                <w:bCs/>
                <w:spacing w:val="8"/>
              </w:rPr>
              <w:t>短线交易</w:t>
            </w:r>
            <w:r>
              <w:rPr>
                <w:spacing w:val="8"/>
              </w:rPr>
              <w:t>。</w:t>
            </w:r>
          </w:p>
        </w:tc>
      </w:tr>
      <w:tr>
        <w:trPr>
          <w:trHeight w:val="365" w:hRule="atLeast"/>
        </w:trPr>
        <w:tc>
          <w:tcPr>
            <w:shd w:val="clear" w:fill="B8CCE4"/>
            <w:tcW w:w="1471" w:type="dxa"/>
            <w:vAlign w:val="top"/>
          </w:tcPr>
          <w:p>
            <w:pPr>
              <w:pStyle w:val="TableText"/>
              <w:ind w:left="377"/>
              <w:spacing w:before="104" w:line="175" w:lineRule="auto"/>
              <w:rPr/>
            </w:pPr>
            <w:r>
              <w:rPr>
                <w:spacing w:val="3"/>
              </w:rPr>
              <w:t>300245</w:t>
            </w:r>
          </w:p>
        </w:tc>
        <w:tc>
          <w:tcPr>
            <w:shd w:val="clear" w:fill="B8CCE4"/>
            <w:tcW w:w="1484" w:type="dxa"/>
            <w:vAlign w:val="top"/>
          </w:tcPr>
          <w:p>
            <w:pPr>
              <w:pStyle w:val="TableText"/>
              <w:ind w:left="320"/>
              <w:spacing w:before="93" w:line="183" w:lineRule="auto"/>
              <w:rPr/>
            </w:pPr>
            <w:r>
              <w:rPr>
                <w:spacing w:val="8"/>
              </w:rPr>
              <w:t>天玑科技</w:t>
            </w:r>
          </w:p>
        </w:tc>
        <w:tc>
          <w:tcPr>
            <w:shd w:val="clear" w:fill="B8CCE4"/>
            <w:tcW w:w="1498" w:type="dxa"/>
            <w:vAlign w:val="top"/>
          </w:tcPr>
          <w:p>
            <w:pPr>
              <w:pStyle w:val="TableText"/>
              <w:ind w:left="434"/>
              <w:spacing w:before="90" w:line="185" w:lineRule="auto"/>
              <w:rPr/>
            </w:pPr>
            <w:r>
              <w:rPr>
                <w:spacing w:val="8"/>
              </w:rPr>
              <w:t>监管函</w:t>
            </w:r>
          </w:p>
        </w:tc>
        <w:tc>
          <w:tcPr>
            <w:shd w:val="clear" w:fill="B8CCE4"/>
            <w:tcW w:w="4563" w:type="dxa"/>
            <w:vAlign w:val="top"/>
          </w:tcPr>
          <w:p>
            <w:pPr>
              <w:pStyle w:val="TableText"/>
              <w:ind w:left="107"/>
              <w:spacing w:before="89" w:line="186" w:lineRule="auto"/>
              <w:rPr/>
            </w:pPr>
            <w:r>
              <w:rPr>
                <w:b/>
                <w:bCs/>
                <w:spacing w:val="8"/>
              </w:rPr>
              <w:t>政府补助</w:t>
            </w:r>
            <w:r>
              <w:rPr>
                <w:spacing w:val="8"/>
              </w:rPr>
              <w:t>事项未及时披露。</w:t>
            </w:r>
          </w:p>
        </w:tc>
      </w:tr>
      <w:tr>
        <w:trPr>
          <w:trHeight w:val="3251" w:hRule="atLeast"/>
        </w:trPr>
        <w:tc>
          <w:tcPr>
            <w:tcW w:w="1471"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72"/>
              <w:spacing w:before="86" w:line="178" w:lineRule="auto"/>
              <w:rPr/>
            </w:pPr>
            <w:r>
              <w:rPr>
                <w:spacing w:val="3"/>
              </w:rPr>
              <w:t>000767</w:t>
            </w:r>
          </w:p>
        </w:tc>
        <w:tc>
          <w:tcPr>
            <w:tcW w:w="1484"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325"/>
              <w:spacing w:before="85" w:line="189" w:lineRule="auto"/>
              <w:rPr/>
            </w:pPr>
            <w:r>
              <w:rPr>
                <w:spacing w:val="7"/>
              </w:rPr>
              <w:t>晋控电力</w:t>
            </w:r>
          </w:p>
        </w:tc>
        <w:tc>
          <w:tcPr>
            <w:tcW w:w="1498"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6" w:right="252" w:firstLine="2"/>
              <w:spacing w:before="91" w:line="243" w:lineRule="auto"/>
              <w:jc w:val="both"/>
              <w:rPr/>
            </w:pPr>
            <w:r>
              <w:rPr>
                <w:spacing w:val="9"/>
              </w:rPr>
              <w:t>部分董事会</w:t>
            </w:r>
            <w:r>
              <w:rPr>
                <w:b/>
                <w:bCs/>
                <w:spacing w:val="9"/>
              </w:rPr>
              <w:t>关联董事未回避表决</w:t>
            </w:r>
            <w:r>
              <w:rPr>
                <w:spacing w:val="9"/>
              </w:rPr>
              <w:t>且披露不准确</w:t>
            </w:r>
            <w:r>
              <w:rPr>
                <w:spacing w:val="12"/>
              </w:rPr>
              <w:t xml:space="preserve"> </w:t>
            </w:r>
            <w:r>
              <w:rPr>
                <w:spacing w:val="10"/>
              </w:rPr>
              <w:t>;  未严格执行证监会</w:t>
            </w:r>
            <w:r>
              <w:rPr>
                <w:b/>
                <w:bCs/>
                <w:spacing w:val="10"/>
              </w:rPr>
              <w:t>内幕信息知情人登记</w:t>
            </w:r>
            <w:r>
              <w:rPr>
                <w:spacing w:val="10"/>
              </w:rPr>
              <w:t>管理</w:t>
            </w:r>
            <w:r>
              <w:rPr>
                <w:spacing w:val="8"/>
              </w:rPr>
              <w:t xml:space="preserve"> </w:t>
            </w:r>
            <w:r>
              <w:rPr>
                <w:spacing w:val="8"/>
              </w:rPr>
              <w:t>制度；部分</w:t>
            </w:r>
            <w:r>
              <w:rPr>
                <w:b/>
                <w:bCs/>
                <w:spacing w:val="8"/>
              </w:rPr>
              <w:t>担保事项</w:t>
            </w:r>
            <w:r>
              <w:rPr>
                <w:spacing w:val="8"/>
              </w:rPr>
              <w:t>审议程序滞后</w:t>
            </w:r>
            <w:r>
              <w:rPr>
                <w:spacing w:val="-22"/>
              </w:rPr>
              <w:t xml:space="preserve"> </w:t>
            </w:r>
            <w:r>
              <w:rPr>
                <w:spacing w:val="8"/>
              </w:rPr>
              <w:t>，未经董事</w:t>
            </w:r>
            <w:r>
              <w:rPr/>
              <w:t xml:space="preserve"> </w:t>
            </w:r>
            <w:r>
              <w:rPr>
                <w:spacing w:val="9"/>
              </w:rPr>
              <w:t>会或股东大会审议通过即实施担保；未及时对</w:t>
            </w:r>
            <w:r>
              <w:rPr>
                <w:spacing w:val="15"/>
              </w:rPr>
              <w:t xml:space="preserve"> </w:t>
            </w:r>
            <w:r>
              <w:rPr>
                <w:spacing w:val="9"/>
              </w:rPr>
              <w:t>新增和超出预计额度的部分</w:t>
            </w:r>
            <w:r>
              <w:rPr>
                <w:b/>
                <w:bCs/>
                <w:spacing w:val="9"/>
              </w:rPr>
              <w:t>关联交易</w:t>
            </w:r>
            <w:r>
              <w:rPr>
                <w:spacing w:val="9"/>
              </w:rPr>
              <w:t>履行审议</w:t>
            </w:r>
            <w:r>
              <w:rPr>
                <w:spacing w:val="15"/>
              </w:rPr>
              <w:t xml:space="preserve"> </w:t>
            </w:r>
            <w:r>
              <w:rPr>
                <w:spacing w:val="8"/>
              </w:rPr>
              <w:t>程序和披露义务；</w:t>
            </w:r>
            <w:r>
              <w:rPr>
                <w:spacing w:val="-22"/>
              </w:rPr>
              <w:t xml:space="preserve"> </w:t>
            </w:r>
            <w:r>
              <w:rPr>
                <w:spacing w:val="8"/>
              </w:rPr>
              <w:t>向控股股东</w:t>
            </w:r>
            <w:r>
              <w:rPr>
                <w:b/>
                <w:bCs/>
                <w:spacing w:val="8"/>
              </w:rPr>
              <w:t>资金拆借业务</w:t>
            </w:r>
            <w:r>
              <w:rPr>
                <w:spacing w:val="8"/>
              </w:rPr>
              <w:t>未</w:t>
            </w:r>
            <w:r>
              <w:rPr/>
              <w:t xml:space="preserve"> </w:t>
            </w:r>
            <w:r>
              <w:rPr>
                <w:spacing w:val="7"/>
              </w:rPr>
              <w:t>履行审议程序和披露义务；</w:t>
            </w:r>
            <w:r>
              <w:rPr>
                <w:spacing w:val="-30"/>
              </w:rPr>
              <w:t xml:space="preserve"> </w:t>
            </w:r>
            <w:r>
              <w:rPr>
                <w:spacing w:val="7"/>
              </w:rPr>
              <w:t>2022年年报、</w:t>
            </w:r>
          </w:p>
          <w:p>
            <w:pPr>
              <w:pStyle w:val="TableText"/>
              <w:ind w:left="108" w:right="180" w:firstLine="8"/>
              <w:spacing w:before="88" w:line="220" w:lineRule="auto"/>
              <w:rPr/>
            </w:pPr>
            <w:r>
              <w:rPr>
                <w:spacing w:val="8"/>
              </w:rPr>
              <w:t>2023年半年报对部分</w:t>
            </w:r>
            <w:r>
              <w:rPr>
                <w:b/>
                <w:bCs/>
                <w:spacing w:val="8"/>
              </w:rPr>
              <w:t>担保事项的担保对象或担</w:t>
            </w:r>
            <w:r>
              <w:rPr>
                <w:b/>
                <w:bCs/>
                <w:spacing w:val="13"/>
              </w:rPr>
              <w:t xml:space="preserve"> </w:t>
            </w:r>
            <w:r>
              <w:rPr>
                <w:b/>
                <w:bCs/>
                <w:spacing w:val="9"/>
              </w:rPr>
              <w:t>保日期</w:t>
            </w:r>
            <w:r>
              <w:rPr>
                <w:spacing w:val="9"/>
              </w:rPr>
              <w:t>相关信息披露不准确。</w:t>
            </w:r>
          </w:p>
        </w:tc>
      </w:tr>
    </w:tbl>
    <w:p>
      <w:pPr>
        <w:pStyle w:val="BodyText"/>
        <w:spacing w:line="425"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6"/>
        </w:rPr>
        <w:t>（</w:t>
      </w:r>
      <w:r>
        <w:rPr>
          <w:rFonts w:ascii="Microsoft YaHei" w:hAnsi="Microsoft YaHei" w:eastAsia="Microsoft YaHei" w:cs="Microsoft YaHei"/>
          <w:sz w:val="24"/>
          <w:szCs w:val="24"/>
          <w:b/>
          <w:bCs/>
          <w:spacing w:val="-12"/>
        </w:rPr>
        <w:t xml:space="preserve"> </w:t>
      </w:r>
      <w:r>
        <w:rPr>
          <w:rFonts w:ascii="Microsoft YaHei" w:hAnsi="Microsoft YaHei" w:eastAsia="Microsoft YaHei" w:cs="Microsoft YaHei"/>
          <w:sz w:val="24"/>
          <w:szCs w:val="24"/>
          <w:b/>
          <w:bCs/>
          <w:spacing w:val="-16"/>
        </w:rPr>
        <w:t>2</w:t>
      </w:r>
      <w:r>
        <w:rPr>
          <w:rFonts w:ascii="Microsoft YaHei" w:hAnsi="Microsoft YaHei" w:eastAsia="Microsoft YaHei" w:cs="Microsoft YaHei"/>
          <w:sz w:val="24"/>
          <w:szCs w:val="24"/>
          <w:b/>
          <w:bCs/>
          <w:spacing w:val="-14"/>
        </w:rPr>
        <w:t xml:space="preserve"> </w:t>
      </w:r>
      <w:r>
        <w:rPr>
          <w:rFonts w:ascii="Microsoft YaHei" w:hAnsi="Microsoft YaHei" w:eastAsia="Microsoft YaHei" w:cs="Microsoft YaHei"/>
          <w:sz w:val="24"/>
          <w:szCs w:val="24"/>
          <w:b/>
          <w:bCs/>
          <w:spacing w:val="-16"/>
        </w:rPr>
        <w:t>）函件统计</w:t>
      </w:r>
    </w:p>
    <w:tbl>
      <w:tblPr>
        <w:tblStyle w:val="TableNormal"/>
        <w:tblW w:w="9003" w:type="dxa"/>
        <w:tblInd w:w="11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5" w:hRule="atLeast"/>
        </w:trPr>
        <w:tc>
          <w:tcPr>
            <w:shd w:val="clear" w:fill="4BACC6"/>
            <w:tcW w:w="1105" w:type="dxa"/>
            <w:vAlign w:val="top"/>
            <w:tcBorders>
              <w:left w:val="nil"/>
              <w:top w:val="nil"/>
              <w:right w:val="single" w:color="92CDDC" w:sz="2" w:space="0"/>
            </w:tcBorders>
          </w:tcPr>
          <w:p>
            <w:pPr>
              <w:pStyle w:val="TableText"/>
              <w:ind w:left="115"/>
              <w:spacing w:before="90"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pStyle w:val="TableText"/>
              <w:ind w:left="196"/>
              <w:spacing w:before="90"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8" w:line="184" w:lineRule="auto"/>
              <w:rPr>
                <w:sz w:val="22"/>
                <w:szCs w:val="22"/>
              </w:rPr>
            </w:pPr>
            <w:r>
              <w:rPr>
                <w:sz w:val="22"/>
                <w:szCs w:val="22"/>
                <w:b/>
                <w:bCs/>
                <w:color w:val="FFFFFF"/>
                <w:spacing w:val="-3"/>
              </w:rPr>
              <w:t>问询类型</w:t>
            </w:r>
          </w:p>
        </w:tc>
      </w:tr>
      <w:tr>
        <w:trPr>
          <w:trHeight w:val="461" w:hRule="atLeast"/>
        </w:trPr>
        <w:tc>
          <w:tcPr>
            <w:tcW w:w="1105" w:type="dxa"/>
            <w:vAlign w:val="top"/>
          </w:tcPr>
          <w:p>
            <w:pPr>
              <w:pStyle w:val="TableText"/>
              <w:ind w:left="190"/>
              <w:spacing w:before="154" w:line="178" w:lineRule="auto"/>
              <w:rPr/>
            </w:pPr>
            <w:r>
              <w:rPr>
                <w:spacing w:val="3"/>
              </w:rPr>
              <w:t>002092</w:t>
            </w:r>
          </w:p>
        </w:tc>
        <w:tc>
          <w:tcPr>
            <w:tcW w:w="1274" w:type="dxa"/>
            <w:vAlign w:val="top"/>
          </w:tcPr>
          <w:p>
            <w:pPr>
              <w:pStyle w:val="TableText"/>
              <w:ind w:left="230"/>
              <w:spacing w:before="140" w:line="189" w:lineRule="auto"/>
              <w:rPr/>
            </w:pPr>
            <w:r>
              <w:rPr>
                <w:spacing w:val="5"/>
              </w:rPr>
              <w:t>中泰化学</w:t>
            </w:r>
          </w:p>
        </w:tc>
        <w:tc>
          <w:tcPr>
            <w:tcW w:w="6624" w:type="dxa"/>
            <w:vAlign w:val="top"/>
          </w:tcPr>
          <w:p>
            <w:pPr>
              <w:pStyle w:val="TableText"/>
              <w:ind w:left="2997"/>
              <w:spacing w:before="139" w:line="189" w:lineRule="auto"/>
              <w:rPr/>
            </w:pPr>
            <w:r>
              <w:rPr>
                <w:spacing w:val="8"/>
              </w:rPr>
              <w:t>关注函</w:t>
            </w:r>
          </w:p>
        </w:tc>
      </w:tr>
      <w:tr>
        <w:trPr>
          <w:trHeight w:val="461" w:hRule="atLeast"/>
        </w:trPr>
        <w:tc>
          <w:tcPr>
            <w:shd w:val="clear" w:fill="C7DAF1"/>
            <w:tcW w:w="1105" w:type="dxa"/>
            <w:vAlign w:val="top"/>
          </w:tcPr>
          <w:p>
            <w:pPr>
              <w:pStyle w:val="TableText"/>
              <w:ind w:left="190"/>
              <w:spacing w:before="156" w:line="178" w:lineRule="auto"/>
              <w:rPr/>
            </w:pPr>
            <w:r>
              <w:rPr>
                <w:spacing w:val="3"/>
              </w:rPr>
              <w:t>000752</w:t>
            </w:r>
          </w:p>
        </w:tc>
        <w:tc>
          <w:tcPr>
            <w:shd w:val="clear" w:fill="C7DAF1"/>
            <w:tcW w:w="1274" w:type="dxa"/>
            <w:vAlign w:val="top"/>
          </w:tcPr>
          <w:p>
            <w:pPr>
              <w:pStyle w:val="TableText"/>
              <w:ind w:left="262"/>
              <w:spacing w:before="142" w:line="189" w:lineRule="auto"/>
              <w:rPr/>
            </w:pPr>
            <w:r>
              <w:rPr>
                <w:spacing w:val="8"/>
              </w:rPr>
              <w:t>*</w:t>
            </w:r>
            <w:r>
              <w:rPr/>
              <w:t>ST</w:t>
            </w:r>
            <w:r>
              <w:rPr>
                <w:spacing w:val="8"/>
              </w:rPr>
              <w:t>西发</w:t>
            </w:r>
          </w:p>
        </w:tc>
        <w:tc>
          <w:tcPr>
            <w:shd w:val="clear" w:fill="C7DAF1"/>
            <w:tcW w:w="6624" w:type="dxa"/>
            <w:vAlign w:val="top"/>
          </w:tcPr>
          <w:p>
            <w:pPr>
              <w:pStyle w:val="TableText"/>
              <w:ind w:left="2997"/>
              <w:spacing w:before="141" w:line="189" w:lineRule="auto"/>
              <w:rPr/>
            </w:pPr>
            <w:r>
              <w:rPr>
                <w:spacing w:val="8"/>
              </w:rPr>
              <w:t>关注函</w:t>
            </w:r>
          </w:p>
        </w:tc>
      </w:tr>
      <w:tr>
        <w:trPr>
          <w:trHeight w:val="461" w:hRule="atLeast"/>
        </w:trPr>
        <w:tc>
          <w:tcPr>
            <w:tcW w:w="1105" w:type="dxa"/>
            <w:vAlign w:val="top"/>
          </w:tcPr>
          <w:p>
            <w:pPr>
              <w:pStyle w:val="TableText"/>
              <w:ind w:left="190"/>
              <w:spacing w:before="159" w:line="179" w:lineRule="auto"/>
              <w:rPr/>
            </w:pPr>
            <w:r>
              <w:rPr>
                <w:spacing w:val="3"/>
              </w:rPr>
              <w:t>000416</w:t>
            </w:r>
          </w:p>
        </w:tc>
        <w:tc>
          <w:tcPr>
            <w:tcW w:w="1274" w:type="dxa"/>
            <w:vAlign w:val="top"/>
          </w:tcPr>
          <w:p>
            <w:pPr>
              <w:pStyle w:val="TableText"/>
              <w:ind w:left="262"/>
              <w:spacing w:before="146" w:line="189" w:lineRule="auto"/>
              <w:rPr/>
            </w:pPr>
            <w:r>
              <w:rPr>
                <w:spacing w:val="8"/>
              </w:rPr>
              <w:t>*</w:t>
            </w:r>
            <w:r>
              <w:rPr/>
              <w:t>ST</w:t>
            </w:r>
            <w:r>
              <w:rPr>
                <w:spacing w:val="8"/>
              </w:rPr>
              <w:t>民控</w:t>
            </w:r>
          </w:p>
        </w:tc>
        <w:tc>
          <w:tcPr>
            <w:tcW w:w="6624" w:type="dxa"/>
            <w:vAlign w:val="top"/>
          </w:tcPr>
          <w:p>
            <w:pPr>
              <w:pStyle w:val="TableText"/>
              <w:ind w:left="2997"/>
              <w:spacing w:before="146" w:line="189" w:lineRule="auto"/>
              <w:rPr/>
            </w:pPr>
            <w:r>
              <w:rPr>
                <w:spacing w:val="8"/>
              </w:rPr>
              <w:t>关注函</w:t>
            </w:r>
          </w:p>
        </w:tc>
      </w:tr>
      <w:tr>
        <w:trPr>
          <w:trHeight w:val="463" w:hRule="atLeast"/>
        </w:trPr>
        <w:tc>
          <w:tcPr>
            <w:shd w:val="clear" w:fill="C7DAF1"/>
            <w:tcW w:w="1105" w:type="dxa"/>
            <w:vAlign w:val="top"/>
          </w:tcPr>
          <w:p>
            <w:pPr>
              <w:pStyle w:val="TableText"/>
              <w:ind w:left="190"/>
              <w:spacing w:before="163" w:line="178" w:lineRule="auto"/>
              <w:rPr/>
            </w:pPr>
            <w:r>
              <w:rPr>
                <w:spacing w:val="3"/>
              </w:rPr>
              <w:t>000838</w:t>
            </w:r>
          </w:p>
        </w:tc>
        <w:tc>
          <w:tcPr>
            <w:shd w:val="clear" w:fill="C7DAF1"/>
            <w:tcW w:w="1274" w:type="dxa"/>
            <w:vAlign w:val="top"/>
          </w:tcPr>
          <w:p>
            <w:pPr>
              <w:pStyle w:val="TableText"/>
              <w:ind w:left="217"/>
              <w:spacing w:before="148" w:line="189" w:lineRule="auto"/>
              <w:rPr/>
            </w:pPr>
            <w:r>
              <w:rPr>
                <w:spacing w:val="8"/>
              </w:rPr>
              <w:t>财信发展</w:t>
            </w:r>
          </w:p>
        </w:tc>
        <w:tc>
          <w:tcPr>
            <w:shd w:val="clear" w:fill="C7DAF1"/>
            <w:tcW w:w="6624" w:type="dxa"/>
            <w:vAlign w:val="top"/>
          </w:tcPr>
          <w:p>
            <w:pPr>
              <w:pStyle w:val="TableText"/>
              <w:ind w:left="2997"/>
              <w:spacing w:before="148" w:line="189" w:lineRule="auto"/>
              <w:rPr/>
            </w:pPr>
            <w:r>
              <w:rPr>
                <w:spacing w:val="8"/>
              </w:rPr>
              <w:t>关注函</w:t>
            </w:r>
          </w:p>
        </w:tc>
      </w:tr>
    </w:tbl>
    <w:p>
      <w:pPr>
        <w:pStyle w:val="BodyText"/>
        <w:spacing w:line="14" w:lineRule="auto"/>
        <w:rPr>
          <w:sz w:val="2"/>
        </w:rPr>
      </w:pPr>
      <w:r/>
    </w:p>
    <w:p>
      <w:pPr>
        <w:spacing w:line="14" w:lineRule="auto"/>
        <w:sectPr>
          <w:pgSz w:w="11910" w:h="16840"/>
          <w:pgMar w:top="400" w:right="1454" w:bottom="108" w:left="1333" w:header="0" w:footer="0" w:gutter="0"/>
        </w:sectPr>
        <w:rPr>
          <w:sz w:val="2"/>
          <w:szCs w:val="2"/>
        </w:rPr>
      </w:pPr>
    </w:p>
    <w:tbl>
      <w:tblPr>
        <w:tblStyle w:val="TableNormal"/>
        <w:tblW w:w="9003" w:type="dxa"/>
        <w:tblInd w:w="19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0"/>
              <w:spacing w:before="154" w:line="179" w:lineRule="auto"/>
              <w:rPr/>
            </w:pPr>
            <w:r>
              <w:rPr>
                <w:spacing w:val="3"/>
              </w:rPr>
              <w:t>002178</w:t>
            </w:r>
          </w:p>
        </w:tc>
        <w:tc>
          <w:tcPr>
            <w:tcW w:w="1274" w:type="dxa"/>
            <w:vAlign w:val="top"/>
          </w:tcPr>
          <w:p>
            <w:pPr>
              <w:pStyle w:val="TableText"/>
              <w:ind w:left="217"/>
              <w:spacing w:before="139" w:line="190" w:lineRule="auto"/>
              <w:rPr/>
            </w:pPr>
            <w:r>
              <w:rPr>
                <w:spacing w:val="8"/>
              </w:rPr>
              <w:t>延华智能</w:t>
            </w:r>
          </w:p>
        </w:tc>
        <w:tc>
          <w:tcPr>
            <w:tcW w:w="6624" w:type="dxa"/>
            <w:vAlign w:val="top"/>
          </w:tcPr>
          <w:p>
            <w:pPr>
              <w:pStyle w:val="TableText"/>
              <w:ind w:left="2997"/>
              <w:spacing w:before="141"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0" w:line="178" w:lineRule="auto"/>
              <w:rPr/>
            </w:pPr>
            <w:r>
              <w:rPr>
                <w:spacing w:val="3"/>
              </w:rPr>
              <w:t>300489</w:t>
            </w:r>
          </w:p>
        </w:tc>
        <w:tc>
          <w:tcPr>
            <w:shd w:val="clear" w:fill="C7DAF1"/>
            <w:tcW w:w="1274" w:type="dxa"/>
            <w:vAlign w:val="top"/>
          </w:tcPr>
          <w:p>
            <w:pPr>
              <w:pStyle w:val="TableText"/>
              <w:ind w:left="215"/>
              <w:spacing w:before="136" w:line="189" w:lineRule="auto"/>
              <w:rPr/>
            </w:pPr>
            <w:r>
              <w:rPr>
                <w:spacing w:val="9"/>
              </w:rPr>
              <w:t>光智科技</w:t>
            </w:r>
          </w:p>
        </w:tc>
        <w:tc>
          <w:tcPr>
            <w:shd w:val="clear" w:fill="C7DAF1"/>
            <w:tcW w:w="6624" w:type="dxa"/>
            <w:vAlign w:val="top"/>
          </w:tcPr>
          <w:p>
            <w:pPr>
              <w:pStyle w:val="TableText"/>
              <w:ind w:left="2997"/>
              <w:spacing w:before="136" w:line="189" w:lineRule="auto"/>
              <w:rPr/>
            </w:pPr>
            <w:r>
              <w:rPr>
                <w:spacing w:val="8"/>
              </w:rPr>
              <w:t>关注函</w:t>
            </w:r>
          </w:p>
        </w:tc>
      </w:tr>
      <w:tr>
        <w:trPr>
          <w:trHeight w:val="463" w:hRule="atLeast"/>
        </w:trPr>
        <w:tc>
          <w:tcPr>
            <w:tcW w:w="1105" w:type="dxa"/>
            <w:vAlign w:val="top"/>
          </w:tcPr>
          <w:p>
            <w:pPr>
              <w:pStyle w:val="TableText"/>
              <w:ind w:left="195"/>
              <w:spacing w:before="153" w:line="178" w:lineRule="auto"/>
              <w:rPr/>
            </w:pPr>
            <w:r>
              <w:rPr>
                <w:spacing w:val="3"/>
              </w:rPr>
              <w:t>300468</w:t>
            </w:r>
          </w:p>
        </w:tc>
        <w:tc>
          <w:tcPr>
            <w:tcW w:w="1274" w:type="dxa"/>
            <w:vAlign w:val="top"/>
          </w:tcPr>
          <w:p>
            <w:pPr>
              <w:pStyle w:val="TableText"/>
              <w:ind w:left="232"/>
              <w:spacing w:before="138" w:line="189" w:lineRule="auto"/>
              <w:rPr/>
            </w:pPr>
            <w:r>
              <w:rPr>
                <w:spacing w:val="4"/>
              </w:rPr>
              <w:t>四方精创</w:t>
            </w:r>
          </w:p>
        </w:tc>
        <w:tc>
          <w:tcPr>
            <w:tcW w:w="6624" w:type="dxa"/>
            <w:vAlign w:val="top"/>
          </w:tcPr>
          <w:p>
            <w:pPr>
              <w:pStyle w:val="TableText"/>
              <w:ind w:left="2997"/>
              <w:spacing w:before="138"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1" w:line="179" w:lineRule="auto"/>
              <w:rPr/>
            </w:pPr>
            <w:r>
              <w:rPr>
                <w:spacing w:val="3"/>
              </w:rPr>
              <w:t>301049</w:t>
            </w:r>
          </w:p>
        </w:tc>
        <w:tc>
          <w:tcPr>
            <w:shd w:val="clear" w:fill="C7DAF1"/>
            <w:tcW w:w="1274" w:type="dxa"/>
            <w:vAlign w:val="top"/>
          </w:tcPr>
          <w:p>
            <w:pPr>
              <w:pStyle w:val="TableText"/>
              <w:ind w:left="217"/>
              <w:spacing w:before="138" w:line="189" w:lineRule="auto"/>
              <w:rPr/>
            </w:pPr>
            <w:r>
              <w:rPr>
                <w:spacing w:val="8"/>
              </w:rPr>
              <w:t>超越科技</w:t>
            </w:r>
          </w:p>
        </w:tc>
        <w:tc>
          <w:tcPr>
            <w:shd w:val="clear" w:fill="C7DAF1"/>
            <w:tcW w:w="6624" w:type="dxa"/>
            <w:vAlign w:val="top"/>
          </w:tcPr>
          <w:p>
            <w:pPr>
              <w:pStyle w:val="TableText"/>
              <w:ind w:left="2997"/>
              <w:spacing w:before="138" w:line="189" w:lineRule="auto"/>
              <w:rPr/>
            </w:pPr>
            <w:r>
              <w:rPr>
                <w:spacing w:val="8"/>
              </w:rPr>
              <w:t>关注函</w:t>
            </w:r>
          </w:p>
        </w:tc>
      </w:tr>
      <w:tr>
        <w:trPr>
          <w:trHeight w:val="463" w:hRule="atLeast"/>
        </w:trPr>
        <w:tc>
          <w:tcPr>
            <w:tcW w:w="1105" w:type="dxa"/>
            <w:vAlign w:val="top"/>
          </w:tcPr>
          <w:p>
            <w:pPr>
              <w:pStyle w:val="TableText"/>
              <w:ind w:left="195"/>
              <w:spacing w:before="150" w:line="179" w:lineRule="auto"/>
              <w:rPr/>
            </w:pPr>
            <w:r>
              <w:rPr>
                <w:spacing w:val="3"/>
              </w:rPr>
              <w:t>300163</w:t>
            </w:r>
          </w:p>
        </w:tc>
        <w:tc>
          <w:tcPr>
            <w:tcW w:w="1274" w:type="dxa"/>
            <w:vAlign w:val="top"/>
          </w:tcPr>
          <w:p>
            <w:pPr>
              <w:pStyle w:val="TableText"/>
              <w:ind w:left="215"/>
              <w:spacing w:before="137" w:line="189" w:lineRule="auto"/>
              <w:rPr/>
            </w:pPr>
            <w:r>
              <w:rPr>
                <w:spacing w:val="9"/>
              </w:rPr>
              <w:t>先锋新材</w:t>
            </w:r>
          </w:p>
        </w:tc>
        <w:tc>
          <w:tcPr>
            <w:tcW w:w="6624" w:type="dxa"/>
            <w:vAlign w:val="top"/>
          </w:tcPr>
          <w:p>
            <w:pPr>
              <w:pStyle w:val="TableText"/>
              <w:ind w:left="2997"/>
              <w:spacing w:before="137"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4" w:line="178" w:lineRule="auto"/>
              <w:rPr/>
            </w:pPr>
            <w:r>
              <w:rPr>
                <w:spacing w:val="3"/>
              </w:rPr>
              <w:t>300398</w:t>
            </w:r>
          </w:p>
        </w:tc>
        <w:tc>
          <w:tcPr>
            <w:shd w:val="clear" w:fill="C7DAF1"/>
            <w:tcW w:w="1274" w:type="dxa"/>
            <w:vAlign w:val="top"/>
          </w:tcPr>
          <w:p>
            <w:pPr>
              <w:pStyle w:val="TableText"/>
              <w:ind w:left="216"/>
              <w:spacing w:before="139" w:line="189" w:lineRule="auto"/>
              <w:rPr/>
            </w:pPr>
            <w:r>
              <w:rPr>
                <w:spacing w:val="8"/>
              </w:rPr>
              <w:t>飞凯材料</w:t>
            </w:r>
          </w:p>
        </w:tc>
        <w:tc>
          <w:tcPr>
            <w:shd w:val="clear" w:fill="C7DAF1"/>
            <w:tcW w:w="6624" w:type="dxa"/>
            <w:vAlign w:val="top"/>
          </w:tcPr>
          <w:p>
            <w:pPr>
              <w:pStyle w:val="TableText"/>
              <w:ind w:left="2997"/>
              <w:spacing w:before="139" w:line="189" w:lineRule="auto"/>
              <w:rPr/>
            </w:pPr>
            <w:r>
              <w:rPr>
                <w:spacing w:val="8"/>
              </w:rPr>
              <w:t>关注函</w:t>
            </w:r>
          </w:p>
        </w:tc>
      </w:tr>
      <w:tr>
        <w:trPr>
          <w:trHeight w:val="468" w:hRule="atLeast"/>
        </w:trPr>
        <w:tc>
          <w:tcPr>
            <w:tcW w:w="1105" w:type="dxa"/>
            <w:vAlign w:val="top"/>
          </w:tcPr>
          <w:p>
            <w:pPr>
              <w:pStyle w:val="TableText"/>
              <w:ind w:left="195"/>
              <w:spacing w:before="153" w:line="179" w:lineRule="auto"/>
              <w:rPr/>
            </w:pPr>
            <w:r>
              <w:rPr>
                <w:spacing w:val="3"/>
              </w:rPr>
              <w:t>300125</w:t>
            </w:r>
          </w:p>
        </w:tc>
        <w:tc>
          <w:tcPr>
            <w:tcW w:w="1274" w:type="dxa"/>
            <w:vAlign w:val="top"/>
          </w:tcPr>
          <w:p>
            <w:pPr>
              <w:pStyle w:val="TableText"/>
              <w:ind w:left="216"/>
              <w:spacing w:before="141" w:line="188" w:lineRule="auto"/>
              <w:rPr/>
            </w:pPr>
            <w:r>
              <w:rPr>
                <w:spacing w:val="8"/>
              </w:rPr>
              <w:t>聆达股份</w:t>
            </w:r>
          </w:p>
        </w:tc>
        <w:tc>
          <w:tcPr>
            <w:tcW w:w="6624" w:type="dxa"/>
            <w:vAlign w:val="top"/>
          </w:tcPr>
          <w:p>
            <w:pPr>
              <w:pStyle w:val="TableText"/>
              <w:ind w:left="2997"/>
              <w:spacing w:before="139" w:line="189" w:lineRule="auto"/>
              <w:rPr/>
            </w:pPr>
            <w:r>
              <w:rPr>
                <w:spacing w:val="8"/>
              </w:rPr>
              <w:t>关注函</w:t>
            </w:r>
          </w:p>
        </w:tc>
      </w:tr>
    </w:tbl>
    <w:p>
      <w:pPr>
        <w:pStyle w:val="BodyText"/>
        <w:spacing w:line="251" w:lineRule="auto"/>
        <w:rPr/>
      </w:pPr>
      <w:r/>
    </w:p>
    <w:p>
      <w:pPr>
        <w:pStyle w:val="BodyText"/>
        <w:spacing w:line="251" w:lineRule="auto"/>
        <w:rPr/>
      </w:pPr>
      <w:r/>
    </w:p>
    <w:p>
      <w:pPr>
        <w:pStyle w:val="BodyText"/>
        <w:spacing w:line="251"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2、市场交易监管动态</w:t>
      </w:r>
    </w:p>
    <w:p>
      <w:pPr>
        <w:pStyle w:val="BodyText"/>
        <w:spacing w:line="253" w:lineRule="auto"/>
        <w:rPr/>
      </w:pPr>
      <w:r/>
    </w:p>
    <w:p>
      <w:pPr>
        <w:ind w:left="78" w:firstLine="437"/>
        <w:spacing w:before="94" w:line="184"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w:t>
      </w:r>
      <w:r>
        <w:rPr>
          <w:rFonts w:ascii="Microsoft YaHei" w:hAnsi="Microsoft YaHei" w:eastAsia="Microsoft YaHei" w:cs="Microsoft YaHei"/>
          <w:sz w:val="22"/>
          <w:szCs w:val="22"/>
          <w:spacing w:val="-4"/>
        </w:rPr>
        <w:t>024年3月18日-3月24日</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，深交所共对83起证券异常交易行</w:t>
      </w:r>
      <w:r>
        <w:rPr>
          <w:rFonts w:ascii="Microsoft YaHei" w:hAnsi="Microsoft YaHei" w:eastAsia="Microsoft YaHei" w:cs="Microsoft YaHei"/>
          <w:sz w:val="22"/>
          <w:szCs w:val="22"/>
          <w:spacing w:val="-5"/>
        </w:rPr>
        <w:t>为采取了自律监管措施</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5"/>
        </w:rPr>
        <w:t>，涉及盘中拉抬</w:t>
      </w:r>
      <w:r>
        <w:rPr>
          <w:rFonts w:ascii="Microsoft YaHei" w:hAnsi="Microsoft YaHei" w:eastAsia="Microsoft YaHei" w:cs="Microsoft YaHei"/>
          <w:sz w:val="22"/>
          <w:szCs w:val="22"/>
          <w:spacing w:val="-4"/>
        </w:rPr>
        <w:t>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压、虚假申报等异常交易情形；对“*ST左江”等涨跌异常证券进行重点监控；共对9起上市公司重大事项 </w:t>
      </w:r>
      <w:r>
        <w:rPr>
          <w:rFonts w:ascii="Microsoft YaHei" w:hAnsi="Microsoft YaHei" w:eastAsia="Microsoft YaHei" w:cs="Microsoft YaHei"/>
          <w:sz w:val="22"/>
          <w:szCs w:val="22"/>
          <w:spacing w:val="-3"/>
        </w:rPr>
        <w:t>进行核查。</w:t>
      </w:r>
    </w:p>
    <w:sectPr>
      <w:pgSz w:w="11910" w:h="16840"/>
      <w:pgMar w:top="400" w:right="517" w:bottom="400" w:left="125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jpeg"/><Relationship Id="rId2" Type="http://schemas.openxmlformats.org/officeDocument/2006/relationships/header" Target="header2.xml"/><Relationship Id="rId18" Type="http://schemas.openxmlformats.org/officeDocument/2006/relationships/fontTable" Target="fontTable.xml"/><Relationship Id="rId17" Type="http://schemas.openxmlformats.org/officeDocument/2006/relationships/styles" Target="styles.xml"/><Relationship Id="rId16" Type="http://schemas.openxmlformats.org/officeDocument/2006/relationships/settings" Target="settings.xml"/><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footer" Target="footer1.xml"/><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2024-03-25T10:44:00Z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2024-04-02T17:04:45</vt:filetime>
  </property>
</Properties>
</file>