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9"/>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2024年03月04日-2024年03月10日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26"/>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1"/>
        </w:rPr>
        <w:t>2024年03月11日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1698"/>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20"/>
        </w:rPr>
        <w:t>法规速递</w:t>
      </w:r>
    </w:p>
    <w:p>
      <w:pPr>
        <w:pStyle w:val="BodyText"/>
        <w:spacing w:line="330" w:lineRule="auto"/>
        <w:rPr/>
      </w:pPr>
      <w:r/>
    </w:p>
    <w:p>
      <w:pPr>
        <w:ind w:left="960"/>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1、网下投资者异常名单公告（2024年第1批）</w:t>
      </w:r>
    </w:p>
    <w:p>
      <w:pPr>
        <w:ind w:left="924" w:right="318" w:firstLine="449"/>
        <w:spacing w:before="318" w:line="222"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为加强首次公开发行证券网下投资者管理</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，引导网下投资者发挥专业能力</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，进一步规</w:t>
      </w:r>
      <w:r>
        <w:rPr>
          <w:rFonts w:ascii="Microsoft YaHei" w:hAnsi="Microsoft YaHei" w:eastAsia="Microsoft YaHei" w:cs="Microsoft YaHei"/>
          <w:sz w:val="22"/>
          <w:szCs w:val="22"/>
          <w:spacing w:val="-3"/>
        </w:rPr>
        <w:t>范网下投资者报价行</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为</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1"/>
        </w:rPr>
        <w:t>，根据《首次公开发行证券网下投资者管理规则》、《首次公开发行证券网下投资者</w:t>
      </w:r>
      <w:r>
        <w:rPr>
          <w:rFonts w:ascii="Microsoft YaHei" w:hAnsi="Microsoft YaHei" w:eastAsia="Microsoft YaHei" w:cs="Microsoft YaHei"/>
          <w:sz w:val="22"/>
          <w:szCs w:val="22"/>
          <w:spacing w:val="-2"/>
        </w:rPr>
        <w:t>分类评价和管理指引》</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等有关规定</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1"/>
        </w:rPr>
        <w:t>，协会决定对存在异常情形的网下投资者采取列入异常名单的措施（</w:t>
      </w:r>
      <w:r>
        <w:rPr>
          <w:rFonts w:ascii="Microsoft YaHei" w:hAnsi="Microsoft YaHei" w:eastAsia="Microsoft YaHei" w:cs="Microsoft YaHei"/>
          <w:sz w:val="22"/>
          <w:szCs w:val="22"/>
          <w:spacing w:val="-2"/>
        </w:rPr>
        <w:t>详见附件）。列入异常名单时</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限自本公告发布之次日（工作日）起计算。</w:t>
      </w:r>
    </w:p>
    <w:p>
      <w:pPr>
        <w:ind w:left="9930"/>
        <w:spacing w:before="300" w:line="640" w:lineRule="exac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33"/>
        </w:rPr>
        <w:t>中国证券业协会</w:t>
      </w:r>
    </w:p>
    <w:p>
      <w:pPr>
        <w:ind w:left="9780"/>
        <w:spacing w:before="1"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2024年03月08日</w:t>
      </w:r>
    </w:p>
    <w:p>
      <w:pPr>
        <w:pStyle w:val="BodyText"/>
        <w:spacing w:line="287" w:lineRule="auto"/>
        <w:rPr/>
      </w:pPr>
      <w:r/>
    </w:p>
    <w:p>
      <w:pPr>
        <w:ind w:firstLine="4552"/>
        <w:spacing w:line="2700" w:lineRule="exact"/>
        <w:rPr/>
      </w:pPr>
      <w:r>
        <w:rPr>
          <w:position w:val="-53"/>
        </w:rPr>
        <w:drawing>
          <wp:inline distT="0" distB="0" distL="0" distR="0">
            <wp:extent cx="1714500" cy="1714499"/>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4500" cy="1714499"/>
                    </a:xfrm>
                    <a:prstGeom prst="rect">
                      <a:avLst/>
                    </a:prstGeom>
                  </pic:spPr>
                </pic:pic>
              </a:graphicData>
            </a:graphic>
          </wp:inline>
        </w:drawing>
      </w:r>
    </w:p>
    <w:p>
      <w:pPr>
        <w:ind w:left="3630"/>
        <w:spacing w:before="244"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网下投资者异常名单公告（2024年第1批）</w:t>
      </w:r>
    </w:p>
    <w:p>
      <w:pPr>
        <w:spacing w:line="225"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3"/>
        <w:spacing w:before="115" w:line="18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2、吴清主席在十四届全国人大二次会议经济主</w:t>
      </w:r>
      <w:r>
        <w:rPr>
          <w:rFonts w:ascii="Microsoft YaHei" w:hAnsi="Microsoft YaHei" w:eastAsia="Microsoft YaHei" w:cs="Microsoft YaHei"/>
          <w:sz w:val="24"/>
          <w:szCs w:val="24"/>
          <w:b/>
          <w:bCs/>
          <w:color w:val="333333"/>
          <w:spacing w:val="-3"/>
        </w:rPr>
        <w:t>题记者会上答记者问</w:t>
      </w:r>
    </w:p>
    <w:p>
      <w:pPr>
        <w:ind w:firstLine="440"/>
        <w:spacing w:before="328" w:line="218"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十四届</w:t>
      </w:r>
      <w:r>
        <w:rPr>
          <w:rFonts w:ascii="Microsoft YaHei" w:hAnsi="Microsoft YaHei" w:eastAsia="Microsoft YaHei" w:cs="Microsoft YaHei"/>
          <w:sz w:val="22"/>
          <w:szCs w:val="22"/>
          <w:spacing w:val="-5"/>
        </w:rPr>
        <w:t>全国人大二次会议于2024年3月6</w:t>
      </w:r>
      <w:r>
        <w:rPr>
          <w:rFonts w:ascii="Microsoft YaHei" w:hAnsi="Microsoft YaHei" w:eastAsia="Microsoft YaHei" w:cs="Microsoft YaHei"/>
          <w:sz w:val="22"/>
          <w:szCs w:val="22"/>
          <w:spacing w:val="-6"/>
        </w:rPr>
        <w:t>日（星期三）下午3时，在梅地亚中心新闻发布厅举行记者会。国</w:t>
      </w:r>
      <w:r>
        <w:rPr>
          <w:rFonts w:ascii="Microsoft YaHei" w:hAnsi="Microsoft YaHei" w:eastAsia="Microsoft YaHei" w:cs="Microsoft YaHei"/>
          <w:sz w:val="22"/>
          <w:szCs w:val="22"/>
          <w:spacing w:val="-3"/>
        </w:rPr>
        <w:t>家</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发展和改革委员会主任郑栅洁、财政部部长蓝佛安、商务部部长王文涛、中国人民银行行长潘功胜、中国证券</w:t>
      </w:r>
      <w:r>
        <w:rPr>
          <w:rFonts w:ascii="Microsoft YaHei" w:hAnsi="Microsoft YaHei" w:eastAsia="Microsoft YaHei" w:cs="Microsoft YaHei"/>
          <w:sz w:val="22"/>
          <w:szCs w:val="22"/>
          <w:spacing w:val="-7"/>
        </w:rPr>
        <w:t>监 </w:t>
      </w:r>
      <w:r>
        <w:rPr>
          <w:rFonts w:ascii="Microsoft YaHei" w:hAnsi="Microsoft YaHei" w:eastAsia="Microsoft YaHei" w:cs="Microsoft YaHei"/>
          <w:sz w:val="22"/>
          <w:szCs w:val="22"/>
          <w:spacing w:val="-6"/>
        </w:rPr>
        <w:t>督管理委员会主席吴清就发展改革、财政预算、商务、金融证券等相关问题回答中外记者提问。以下为记者会</w:t>
      </w:r>
      <w:r>
        <w:rPr>
          <w:rFonts w:ascii="Microsoft YaHei" w:hAnsi="Microsoft YaHei" w:eastAsia="Microsoft YaHei" w:cs="Microsoft YaHei"/>
          <w:sz w:val="22"/>
          <w:szCs w:val="22"/>
          <w:spacing w:val="-7"/>
        </w:rPr>
        <w:t>部 </w:t>
      </w:r>
      <w:r>
        <w:rPr>
          <w:rFonts w:ascii="Microsoft YaHei" w:hAnsi="Microsoft YaHei" w:eastAsia="Microsoft YaHei" w:cs="Microsoft YaHei"/>
          <w:sz w:val="22"/>
          <w:szCs w:val="22"/>
          <w:spacing w:val="-4"/>
        </w:rPr>
        <w:t>分图文实录。</w:t>
      </w:r>
    </w:p>
    <w:p>
      <w:pPr>
        <w:spacing w:before="289" w:line="638"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position w:val="32"/>
        </w:rPr>
        <w:t>中</w:t>
      </w:r>
      <w:r>
        <w:rPr>
          <w:rFonts w:ascii="Microsoft YaHei" w:hAnsi="Microsoft YaHei" w:eastAsia="Microsoft YaHei" w:cs="Microsoft YaHei"/>
          <w:sz w:val="22"/>
          <w:szCs w:val="22"/>
          <w:spacing w:val="-4"/>
          <w:position w:val="32"/>
        </w:rPr>
        <w:t>国证券监督管理委员</w:t>
      </w:r>
      <w:r>
        <w:rPr>
          <w:rFonts w:ascii="Microsoft YaHei" w:hAnsi="Microsoft YaHei" w:eastAsia="Microsoft YaHei" w:cs="Microsoft YaHei"/>
          <w:sz w:val="22"/>
          <w:szCs w:val="22"/>
          <w:spacing w:val="-3"/>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2024年03月06日</w:t>
      </w:r>
    </w:p>
    <w:p>
      <w:pPr>
        <w:pStyle w:val="BodyText"/>
        <w:spacing w:line="313" w:lineRule="auto"/>
        <w:rPr/>
      </w:pPr>
      <w:r/>
    </w:p>
    <w:p>
      <w:pPr>
        <w:ind w:firstLine="3867"/>
        <w:spacing w:line="2700" w:lineRule="exact"/>
        <w:rPr/>
      </w:pPr>
      <w:r>
        <w:rPr>
          <w:position w:val="-53"/>
        </w:rPr>
        <w:drawing>
          <wp:inline distT="0" distB="0" distL="0" distR="0">
            <wp:extent cx="1714500" cy="1714499"/>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4500" cy="1714499"/>
                    </a:xfrm>
                    <a:prstGeom prst="rect">
                      <a:avLst/>
                    </a:prstGeom>
                  </pic:spPr>
                </pic:pic>
              </a:graphicData>
            </a:graphic>
          </wp:inline>
        </w:drawing>
      </w:r>
    </w:p>
    <w:p>
      <w:pPr>
        <w:ind w:left="1991"/>
        <w:spacing w:before="268" w:line="18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吴清主席在十四届全国人大二次会议经济主题记者会上</w:t>
      </w:r>
      <w:r>
        <w:rPr>
          <w:rFonts w:ascii="Microsoft YaHei" w:hAnsi="Microsoft YaHei" w:eastAsia="Microsoft YaHei" w:cs="Microsoft YaHei"/>
          <w:sz w:val="24"/>
          <w:szCs w:val="24"/>
          <w:b/>
          <w:bCs/>
          <w:color w:val="333333"/>
          <w:spacing w:val="-3"/>
        </w:rPr>
        <w:t>答记者问</w:t>
      </w:r>
    </w:p>
    <w:p>
      <w:pPr>
        <w:spacing w:line="184" w:lineRule="auto"/>
        <w:sectPr>
          <w:pgSz w:w="11910" w:h="16840"/>
          <w:pgMar w:top="400" w:right="454" w:bottom="0" w:left="930"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63360;" o:allowincell="f" fillcolor="#A61C20" filled="true" stroked="false"/>
        </w:pict>
      </w:r>
      <w:r>
        <w:pict>
          <v:group id="_x0000_s12" style="position:absolute;margin-left:0pt;margin-top:38.04pt;mso-position-vertical-relative:page;mso-position-horizontal-relative:page;width:67.85pt;height:56.8pt;z-index:251662336;"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8"/>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5"/>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4"/>
                      </w:rPr>
                      <w:t>市场监管概览</w:t>
                    </w:r>
                  </w:p>
                </w:txbxContent>
              </v:textbox>
            </v:shape>
          </v:group>
        </w:pict>
      </w:r>
    </w:p>
    <w:p>
      <w:pPr>
        <w:pStyle w:val="BodyText"/>
        <w:spacing w:line="314" w:lineRule="auto"/>
        <w:rPr/>
      </w:pPr>
      <w:r/>
    </w:p>
    <w:p>
      <w:pPr>
        <w:ind w:left="443" w:right="278" w:firstLine="45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2024年3月4日-3月10日</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，证监会作出1份监管文书</w:t>
      </w:r>
      <w:r>
        <w:rPr>
          <w:rFonts w:ascii="Microsoft YaHei" w:hAnsi="Microsoft YaHei" w:eastAsia="Microsoft YaHei" w:cs="Microsoft YaHei"/>
          <w:sz w:val="22"/>
          <w:szCs w:val="22"/>
          <w:spacing w:val="-3"/>
        </w:rPr>
        <w:t>；证监局作出25份监管文书；上交所作出2份监管文书；深交</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所作出4份监管文书。</w:t>
      </w:r>
    </w:p>
    <w:p>
      <w:pPr>
        <w:pStyle w:val="BodyText"/>
        <w:spacing w:line="272" w:lineRule="auto"/>
        <w:rPr/>
      </w:pPr>
      <w:r/>
    </w:p>
    <w:p>
      <w:pPr>
        <w:ind w:left="891"/>
        <w:spacing w:before="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  ，证监会作出1份行政处罚决定书；证监局作出17份行政处罚决定书</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，8份行政监管措施决定书。</w:t>
      </w:r>
    </w:p>
    <w:p>
      <w:pPr>
        <w:pStyle w:val="BodyText"/>
        <w:spacing w:line="277" w:lineRule="auto"/>
        <w:rPr/>
      </w:pPr>
      <w:r/>
    </w:p>
    <w:p>
      <w:pPr>
        <w:ind w:left="453" w:right="494" w:firstLine="439"/>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上周  ，上交所公司监管部门作出2份监管警示函。同时，加大</w:t>
      </w:r>
      <w:r>
        <w:rPr>
          <w:rFonts w:ascii="Microsoft YaHei" w:hAnsi="Microsoft YaHei" w:eastAsia="Microsoft YaHei" w:cs="Microsoft YaHei"/>
          <w:sz w:val="22"/>
          <w:szCs w:val="22"/>
          <w:spacing w:val="-3"/>
        </w:rPr>
        <w:t>信息披露和股价异常的联动监管，针对公司披露</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敏感信息或股价发生明显异常的，提请启动内幕交易、异常交易核查13单。</w:t>
      </w:r>
    </w:p>
    <w:p>
      <w:pPr>
        <w:pStyle w:val="BodyText"/>
        <w:spacing w:line="276" w:lineRule="auto"/>
        <w:rPr/>
      </w:pPr>
      <w:r/>
    </w:p>
    <w:p>
      <w:pPr>
        <w:ind w:left="893"/>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  ，深交所发出3份监管函</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，对1宗行为予以纪律处</w:t>
      </w:r>
      <w:r>
        <w:rPr>
          <w:rFonts w:ascii="Microsoft YaHei" w:hAnsi="Microsoft YaHei" w:eastAsia="Microsoft YaHei" w:cs="Microsoft YaHei"/>
          <w:sz w:val="22"/>
          <w:szCs w:val="22"/>
          <w:spacing w:val="-4"/>
        </w:rPr>
        <w:t>分；共发出关注函5份。</w:t>
      </w:r>
    </w:p>
    <w:p>
      <w:pPr>
        <w:pStyle w:val="BodyText"/>
        <w:spacing w:line="319" w:lineRule="auto"/>
        <w:rPr/>
      </w:pPr>
      <w:r/>
    </w:p>
    <w:p>
      <w:pPr>
        <w:ind w:firstLine="1930"/>
        <w:spacing w:line="3315" w:lineRule="exact"/>
        <w:rPr/>
      </w:pPr>
      <w:r>
        <w:rPr>
          <w:position w:val="-66"/>
        </w:rPr>
        <w:drawing>
          <wp:inline distT="0" distB="0" distL="0" distR="0">
            <wp:extent cx="5137784" cy="2105025"/>
            <wp:effectExtent l="0" t="0" r="0" b="0"/>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5137784" cy="210502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ind w:firstLine="1848"/>
        <w:spacing w:before="1" w:line="4156" w:lineRule="exact"/>
        <w:rPr/>
      </w:pPr>
      <w:r>
        <w:rPr>
          <w:position w:val="-83"/>
        </w:rPr>
        <w:drawing>
          <wp:inline distT="0" distB="0" distL="0" distR="0">
            <wp:extent cx="5402580" cy="2639059"/>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5402580" cy="2639059"/>
                    </a:xfrm>
                    <a:prstGeom prst="rect">
                      <a:avLst/>
                    </a:prstGeom>
                  </pic:spPr>
                </pic:pic>
              </a:graphicData>
            </a:graphic>
          </wp:inline>
        </w:drawing>
      </w:r>
    </w:p>
    <w:p>
      <w:pPr>
        <w:spacing w:line="4156" w:lineRule="exact"/>
        <w:sectPr>
          <w:pgSz w:w="11910" w:h="16840"/>
          <w:pgMar w:top="400" w:right="41" w:bottom="0"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8"/>
            </v:shape>
            <v:shape id="_x0000_s28" style="position:absolute;left:-20;top:-20;width:3806;height:965;" filled="false" stroked="false" type="#_x0000_t202">
              <v:fill on="false"/>
              <v:stroke on="false"/>
              <v:path/>
              <v:imagedata o:title=""/>
              <o:lock v:ext="edit" aspectratio="false"/>
              <v:textbox inset="0mm,0mm,0mm,0mm">
                <w:txbxContent>
                  <w:p>
                    <w:pPr>
                      <w:ind w:left="391"/>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18" w:lineRule="auto"/>
        <w:rPr/>
      </w:pPr>
      <w:r/>
    </w:p>
    <w:p>
      <w:pPr>
        <w:ind w:left="438" w:right="298" w:firstLine="445"/>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2024年3月4日-3月10日</w:t>
      </w:r>
      <w:r>
        <w:rPr>
          <w:rFonts w:ascii="Microsoft YaHei" w:hAnsi="Microsoft YaHei" w:eastAsia="Microsoft YaHei" w:cs="Microsoft YaHei"/>
          <w:sz w:val="22"/>
          <w:szCs w:val="22"/>
          <w:spacing w:val="-22"/>
        </w:rPr>
        <w:t xml:space="preserve"> </w:t>
      </w:r>
      <w:r>
        <w:rPr>
          <w:rFonts w:ascii="Microsoft YaHei" w:hAnsi="Microsoft YaHei" w:eastAsia="Microsoft YaHei" w:cs="Microsoft YaHei"/>
          <w:sz w:val="22"/>
          <w:szCs w:val="22"/>
          <w:spacing w:val="-3"/>
        </w:rPr>
        <w:t>，证监会作出1份行政处罚决定书；证监局作出17份行政处罚</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4"/>
        </w:rPr>
        <w:t>决定书</w:t>
      </w:r>
      <w:r>
        <w:rPr>
          <w:rFonts w:ascii="Microsoft YaHei" w:hAnsi="Microsoft YaHei" w:eastAsia="Microsoft YaHei" w:cs="Microsoft YaHei"/>
          <w:sz w:val="22"/>
          <w:szCs w:val="22"/>
          <w:spacing w:val="-33"/>
        </w:rPr>
        <w:t xml:space="preserve"> </w:t>
      </w:r>
      <w:r>
        <w:rPr>
          <w:rFonts w:ascii="Microsoft YaHei" w:hAnsi="Microsoft YaHei" w:eastAsia="Microsoft YaHei" w:cs="Microsoft YaHei"/>
          <w:sz w:val="22"/>
          <w:szCs w:val="22"/>
          <w:spacing w:val="-4"/>
        </w:rPr>
        <w:t>，8份行政监管措施决定书。</w:t>
      </w:r>
    </w:p>
    <w:p>
      <w:pPr>
        <w:ind w:left="241"/>
        <w:spacing w:before="93" w:line="20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w w:val="98"/>
        </w:rPr>
        <w:t>（</w:t>
      </w:r>
      <w:r>
        <w:rPr>
          <w:rFonts w:ascii="Microsoft YaHei" w:hAnsi="Microsoft YaHei" w:eastAsia="Microsoft YaHei" w:cs="Microsoft YaHei"/>
          <w:sz w:val="24"/>
          <w:szCs w:val="24"/>
          <w:b/>
          <w:bCs/>
          <w:color w:val="333333"/>
          <w:spacing w:val="55"/>
        </w:rPr>
        <w:t xml:space="preserve"> </w:t>
      </w:r>
      <w:r>
        <w:rPr>
          <w:rFonts w:ascii="Microsoft YaHei" w:hAnsi="Microsoft YaHei" w:eastAsia="Microsoft YaHei" w:cs="Microsoft YaHei"/>
          <w:sz w:val="24"/>
          <w:szCs w:val="24"/>
          <w:b/>
          <w:bCs/>
          <w:color w:val="333333"/>
          <w:spacing w:val="-14"/>
          <w:w w:val="98"/>
        </w:rPr>
        <w:t>1</w:t>
      </w:r>
      <w:r>
        <w:rPr>
          <w:rFonts w:ascii="Microsoft YaHei" w:hAnsi="Microsoft YaHei" w:eastAsia="Microsoft YaHei" w:cs="Microsoft YaHei"/>
          <w:sz w:val="24"/>
          <w:szCs w:val="24"/>
          <w:b/>
          <w:bCs/>
          <w:color w:val="333333"/>
          <w:spacing w:val="39"/>
        </w:rPr>
        <w:t xml:space="preserve"> </w:t>
      </w:r>
      <w:r>
        <w:rPr>
          <w:rFonts w:ascii="Microsoft YaHei" w:hAnsi="Microsoft YaHei" w:eastAsia="Microsoft YaHei" w:cs="Microsoft YaHei"/>
          <w:sz w:val="24"/>
          <w:szCs w:val="24"/>
          <w:b/>
          <w:bCs/>
          <w:color w:val="333333"/>
          <w:spacing w:val="-14"/>
          <w:w w:val="98"/>
        </w:rPr>
        <w:t>）行政处罚决定书</w:t>
      </w:r>
    </w:p>
    <w:tbl>
      <w:tblPr>
        <w:tblStyle w:val="TableNormal"/>
        <w:tblW w:w="8900" w:type="dxa"/>
        <w:tblInd w:w="433"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17"/>
        <w:gridCol w:w="1093"/>
        <w:gridCol w:w="6690"/>
      </w:tblGrid>
      <w:tr>
        <w:trPr>
          <w:trHeight w:val="387" w:hRule="atLeast"/>
        </w:trPr>
        <w:tc>
          <w:tcPr>
            <w:shd w:val="clear" w:fill="4F81BD"/>
            <w:tcW w:w="1117" w:type="dxa"/>
            <w:vAlign w:val="top"/>
            <w:tcBorders>
              <w:bottom w:val="single" w:color="4F81BD" w:sz="2" w:space="0"/>
            </w:tcBorders>
          </w:tcPr>
          <w:p>
            <w:pPr>
              <w:pStyle w:val="TableText"/>
              <w:ind w:left="131"/>
              <w:spacing w:before="108" w:line="188" w:lineRule="auto"/>
              <w:rPr/>
            </w:pPr>
            <w:r>
              <w:rPr>
                <w:b/>
                <w:bCs/>
                <w:color w:val="FFFFFF"/>
                <w:spacing w:val="8"/>
              </w:rPr>
              <w:t>公司代码</w:t>
            </w:r>
          </w:p>
        </w:tc>
        <w:tc>
          <w:tcPr>
            <w:shd w:val="clear" w:fill="4F81BD"/>
            <w:tcW w:w="1093" w:type="dxa"/>
            <w:vAlign w:val="top"/>
            <w:tcBorders>
              <w:bottom w:val="single" w:color="4F81BD" w:sz="2" w:space="0"/>
            </w:tcBorders>
          </w:tcPr>
          <w:p>
            <w:pPr>
              <w:pStyle w:val="TableText"/>
              <w:ind w:left="118"/>
              <w:spacing w:before="108" w:line="188" w:lineRule="auto"/>
              <w:rPr/>
            </w:pPr>
            <w:r>
              <w:rPr>
                <w:b/>
                <w:bCs/>
                <w:color w:val="FFFFFF"/>
                <w:spacing w:val="8"/>
              </w:rPr>
              <w:t>公司简称</w:t>
            </w:r>
          </w:p>
        </w:tc>
        <w:tc>
          <w:tcPr>
            <w:shd w:val="clear" w:fill="4F81BD"/>
            <w:tcW w:w="6690" w:type="dxa"/>
            <w:vAlign w:val="top"/>
            <w:tcBorders>
              <w:bottom w:val="single" w:color="4F81BD" w:sz="2" w:space="0"/>
            </w:tcBorders>
          </w:tcPr>
          <w:p>
            <w:pPr>
              <w:pStyle w:val="TableText"/>
              <w:ind w:left="2917"/>
              <w:spacing w:before="108" w:line="188" w:lineRule="auto"/>
              <w:rPr/>
            </w:pPr>
            <w:r>
              <w:rPr>
                <w:b/>
                <w:bCs/>
                <w:color w:val="FFFFFF"/>
                <w:spacing w:val="8"/>
              </w:rPr>
              <w:t>违规行为</w:t>
            </w:r>
          </w:p>
        </w:tc>
      </w:tr>
      <w:tr>
        <w:trPr>
          <w:trHeight w:val="369" w:hRule="atLeast"/>
        </w:trPr>
        <w:tc>
          <w:tcPr>
            <w:shd w:val="clear" w:fill="B8CCE4"/>
            <w:tcW w:w="1117" w:type="dxa"/>
            <w:vAlign w:val="top"/>
            <w:tcBorders>
              <w:top w:val="single" w:color="4F81BD" w:sz="2" w:space="0"/>
            </w:tcBorders>
          </w:tcPr>
          <w:p>
            <w:pPr>
              <w:pStyle w:val="TableText"/>
              <w:ind w:left="192"/>
              <w:spacing w:before="100" w:line="178" w:lineRule="auto"/>
              <w:rPr/>
            </w:pPr>
            <w:r>
              <w:rPr>
                <w:spacing w:val="3"/>
              </w:rPr>
              <w:t>603007</w:t>
            </w:r>
          </w:p>
        </w:tc>
        <w:tc>
          <w:tcPr>
            <w:shd w:val="clear" w:fill="B8CCE4"/>
            <w:tcW w:w="1093" w:type="dxa"/>
            <w:vAlign w:val="top"/>
            <w:tcBorders>
              <w:top w:val="single" w:color="4F81BD" w:sz="2" w:space="0"/>
            </w:tcBorders>
          </w:tcPr>
          <w:p>
            <w:pPr>
              <w:pStyle w:val="TableText"/>
              <w:ind w:left="216"/>
              <w:spacing w:before="85" w:line="189" w:lineRule="auto"/>
              <w:rPr/>
            </w:pPr>
            <w:r>
              <w:rPr/>
              <w:t>ST</w:t>
            </w:r>
            <w:r>
              <w:rPr>
                <w:spacing w:val="7"/>
              </w:rPr>
              <w:t>花王</w:t>
            </w:r>
          </w:p>
        </w:tc>
        <w:tc>
          <w:tcPr>
            <w:shd w:val="clear" w:fill="B8CCE4"/>
            <w:tcW w:w="6690" w:type="dxa"/>
            <w:vAlign w:val="top"/>
            <w:tcBorders>
              <w:top w:val="single" w:color="4F81BD" w:sz="2" w:space="0"/>
            </w:tcBorders>
          </w:tcPr>
          <w:p>
            <w:pPr>
              <w:pStyle w:val="TableText"/>
              <w:ind w:left="100"/>
              <w:spacing w:before="85" w:line="189" w:lineRule="auto"/>
              <w:rPr/>
            </w:pPr>
            <w:r>
              <w:rPr>
                <w:spacing w:val="8"/>
              </w:rPr>
              <w:t>实际控制人</w:t>
            </w:r>
            <w:r>
              <w:rPr>
                <w:b/>
                <w:bCs/>
                <w:spacing w:val="8"/>
              </w:rPr>
              <w:t>内幕交易</w:t>
            </w:r>
            <w:r>
              <w:rPr>
                <w:spacing w:val="8"/>
              </w:rPr>
              <w:t>公司股票。</w:t>
            </w:r>
          </w:p>
        </w:tc>
      </w:tr>
      <w:tr>
        <w:trPr>
          <w:trHeight w:val="724" w:hRule="atLeast"/>
        </w:trPr>
        <w:tc>
          <w:tcPr>
            <w:tcW w:w="8900" w:type="dxa"/>
            <w:vAlign w:val="top"/>
            <w:gridSpan w:val="3"/>
          </w:tcPr>
          <w:p>
            <w:pPr>
              <w:pStyle w:val="TableText"/>
              <w:ind w:left="113" w:right="103" w:firstLine="9"/>
              <w:spacing w:before="38" w:line="236" w:lineRule="auto"/>
              <w:rPr/>
            </w:pPr>
            <w:r>
              <w:rPr>
                <w:b/>
                <w:bCs/>
                <w:spacing w:val="8"/>
              </w:rPr>
              <w:t>【行政处罚决定】</w:t>
            </w:r>
            <w:r>
              <w:rPr>
                <w:spacing w:val="8"/>
              </w:rPr>
              <w:t>中国证监会决定</w:t>
            </w:r>
            <w:r>
              <w:rPr>
                <w:spacing w:val="-12"/>
              </w:rPr>
              <w:t xml:space="preserve"> </w:t>
            </w:r>
            <w:r>
              <w:rPr>
                <w:spacing w:val="8"/>
              </w:rPr>
              <w:t>：对实际控制人肖某强没收违法所得8,790,243.56元</w:t>
            </w:r>
            <w:r>
              <w:rPr>
                <w:spacing w:val="-25"/>
              </w:rPr>
              <w:t xml:space="preserve"> </w:t>
            </w:r>
            <w:r>
              <w:rPr>
                <w:spacing w:val="8"/>
              </w:rPr>
              <w:t>，并处</w:t>
            </w:r>
            <w:r>
              <w:rPr/>
              <w:t xml:space="preserve"> </w:t>
            </w:r>
            <w:r>
              <w:rPr>
                <w:spacing w:val="5"/>
              </w:rPr>
              <w:t>以26,370,730.68元的罚款。</w:t>
            </w:r>
          </w:p>
        </w:tc>
      </w:tr>
      <w:tr>
        <w:trPr>
          <w:trHeight w:val="1085" w:hRule="atLeast"/>
        </w:trPr>
        <w:tc>
          <w:tcPr>
            <w:shd w:val="clear" w:fill="B8CCE4"/>
            <w:tcW w:w="1117" w:type="dxa"/>
            <w:vAlign w:val="top"/>
          </w:tcPr>
          <w:p>
            <w:pPr>
              <w:spacing w:line="368" w:lineRule="auto"/>
              <w:rPr>
                <w:rFonts w:ascii="Arial"/>
                <w:sz w:val="21"/>
              </w:rPr>
            </w:pPr>
            <w:r/>
          </w:p>
          <w:p>
            <w:pPr>
              <w:pStyle w:val="TableText"/>
              <w:ind w:left="192"/>
              <w:spacing w:before="86" w:line="179" w:lineRule="auto"/>
              <w:rPr/>
            </w:pPr>
            <w:r>
              <w:rPr>
                <w:spacing w:val="3"/>
              </w:rPr>
              <w:t>601258</w:t>
            </w:r>
          </w:p>
        </w:tc>
        <w:tc>
          <w:tcPr>
            <w:shd w:val="clear" w:fill="B8CCE4"/>
            <w:tcW w:w="1093" w:type="dxa"/>
            <w:vAlign w:val="top"/>
          </w:tcPr>
          <w:p>
            <w:pPr>
              <w:spacing w:line="355" w:lineRule="auto"/>
              <w:rPr>
                <w:rFonts w:ascii="Arial"/>
                <w:sz w:val="21"/>
              </w:rPr>
            </w:pPr>
            <w:r/>
          </w:p>
          <w:p>
            <w:pPr>
              <w:pStyle w:val="TableText"/>
              <w:ind w:left="163"/>
              <w:spacing w:before="86" w:line="189" w:lineRule="auto"/>
              <w:rPr/>
            </w:pPr>
            <w:r>
              <w:rPr>
                <w:spacing w:val="8"/>
              </w:rPr>
              <w:t>*</w:t>
            </w:r>
            <w:r>
              <w:rPr/>
              <w:t>ST</w:t>
            </w:r>
            <w:r>
              <w:rPr>
                <w:spacing w:val="8"/>
              </w:rPr>
              <w:t>庞大</w:t>
            </w:r>
          </w:p>
        </w:tc>
        <w:tc>
          <w:tcPr>
            <w:shd w:val="clear" w:fill="B8CCE4"/>
            <w:tcW w:w="6690" w:type="dxa"/>
            <w:vAlign w:val="top"/>
          </w:tcPr>
          <w:p>
            <w:pPr>
              <w:pStyle w:val="TableText"/>
              <w:ind w:left="99" w:right="102"/>
              <w:spacing w:before="82" w:line="231" w:lineRule="auto"/>
              <w:jc w:val="both"/>
              <w:rPr/>
            </w:pPr>
            <w:r>
              <w:rPr>
                <w:spacing w:val="12"/>
              </w:rPr>
              <w:t>未按规定披露重大</w:t>
            </w:r>
            <w:r>
              <w:rPr>
                <w:b/>
                <w:bCs/>
                <w:spacing w:val="12"/>
              </w:rPr>
              <w:t>诉讼、仲裁</w:t>
            </w:r>
            <w:r>
              <w:rPr>
                <w:spacing w:val="12"/>
              </w:rPr>
              <w:t>事项；公司披露的</w:t>
            </w:r>
            <w:r>
              <w:rPr>
                <w:b/>
                <w:bCs/>
                <w:spacing w:val="12"/>
              </w:rPr>
              <w:t>2022年</w:t>
            </w:r>
            <w:r>
              <w:rPr>
                <w:b/>
                <w:bCs/>
                <w:spacing w:val="11"/>
              </w:rPr>
              <w:t>半年度报告</w:t>
            </w:r>
            <w:r>
              <w:rPr>
                <w:spacing w:val="11"/>
              </w:rPr>
              <w:t>存</w:t>
            </w:r>
            <w:r>
              <w:rPr/>
              <w:t xml:space="preserve"> </w:t>
            </w:r>
            <w:r>
              <w:rPr>
                <w:spacing w:val="10"/>
              </w:rPr>
              <w:t>在重大遗漏；</w:t>
            </w:r>
            <w:r>
              <w:rPr>
                <w:spacing w:val="-28"/>
              </w:rPr>
              <w:t xml:space="preserve"> </w:t>
            </w:r>
            <w:r>
              <w:rPr>
                <w:spacing w:val="10"/>
              </w:rPr>
              <w:t>公司披露的</w:t>
            </w:r>
            <w:r>
              <w:rPr>
                <w:b/>
                <w:bCs/>
                <w:spacing w:val="10"/>
              </w:rPr>
              <w:t>2019年、</w:t>
            </w:r>
            <w:r>
              <w:rPr>
                <w:b/>
                <w:bCs/>
                <w:spacing w:val="-19"/>
              </w:rPr>
              <w:t xml:space="preserve"> </w:t>
            </w:r>
            <w:r>
              <w:rPr>
                <w:b/>
                <w:bCs/>
                <w:spacing w:val="10"/>
              </w:rPr>
              <w:t>202</w:t>
            </w:r>
            <w:r>
              <w:rPr>
                <w:b/>
                <w:bCs/>
                <w:spacing w:val="9"/>
              </w:rPr>
              <w:t>0年、</w:t>
            </w:r>
            <w:r>
              <w:rPr>
                <w:b/>
                <w:bCs/>
                <w:spacing w:val="-21"/>
              </w:rPr>
              <w:t xml:space="preserve"> </w:t>
            </w:r>
            <w:r>
              <w:rPr>
                <w:b/>
                <w:bCs/>
                <w:spacing w:val="9"/>
              </w:rPr>
              <w:t>2021年、</w:t>
            </w:r>
            <w:r>
              <w:rPr>
                <w:b/>
                <w:bCs/>
                <w:spacing w:val="-18"/>
              </w:rPr>
              <w:t xml:space="preserve"> </w:t>
            </w:r>
            <w:r>
              <w:rPr>
                <w:b/>
                <w:bCs/>
                <w:spacing w:val="9"/>
              </w:rPr>
              <w:t>2022年年度</w:t>
            </w:r>
            <w:r>
              <w:rPr>
                <w:b/>
                <w:bCs/>
              </w:rPr>
              <w:t xml:space="preserve"> </w:t>
            </w:r>
            <w:r>
              <w:rPr>
                <w:b/>
                <w:bCs/>
                <w:spacing w:val="8"/>
              </w:rPr>
              <w:t>报告</w:t>
            </w:r>
            <w:r>
              <w:rPr>
                <w:spacing w:val="8"/>
              </w:rPr>
              <w:t>存在虚假记载。</w:t>
            </w:r>
          </w:p>
        </w:tc>
      </w:tr>
      <w:tr>
        <w:trPr>
          <w:trHeight w:val="725" w:hRule="atLeast"/>
        </w:trPr>
        <w:tc>
          <w:tcPr>
            <w:tcW w:w="8900" w:type="dxa"/>
            <w:vAlign w:val="top"/>
            <w:gridSpan w:val="3"/>
          </w:tcPr>
          <w:p>
            <w:pPr>
              <w:pStyle w:val="TableText"/>
              <w:ind w:left="110" w:right="103" w:firstLine="12"/>
              <w:spacing w:before="40" w:line="236" w:lineRule="auto"/>
              <w:rPr/>
            </w:pPr>
            <w:r>
              <w:rPr>
                <w:b/>
                <w:bCs/>
                <w:spacing w:val="10"/>
              </w:rPr>
              <w:t>【行政处罚决定】</w:t>
            </w:r>
            <w:r>
              <w:rPr>
                <w:spacing w:val="10"/>
              </w:rPr>
              <w:t>中国证券监督管理委员会河北监管局决定:对庞大汽</w:t>
            </w:r>
            <w:r>
              <w:rPr>
                <w:spacing w:val="9"/>
              </w:rPr>
              <w:t>贸集团股份有限公司责令</w:t>
            </w:r>
            <w:r>
              <w:rPr/>
              <w:t xml:space="preserve"> </w:t>
            </w:r>
            <w:r>
              <w:rPr>
                <w:spacing w:val="4"/>
              </w:rPr>
              <w:t>改正</w:t>
            </w:r>
            <w:r>
              <w:rPr>
                <w:spacing w:val="-11"/>
              </w:rPr>
              <w:t xml:space="preserve"> </w:t>
            </w:r>
            <w:r>
              <w:rPr>
                <w:spacing w:val="4"/>
              </w:rPr>
              <w:t>，给予警告</w:t>
            </w:r>
            <w:r>
              <w:rPr>
                <w:spacing w:val="-28"/>
              </w:rPr>
              <w:t xml:space="preserve"> </w:t>
            </w:r>
            <w:r>
              <w:rPr>
                <w:spacing w:val="4"/>
              </w:rPr>
              <w:t>，并处以670万元罚款。</w:t>
            </w:r>
          </w:p>
        </w:tc>
      </w:tr>
      <w:tr>
        <w:trPr>
          <w:trHeight w:val="365" w:hRule="atLeast"/>
        </w:trPr>
        <w:tc>
          <w:tcPr>
            <w:shd w:val="clear" w:fill="B8CCE4"/>
            <w:tcW w:w="1117" w:type="dxa"/>
            <w:vAlign w:val="top"/>
          </w:tcPr>
          <w:p>
            <w:pPr>
              <w:pStyle w:val="TableText"/>
              <w:ind w:left="192"/>
              <w:spacing w:before="100" w:line="178" w:lineRule="auto"/>
              <w:rPr/>
            </w:pPr>
            <w:r>
              <w:rPr>
                <w:spacing w:val="3"/>
              </w:rPr>
              <w:t>603603</w:t>
            </w:r>
          </w:p>
        </w:tc>
        <w:tc>
          <w:tcPr>
            <w:shd w:val="clear" w:fill="B8CCE4"/>
            <w:tcW w:w="1093" w:type="dxa"/>
            <w:vAlign w:val="top"/>
          </w:tcPr>
          <w:p>
            <w:pPr>
              <w:pStyle w:val="TableText"/>
              <w:ind w:left="163"/>
              <w:spacing w:before="87" w:line="187" w:lineRule="auto"/>
              <w:rPr/>
            </w:pPr>
            <w:r>
              <w:rPr>
                <w:spacing w:val="8"/>
              </w:rPr>
              <w:t>*</w:t>
            </w:r>
            <w:r>
              <w:rPr/>
              <w:t>ST</w:t>
            </w:r>
            <w:r>
              <w:rPr>
                <w:spacing w:val="8"/>
              </w:rPr>
              <w:t>博天</w:t>
            </w:r>
          </w:p>
        </w:tc>
        <w:tc>
          <w:tcPr>
            <w:shd w:val="clear" w:fill="B8CCE4"/>
            <w:tcW w:w="6690" w:type="dxa"/>
            <w:vAlign w:val="top"/>
          </w:tcPr>
          <w:p>
            <w:pPr>
              <w:pStyle w:val="TableText"/>
              <w:ind w:left="107"/>
              <w:spacing w:before="86" w:line="188" w:lineRule="auto"/>
              <w:rPr/>
            </w:pPr>
            <w:r>
              <w:rPr>
                <w:b/>
                <w:bCs/>
                <w:spacing w:val="7"/>
              </w:rPr>
              <w:t>2017年至2021年年度报告</w:t>
            </w:r>
            <w:r>
              <w:rPr>
                <w:spacing w:val="7"/>
              </w:rPr>
              <w:t>存在虚假记载。</w:t>
            </w:r>
          </w:p>
        </w:tc>
      </w:tr>
      <w:tr>
        <w:trPr>
          <w:trHeight w:val="724" w:hRule="atLeast"/>
        </w:trPr>
        <w:tc>
          <w:tcPr>
            <w:tcW w:w="8900" w:type="dxa"/>
            <w:vAlign w:val="top"/>
            <w:gridSpan w:val="3"/>
          </w:tcPr>
          <w:p>
            <w:pPr>
              <w:pStyle w:val="TableText"/>
              <w:ind w:left="106" w:right="105" w:firstLine="17"/>
              <w:spacing w:before="41" w:line="235" w:lineRule="auto"/>
              <w:rPr/>
            </w:pPr>
            <w:r>
              <w:rPr>
                <w:b/>
                <w:bCs/>
                <w:spacing w:val="13"/>
              </w:rPr>
              <w:t>【行政处罚决定】</w:t>
            </w:r>
            <w:r>
              <w:rPr>
                <w:spacing w:val="13"/>
              </w:rPr>
              <w:t>中国证券监督管理委员会北京监管局决定:对时任董事长,时任总经理赵某钧</w:t>
            </w:r>
            <w:r>
              <w:rPr>
                <w:spacing w:val="12"/>
              </w:rPr>
              <w:t xml:space="preserve"> </w:t>
            </w:r>
            <w:r>
              <w:rPr>
                <w:spacing w:val="8"/>
              </w:rPr>
              <w:t>采取7年证券市场禁入措施。</w:t>
            </w:r>
          </w:p>
        </w:tc>
      </w:tr>
      <w:tr>
        <w:trPr>
          <w:trHeight w:val="365" w:hRule="atLeast"/>
        </w:trPr>
        <w:tc>
          <w:tcPr>
            <w:shd w:val="clear" w:fill="B8CCE4"/>
            <w:tcW w:w="1117" w:type="dxa"/>
            <w:vAlign w:val="top"/>
          </w:tcPr>
          <w:p>
            <w:pPr>
              <w:pStyle w:val="TableText"/>
              <w:ind w:left="189"/>
              <w:spacing w:before="101" w:line="177" w:lineRule="auto"/>
              <w:rPr/>
            </w:pPr>
            <w:r>
              <w:rPr>
                <w:spacing w:val="3"/>
              </w:rPr>
              <w:t>002716</w:t>
            </w:r>
          </w:p>
        </w:tc>
        <w:tc>
          <w:tcPr>
            <w:shd w:val="clear" w:fill="B8CCE4"/>
            <w:tcW w:w="1093" w:type="dxa"/>
            <w:vAlign w:val="top"/>
          </w:tcPr>
          <w:p>
            <w:pPr>
              <w:pStyle w:val="TableText"/>
              <w:ind w:left="116"/>
              <w:spacing w:before="89" w:line="186" w:lineRule="auto"/>
              <w:rPr/>
            </w:pPr>
            <w:r>
              <w:rPr>
                <w:spacing w:val="9"/>
              </w:rPr>
              <w:t>金贵银业</w:t>
            </w:r>
          </w:p>
        </w:tc>
        <w:tc>
          <w:tcPr>
            <w:shd w:val="clear" w:fill="B8CCE4"/>
            <w:tcW w:w="6690" w:type="dxa"/>
            <w:vAlign w:val="top"/>
          </w:tcPr>
          <w:p>
            <w:pPr>
              <w:pStyle w:val="TableText"/>
              <w:ind w:left="112"/>
              <w:spacing w:before="89" w:line="186" w:lineRule="auto"/>
              <w:rPr/>
            </w:pPr>
            <w:r>
              <w:rPr>
                <w:b/>
                <w:bCs/>
                <w:spacing w:val="6"/>
              </w:rPr>
              <w:t>内幕交易</w:t>
            </w:r>
            <w:r>
              <w:rPr>
                <w:spacing w:val="6"/>
              </w:rPr>
              <w:t>公司股票。</w:t>
            </w:r>
          </w:p>
        </w:tc>
      </w:tr>
      <w:tr>
        <w:trPr>
          <w:trHeight w:val="2524" w:hRule="atLeast"/>
        </w:trPr>
        <w:tc>
          <w:tcPr>
            <w:tcW w:w="8900" w:type="dxa"/>
            <w:vAlign w:val="top"/>
            <w:gridSpan w:val="3"/>
          </w:tcPr>
          <w:p>
            <w:pPr>
              <w:pStyle w:val="TableText"/>
              <w:ind w:left="123"/>
              <w:spacing w:before="44" w:line="237" w:lineRule="auto"/>
              <w:rPr/>
            </w:pPr>
            <w:r>
              <w:rPr>
                <w:b/>
                <w:bCs/>
                <w:spacing w:val="9"/>
              </w:rPr>
              <w:t>【行政处罚决定】</w:t>
            </w:r>
            <w:r>
              <w:rPr>
                <w:spacing w:val="9"/>
              </w:rPr>
              <w:t>中国证券监督管理委员会广</w:t>
            </w:r>
            <w:r>
              <w:rPr>
                <w:spacing w:val="8"/>
              </w:rPr>
              <w:t>东监管局决定：</w:t>
            </w:r>
          </w:p>
          <w:p>
            <w:pPr>
              <w:pStyle w:val="TableText"/>
              <w:ind w:left="107" w:right="103" w:firstLine="31"/>
              <w:spacing w:before="25" w:line="234" w:lineRule="auto"/>
              <w:rPr/>
            </w:pPr>
            <w:r>
              <w:rPr>
                <w:spacing w:val="9"/>
              </w:rPr>
              <w:t>（一）对罗某飞内幕交易金贵银业股票的行为</w:t>
            </w:r>
            <w:r>
              <w:rPr>
                <w:spacing w:val="-24"/>
              </w:rPr>
              <w:t xml:space="preserve"> </w:t>
            </w:r>
            <w:r>
              <w:rPr>
                <w:spacing w:val="9"/>
              </w:rPr>
              <w:t>，责令依法处理非法持有的金贵银业股票</w:t>
            </w:r>
            <w:r>
              <w:rPr>
                <w:spacing w:val="-23"/>
              </w:rPr>
              <w:t xml:space="preserve"> </w:t>
            </w:r>
            <w:r>
              <w:rPr>
                <w:spacing w:val="9"/>
              </w:rPr>
              <w:t>，没收</w:t>
            </w:r>
            <w:r>
              <w:rPr/>
              <w:t xml:space="preserve"> </w:t>
            </w:r>
            <w:r>
              <w:rPr>
                <w:spacing w:val="6"/>
              </w:rPr>
              <w:t>罗某飞违法所得1,364,263.83元</w:t>
            </w:r>
            <w:r>
              <w:rPr>
                <w:spacing w:val="-28"/>
              </w:rPr>
              <w:t xml:space="preserve"> </w:t>
            </w:r>
            <w:r>
              <w:rPr>
                <w:spacing w:val="6"/>
              </w:rPr>
              <w:t>，并处以2,728,52</w:t>
            </w:r>
            <w:r>
              <w:rPr>
                <w:spacing w:val="5"/>
              </w:rPr>
              <w:t>7.66元罚款。</w:t>
            </w:r>
          </w:p>
          <w:p>
            <w:pPr>
              <w:pStyle w:val="TableText"/>
              <w:ind w:left="107" w:right="103" w:firstLine="32"/>
              <w:spacing w:before="50" w:line="234" w:lineRule="auto"/>
              <w:rPr/>
            </w:pPr>
            <w:r>
              <w:rPr>
                <w:spacing w:val="10"/>
              </w:rPr>
              <w:t>（二）对罗某飞、胡某兰共同内幕交易金贵银业股票的行为</w:t>
            </w:r>
            <w:r>
              <w:rPr>
                <w:spacing w:val="-26"/>
              </w:rPr>
              <w:t xml:space="preserve"> </w:t>
            </w:r>
            <w:r>
              <w:rPr>
                <w:spacing w:val="10"/>
              </w:rPr>
              <w:t>，责令依法处理非法持有的</w:t>
            </w:r>
            <w:r>
              <w:rPr>
                <w:spacing w:val="9"/>
              </w:rPr>
              <w:t>金贵银</w:t>
            </w:r>
            <w:r>
              <w:rPr/>
              <w:t xml:space="preserve"> </w:t>
            </w:r>
            <w:r>
              <w:rPr>
                <w:spacing w:val="6"/>
              </w:rPr>
              <w:t>业股票</w:t>
            </w:r>
            <w:r>
              <w:rPr>
                <w:spacing w:val="-24"/>
              </w:rPr>
              <w:t xml:space="preserve"> </w:t>
            </w:r>
            <w:r>
              <w:rPr>
                <w:spacing w:val="6"/>
              </w:rPr>
              <w:t>，没收罗某飞、胡某兰违法所得1,283,193.67元</w:t>
            </w:r>
            <w:r>
              <w:rPr>
                <w:spacing w:val="-28"/>
              </w:rPr>
              <w:t xml:space="preserve"> </w:t>
            </w:r>
            <w:r>
              <w:rPr>
                <w:spacing w:val="6"/>
              </w:rPr>
              <w:t>，并共处以2,566,387.34元罚款。</w:t>
            </w:r>
          </w:p>
          <w:p>
            <w:pPr>
              <w:pStyle w:val="TableText"/>
              <w:ind w:left="110" w:right="103" w:firstLine="28"/>
              <w:spacing w:before="49" w:line="233" w:lineRule="auto"/>
              <w:rPr/>
            </w:pPr>
            <w:r>
              <w:rPr>
                <w:spacing w:val="11"/>
              </w:rPr>
              <w:t>（三）对罗某飞作为非法获取内幕信息的人在内幕信息公开前建议他</w:t>
            </w:r>
            <w:r>
              <w:rPr>
                <w:spacing w:val="10"/>
              </w:rPr>
              <w:t>人买卖金贵银业股票的行</w:t>
            </w:r>
            <w:r>
              <w:rPr/>
              <w:t xml:space="preserve"> </w:t>
            </w:r>
            <w:r>
              <w:rPr>
                <w:spacing w:val="5"/>
              </w:rPr>
              <w:t>为</w:t>
            </w:r>
            <w:r>
              <w:rPr>
                <w:spacing w:val="-15"/>
              </w:rPr>
              <w:t xml:space="preserve"> </w:t>
            </w:r>
            <w:r>
              <w:rPr>
                <w:spacing w:val="5"/>
              </w:rPr>
              <w:t>，对罗某飞处以100万元罚款。</w:t>
            </w:r>
          </w:p>
        </w:tc>
      </w:tr>
      <w:tr>
        <w:trPr>
          <w:trHeight w:val="365" w:hRule="atLeast"/>
        </w:trPr>
        <w:tc>
          <w:tcPr>
            <w:shd w:val="clear" w:fill="B8CCE4"/>
            <w:tcW w:w="1117" w:type="dxa"/>
            <w:vAlign w:val="top"/>
          </w:tcPr>
          <w:p>
            <w:pPr>
              <w:pStyle w:val="TableText"/>
              <w:ind w:left="192"/>
              <w:spacing w:before="104" w:line="175" w:lineRule="auto"/>
              <w:rPr/>
            </w:pPr>
            <w:r>
              <w:rPr>
                <w:spacing w:val="3"/>
              </w:rPr>
              <w:t>688086</w:t>
            </w:r>
          </w:p>
        </w:tc>
        <w:tc>
          <w:tcPr>
            <w:shd w:val="clear" w:fill="B8CCE4"/>
            <w:tcW w:w="1093" w:type="dxa"/>
            <w:vAlign w:val="top"/>
          </w:tcPr>
          <w:p>
            <w:pPr>
              <w:pStyle w:val="TableText"/>
              <w:ind w:left="116"/>
              <w:spacing w:before="89" w:line="186" w:lineRule="auto"/>
              <w:rPr/>
            </w:pPr>
            <w:r>
              <w:rPr>
                <w:spacing w:val="8"/>
              </w:rPr>
              <w:t>退市紫晶</w:t>
            </w:r>
          </w:p>
        </w:tc>
        <w:tc>
          <w:tcPr>
            <w:shd w:val="clear" w:fill="B8CCE4"/>
            <w:tcW w:w="6690" w:type="dxa"/>
            <w:vAlign w:val="top"/>
          </w:tcPr>
          <w:p>
            <w:pPr>
              <w:pStyle w:val="TableText"/>
              <w:ind w:left="99"/>
              <w:spacing w:before="89" w:line="186" w:lineRule="auto"/>
              <w:rPr/>
            </w:pPr>
            <w:r>
              <w:rPr>
                <w:spacing w:val="8"/>
              </w:rPr>
              <w:t>未在法定期限内披露公司2022年</w:t>
            </w:r>
            <w:r>
              <w:rPr>
                <w:b/>
                <w:bCs/>
                <w:spacing w:val="8"/>
              </w:rPr>
              <w:t>年度报告。</w:t>
            </w:r>
          </w:p>
        </w:tc>
      </w:tr>
      <w:tr>
        <w:trPr>
          <w:trHeight w:val="725" w:hRule="atLeast"/>
        </w:trPr>
        <w:tc>
          <w:tcPr>
            <w:tcW w:w="8900" w:type="dxa"/>
            <w:vAlign w:val="top"/>
            <w:gridSpan w:val="3"/>
          </w:tcPr>
          <w:p>
            <w:pPr>
              <w:pStyle w:val="TableText"/>
              <w:ind w:left="108" w:right="105" w:firstLine="14"/>
              <w:spacing w:before="45" w:line="234" w:lineRule="auto"/>
              <w:rPr/>
            </w:pPr>
            <w:r>
              <w:rPr>
                <w:b/>
                <w:bCs/>
                <w:spacing w:val="10"/>
              </w:rPr>
              <w:t>【行政处罚决定】</w:t>
            </w:r>
            <w:r>
              <w:rPr>
                <w:spacing w:val="10"/>
              </w:rPr>
              <w:t>中国证券监督管理委员会广东监</w:t>
            </w:r>
            <w:r>
              <w:rPr>
                <w:spacing w:val="9"/>
              </w:rPr>
              <w:t>管局决定</w:t>
            </w:r>
            <w:r>
              <w:rPr>
                <w:spacing w:val="-18"/>
              </w:rPr>
              <w:t xml:space="preserve"> </w:t>
            </w:r>
            <w:r>
              <w:rPr>
                <w:spacing w:val="9"/>
              </w:rPr>
              <w:t>：对时任董事、</w:t>
            </w:r>
            <w:r>
              <w:rPr>
                <w:spacing w:val="-37"/>
              </w:rPr>
              <w:t xml:space="preserve"> </w:t>
            </w:r>
            <w:r>
              <w:rPr>
                <w:spacing w:val="9"/>
              </w:rPr>
              <w:t>时任董秘郑某给予</w:t>
            </w:r>
            <w:r>
              <w:rPr/>
              <w:t xml:space="preserve"> </w:t>
            </w:r>
            <w:r>
              <w:rPr>
                <w:spacing w:val="5"/>
              </w:rPr>
              <w:t>警告</w:t>
            </w:r>
            <w:r>
              <w:rPr>
                <w:spacing w:val="-23"/>
              </w:rPr>
              <w:t xml:space="preserve"> </w:t>
            </w:r>
            <w:r>
              <w:rPr>
                <w:spacing w:val="5"/>
              </w:rPr>
              <w:t>，并处以30万元罚款。</w:t>
            </w:r>
          </w:p>
        </w:tc>
      </w:tr>
      <w:tr>
        <w:trPr>
          <w:trHeight w:val="365" w:hRule="atLeast"/>
        </w:trPr>
        <w:tc>
          <w:tcPr>
            <w:shd w:val="clear" w:fill="B8CCE4"/>
            <w:tcW w:w="1117" w:type="dxa"/>
            <w:vAlign w:val="top"/>
          </w:tcPr>
          <w:p>
            <w:pPr>
              <w:pStyle w:val="TableText"/>
              <w:ind w:left="192"/>
              <w:spacing w:before="104" w:line="175" w:lineRule="auto"/>
              <w:rPr/>
            </w:pPr>
            <w:r>
              <w:rPr>
                <w:spacing w:val="3"/>
              </w:rPr>
              <w:t>688086</w:t>
            </w:r>
          </w:p>
        </w:tc>
        <w:tc>
          <w:tcPr>
            <w:shd w:val="clear" w:fill="B8CCE4"/>
            <w:tcW w:w="1093" w:type="dxa"/>
            <w:vAlign w:val="top"/>
          </w:tcPr>
          <w:p>
            <w:pPr>
              <w:pStyle w:val="TableText"/>
              <w:ind w:left="116"/>
              <w:spacing w:before="89" w:line="186" w:lineRule="auto"/>
              <w:rPr/>
            </w:pPr>
            <w:r>
              <w:rPr>
                <w:spacing w:val="8"/>
              </w:rPr>
              <w:t>退市紫晶</w:t>
            </w:r>
          </w:p>
        </w:tc>
        <w:tc>
          <w:tcPr>
            <w:shd w:val="clear" w:fill="B8CCE4"/>
            <w:tcW w:w="6690" w:type="dxa"/>
            <w:vAlign w:val="top"/>
          </w:tcPr>
          <w:p>
            <w:pPr>
              <w:pStyle w:val="TableText"/>
              <w:ind w:left="99"/>
              <w:spacing w:before="90" w:line="185" w:lineRule="auto"/>
              <w:rPr/>
            </w:pPr>
            <w:r>
              <w:rPr>
                <w:spacing w:val="8"/>
              </w:rPr>
              <w:t>未在法定期限内披露公司2022年</w:t>
            </w:r>
            <w:r>
              <w:rPr>
                <w:b/>
                <w:bCs/>
                <w:spacing w:val="8"/>
              </w:rPr>
              <w:t>年度报告。</w:t>
            </w:r>
          </w:p>
        </w:tc>
      </w:tr>
      <w:tr>
        <w:trPr>
          <w:trHeight w:val="724" w:hRule="atLeast"/>
        </w:trPr>
        <w:tc>
          <w:tcPr>
            <w:tcW w:w="8900" w:type="dxa"/>
            <w:vAlign w:val="top"/>
            <w:gridSpan w:val="3"/>
          </w:tcPr>
          <w:p>
            <w:pPr>
              <w:pStyle w:val="TableText"/>
              <w:ind w:left="110" w:right="103" w:firstLine="12"/>
              <w:spacing w:before="47" w:line="233" w:lineRule="auto"/>
              <w:rPr/>
            </w:pPr>
            <w:r>
              <w:rPr>
                <w:b/>
                <w:bCs/>
                <w:spacing w:val="9"/>
              </w:rPr>
              <w:t>【行政处罚决定】</w:t>
            </w:r>
            <w:r>
              <w:rPr>
                <w:spacing w:val="9"/>
              </w:rPr>
              <w:t>中国证券监督管理委员会广东监管局决定</w:t>
            </w:r>
            <w:r>
              <w:rPr>
                <w:spacing w:val="-20"/>
              </w:rPr>
              <w:t xml:space="preserve"> </w:t>
            </w:r>
            <w:r>
              <w:rPr>
                <w:spacing w:val="9"/>
              </w:rPr>
              <w:t>：对时任董事,时</w:t>
            </w:r>
            <w:r>
              <w:rPr>
                <w:spacing w:val="8"/>
              </w:rPr>
              <w:t>任总经理钟某裕给</w:t>
            </w:r>
            <w:r>
              <w:rPr/>
              <w:t xml:space="preserve"> </w:t>
            </w:r>
            <w:r>
              <w:rPr>
                <w:spacing w:val="5"/>
              </w:rPr>
              <w:t>予警告</w:t>
            </w:r>
            <w:r>
              <w:rPr>
                <w:spacing w:val="-19"/>
              </w:rPr>
              <w:t xml:space="preserve"> </w:t>
            </w:r>
            <w:r>
              <w:rPr>
                <w:spacing w:val="5"/>
              </w:rPr>
              <w:t>，并处以20万元罚款。</w:t>
            </w:r>
          </w:p>
        </w:tc>
      </w:tr>
      <w:tr>
        <w:trPr>
          <w:trHeight w:val="366" w:hRule="atLeast"/>
        </w:trPr>
        <w:tc>
          <w:tcPr>
            <w:shd w:val="clear" w:fill="B8CCE4"/>
            <w:tcW w:w="1117" w:type="dxa"/>
            <w:vAlign w:val="top"/>
          </w:tcPr>
          <w:p>
            <w:pPr>
              <w:pStyle w:val="TableText"/>
              <w:ind w:left="192"/>
              <w:spacing w:before="107" w:line="174" w:lineRule="auto"/>
              <w:rPr/>
            </w:pPr>
            <w:r>
              <w:rPr>
                <w:spacing w:val="3"/>
              </w:rPr>
              <w:t>688086</w:t>
            </w:r>
          </w:p>
        </w:tc>
        <w:tc>
          <w:tcPr>
            <w:shd w:val="clear" w:fill="B8CCE4"/>
            <w:tcW w:w="1093" w:type="dxa"/>
            <w:vAlign w:val="top"/>
          </w:tcPr>
          <w:p>
            <w:pPr>
              <w:pStyle w:val="TableText"/>
              <w:ind w:left="116"/>
              <w:spacing w:before="91" w:line="185" w:lineRule="auto"/>
              <w:rPr/>
            </w:pPr>
            <w:r>
              <w:rPr>
                <w:spacing w:val="8"/>
              </w:rPr>
              <w:t>退市紫晶</w:t>
            </w:r>
          </w:p>
        </w:tc>
        <w:tc>
          <w:tcPr>
            <w:shd w:val="clear" w:fill="B8CCE4"/>
            <w:tcW w:w="6690" w:type="dxa"/>
            <w:vAlign w:val="top"/>
          </w:tcPr>
          <w:p>
            <w:pPr>
              <w:pStyle w:val="TableText"/>
              <w:ind w:left="99"/>
              <w:spacing w:before="91" w:line="185" w:lineRule="auto"/>
              <w:rPr/>
            </w:pPr>
            <w:r>
              <w:rPr>
                <w:spacing w:val="8"/>
              </w:rPr>
              <w:t>未在法定期限内披露公司2022年</w:t>
            </w:r>
            <w:r>
              <w:rPr>
                <w:b/>
                <w:bCs/>
                <w:spacing w:val="8"/>
              </w:rPr>
              <w:t>年度报告。</w:t>
            </w:r>
          </w:p>
        </w:tc>
      </w:tr>
      <w:tr>
        <w:trPr>
          <w:trHeight w:val="724" w:hRule="atLeast"/>
        </w:trPr>
        <w:tc>
          <w:tcPr>
            <w:tcW w:w="8900" w:type="dxa"/>
            <w:vAlign w:val="top"/>
            <w:gridSpan w:val="3"/>
          </w:tcPr>
          <w:p>
            <w:pPr>
              <w:pStyle w:val="TableText"/>
              <w:ind w:left="107" w:right="151" w:firstLine="15"/>
              <w:spacing w:before="47" w:line="233" w:lineRule="auto"/>
              <w:rPr/>
            </w:pPr>
            <w:r>
              <w:rPr>
                <w:b/>
                <w:bCs/>
                <w:spacing w:val="9"/>
              </w:rPr>
              <w:t>【行政处罚决定】</w:t>
            </w:r>
            <w:r>
              <w:rPr>
                <w:spacing w:val="9"/>
              </w:rPr>
              <w:t>中国证券监督管理委员会广东监管局决定</w:t>
            </w:r>
            <w:r>
              <w:rPr>
                <w:spacing w:val="-18"/>
              </w:rPr>
              <w:t xml:space="preserve"> </w:t>
            </w:r>
            <w:r>
              <w:rPr>
                <w:spacing w:val="9"/>
              </w:rPr>
              <w:t>：对时任董事长贾某峰给予警</w:t>
            </w:r>
            <w:r>
              <w:rPr>
                <w:spacing w:val="8"/>
              </w:rPr>
              <w:t>告，</w:t>
            </w:r>
            <w:r>
              <w:rPr/>
              <w:t xml:space="preserve"> </w:t>
            </w:r>
            <w:r>
              <w:rPr>
                <w:spacing w:val="7"/>
              </w:rPr>
              <w:t>并处以20万元罚款。</w:t>
            </w:r>
          </w:p>
        </w:tc>
      </w:tr>
      <w:tr>
        <w:trPr>
          <w:trHeight w:val="724" w:hRule="atLeast"/>
        </w:trPr>
        <w:tc>
          <w:tcPr>
            <w:shd w:val="clear" w:fill="B8CCE4"/>
            <w:tcW w:w="1117" w:type="dxa"/>
            <w:vAlign w:val="top"/>
          </w:tcPr>
          <w:p>
            <w:pPr>
              <w:pStyle w:val="TableText"/>
              <w:ind w:left="189"/>
              <w:spacing w:before="285" w:line="178" w:lineRule="auto"/>
              <w:rPr/>
            </w:pPr>
            <w:r>
              <w:rPr>
                <w:spacing w:val="3"/>
              </w:rPr>
              <w:t>002503</w:t>
            </w:r>
          </w:p>
        </w:tc>
        <w:tc>
          <w:tcPr>
            <w:shd w:val="clear" w:fill="B8CCE4"/>
            <w:tcW w:w="1093" w:type="dxa"/>
            <w:vAlign w:val="top"/>
          </w:tcPr>
          <w:p>
            <w:pPr>
              <w:pStyle w:val="TableText"/>
              <w:ind w:left="163"/>
              <w:spacing w:before="271" w:line="189" w:lineRule="auto"/>
              <w:rPr/>
            </w:pPr>
            <w:r>
              <w:rPr>
                <w:spacing w:val="8"/>
              </w:rPr>
              <w:t>*</w:t>
            </w:r>
            <w:r>
              <w:rPr/>
              <w:t>ST</w:t>
            </w:r>
            <w:r>
              <w:rPr>
                <w:spacing w:val="8"/>
              </w:rPr>
              <w:t>搜特</w:t>
            </w:r>
          </w:p>
        </w:tc>
        <w:tc>
          <w:tcPr>
            <w:shd w:val="clear" w:fill="B8CCE4"/>
            <w:tcW w:w="6690" w:type="dxa"/>
            <w:vAlign w:val="top"/>
          </w:tcPr>
          <w:p>
            <w:pPr>
              <w:pStyle w:val="TableText"/>
              <w:ind w:left="99" w:right="105" w:firstLine="7"/>
              <w:spacing w:before="93" w:line="217" w:lineRule="auto"/>
              <w:rPr/>
            </w:pPr>
            <w:r>
              <w:rPr>
                <w:b/>
                <w:bCs/>
                <w:spacing w:val="9"/>
              </w:rPr>
              <w:t>2020年半年报、</w:t>
            </w:r>
            <w:r>
              <w:rPr>
                <w:b/>
                <w:bCs/>
                <w:spacing w:val="-30"/>
              </w:rPr>
              <w:t xml:space="preserve"> </w:t>
            </w:r>
            <w:r>
              <w:rPr>
                <w:b/>
                <w:bCs/>
                <w:spacing w:val="9"/>
              </w:rPr>
              <w:t>2020年年报、</w:t>
            </w:r>
            <w:r>
              <w:rPr>
                <w:b/>
                <w:bCs/>
                <w:spacing w:val="-31"/>
              </w:rPr>
              <w:t xml:space="preserve"> </w:t>
            </w:r>
            <w:r>
              <w:rPr>
                <w:b/>
                <w:bCs/>
                <w:spacing w:val="9"/>
              </w:rPr>
              <w:t>2021</w:t>
            </w:r>
            <w:r>
              <w:rPr>
                <w:b/>
                <w:bCs/>
                <w:spacing w:val="8"/>
              </w:rPr>
              <w:t>年年报</w:t>
            </w:r>
            <w:r>
              <w:rPr>
                <w:spacing w:val="8"/>
              </w:rPr>
              <w:t>存在虚假记载；</w:t>
            </w:r>
            <w:r>
              <w:rPr>
                <w:spacing w:val="-38"/>
              </w:rPr>
              <w:t xml:space="preserve"> </w:t>
            </w:r>
            <w:r>
              <w:rPr>
                <w:spacing w:val="8"/>
              </w:rPr>
              <w:t>未按规定</w:t>
            </w:r>
            <w:r>
              <w:rPr/>
              <w:t xml:space="preserve"> </w:t>
            </w:r>
            <w:r>
              <w:rPr>
                <w:spacing w:val="7"/>
              </w:rPr>
              <w:t>披露关联交易</w:t>
            </w:r>
            <w:r>
              <w:rPr>
                <w:spacing w:val="-26"/>
              </w:rPr>
              <w:t xml:space="preserve"> </w:t>
            </w:r>
            <w:r>
              <w:rPr>
                <w:spacing w:val="7"/>
              </w:rPr>
              <w:t>，</w:t>
            </w:r>
            <w:r>
              <w:rPr>
                <w:b/>
                <w:bCs/>
                <w:spacing w:val="7"/>
              </w:rPr>
              <w:t>2021年年报</w:t>
            </w:r>
            <w:r>
              <w:rPr>
                <w:spacing w:val="7"/>
              </w:rPr>
              <w:t>存在重大遗</w:t>
            </w:r>
            <w:r>
              <w:rPr>
                <w:spacing w:val="6"/>
              </w:rPr>
              <w:t>漏。</w:t>
            </w:r>
          </w:p>
        </w:tc>
      </w:tr>
      <w:tr>
        <w:trPr>
          <w:trHeight w:val="725" w:hRule="atLeast"/>
        </w:trPr>
        <w:tc>
          <w:tcPr>
            <w:tcW w:w="8900" w:type="dxa"/>
            <w:vAlign w:val="top"/>
            <w:gridSpan w:val="3"/>
          </w:tcPr>
          <w:p>
            <w:pPr>
              <w:pStyle w:val="TableText"/>
              <w:ind w:left="105" w:right="105" w:firstLine="18"/>
              <w:spacing w:before="48" w:line="233" w:lineRule="auto"/>
              <w:rPr/>
            </w:pPr>
            <w:r>
              <w:rPr>
                <w:b/>
                <w:bCs/>
                <w:spacing w:val="9"/>
              </w:rPr>
              <w:t>【行政处罚决定】</w:t>
            </w:r>
            <w:r>
              <w:rPr>
                <w:spacing w:val="9"/>
              </w:rPr>
              <w:t>中国证券监督管理委员会广东监管局决定</w:t>
            </w:r>
            <w:r>
              <w:rPr>
                <w:spacing w:val="-8"/>
              </w:rPr>
              <w:t xml:space="preserve"> </w:t>
            </w:r>
            <w:r>
              <w:rPr>
                <w:spacing w:val="9"/>
              </w:rPr>
              <w:t>：对时任高管轲某军给予警告</w:t>
            </w:r>
            <w:r>
              <w:rPr>
                <w:spacing w:val="-25"/>
              </w:rPr>
              <w:t xml:space="preserve"> </w:t>
            </w:r>
            <w:r>
              <w:rPr>
                <w:spacing w:val="9"/>
              </w:rPr>
              <w:t>，并</w:t>
            </w:r>
            <w:r>
              <w:rPr/>
              <w:t xml:space="preserve"> </w:t>
            </w:r>
            <w:r>
              <w:rPr>
                <w:spacing w:val="7"/>
              </w:rPr>
              <w:t>处以50万元的罚款。</w:t>
            </w:r>
          </w:p>
        </w:tc>
      </w:tr>
      <w:tr>
        <w:trPr>
          <w:trHeight w:val="724" w:hRule="atLeast"/>
        </w:trPr>
        <w:tc>
          <w:tcPr>
            <w:shd w:val="clear" w:fill="B8CCE4"/>
            <w:tcW w:w="1117" w:type="dxa"/>
            <w:vAlign w:val="top"/>
          </w:tcPr>
          <w:p>
            <w:pPr>
              <w:pStyle w:val="TableText"/>
              <w:ind w:left="189"/>
              <w:spacing w:before="287" w:line="178" w:lineRule="auto"/>
              <w:rPr/>
            </w:pPr>
            <w:r>
              <w:rPr>
                <w:spacing w:val="3"/>
              </w:rPr>
              <w:t>002503</w:t>
            </w:r>
          </w:p>
        </w:tc>
        <w:tc>
          <w:tcPr>
            <w:shd w:val="clear" w:fill="B8CCE4"/>
            <w:tcW w:w="1093" w:type="dxa"/>
            <w:vAlign w:val="top"/>
          </w:tcPr>
          <w:p>
            <w:pPr>
              <w:pStyle w:val="TableText"/>
              <w:ind w:left="163"/>
              <w:spacing w:before="273" w:line="189" w:lineRule="auto"/>
              <w:rPr/>
            </w:pPr>
            <w:r>
              <w:rPr>
                <w:spacing w:val="8"/>
              </w:rPr>
              <w:t>*</w:t>
            </w:r>
            <w:r>
              <w:rPr/>
              <w:t>ST</w:t>
            </w:r>
            <w:r>
              <w:rPr>
                <w:spacing w:val="8"/>
              </w:rPr>
              <w:t>搜特</w:t>
            </w:r>
          </w:p>
        </w:tc>
        <w:tc>
          <w:tcPr>
            <w:shd w:val="clear" w:fill="B8CCE4"/>
            <w:tcW w:w="6690" w:type="dxa"/>
            <w:vAlign w:val="top"/>
          </w:tcPr>
          <w:p>
            <w:pPr>
              <w:pStyle w:val="TableText"/>
              <w:ind w:left="99" w:right="105" w:firstLine="7"/>
              <w:spacing w:before="96" w:line="216" w:lineRule="auto"/>
              <w:rPr/>
            </w:pPr>
            <w:r>
              <w:rPr>
                <w:b/>
                <w:bCs/>
                <w:spacing w:val="9"/>
              </w:rPr>
              <w:t>2020年半年报、</w:t>
            </w:r>
            <w:r>
              <w:rPr>
                <w:b/>
                <w:bCs/>
                <w:spacing w:val="-30"/>
              </w:rPr>
              <w:t xml:space="preserve"> </w:t>
            </w:r>
            <w:r>
              <w:rPr>
                <w:b/>
                <w:bCs/>
                <w:spacing w:val="9"/>
              </w:rPr>
              <w:t>2020年年报、</w:t>
            </w:r>
            <w:r>
              <w:rPr>
                <w:b/>
                <w:bCs/>
                <w:spacing w:val="-31"/>
              </w:rPr>
              <w:t xml:space="preserve"> </w:t>
            </w:r>
            <w:r>
              <w:rPr>
                <w:b/>
                <w:bCs/>
                <w:spacing w:val="9"/>
              </w:rPr>
              <w:t>2021</w:t>
            </w:r>
            <w:r>
              <w:rPr>
                <w:b/>
                <w:bCs/>
                <w:spacing w:val="8"/>
              </w:rPr>
              <w:t>年年报</w:t>
            </w:r>
            <w:r>
              <w:rPr>
                <w:spacing w:val="8"/>
              </w:rPr>
              <w:t>存在虚假记载；</w:t>
            </w:r>
            <w:r>
              <w:rPr>
                <w:spacing w:val="-38"/>
              </w:rPr>
              <w:t xml:space="preserve"> </w:t>
            </w:r>
            <w:r>
              <w:rPr>
                <w:spacing w:val="8"/>
              </w:rPr>
              <w:t>未按规定</w:t>
            </w:r>
            <w:r>
              <w:rPr/>
              <w:t xml:space="preserve"> </w:t>
            </w:r>
            <w:r>
              <w:rPr>
                <w:spacing w:val="7"/>
              </w:rPr>
              <w:t>披露关联交易</w:t>
            </w:r>
            <w:r>
              <w:rPr>
                <w:spacing w:val="-26"/>
              </w:rPr>
              <w:t xml:space="preserve"> </w:t>
            </w:r>
            <w:r>
              <w:rPr>
                <w:spacing w:val="7"/>
              </w:rPr>
              <w:t>，</w:t>
            </w:r>
            <w:r>
              <w:rPr>
                <w:b/>
                <w:bCs/>
                <w:spacing w:val="7"/>
              </w:rPr>
              <w:t>2021年年报</w:t>
            </w:r>
            <w:r>
              <w:rPr>
                <w:spacing w:val="7"/>
              </w:rPr>
              <w:t>存在重大遗</w:t>
            </w:r>
            <w:r>
              <w:rPr>
                <w:spacing w:val="6"/>
              </w:rPr>
              <w:t>漏。</w:t>
            </w:r>
          </w:p>
        </w:tc>
      </w:tr>
      <w:tr>
        <w:trPr>
          <w:trHeight w:val="733" w:hRule="atLeast"/>
        </w:trPr>
        <w:tc>
          <w:tcPr>
            <w:tcW w:w="8900" w:type="dxa"/>
            <w:vAlign w:val="top"/>
            <w:gridSpan w:val="3"/>
          </w:tcPr>
          <w:p>
            <w:pPr>
              <w:pStyle w:val="TableText"/>
              <w:ind w:left="105" w:right="105" w:firstLine="18"/>
              <w:spacing w:before="50" w:line="235" w:lineRule="auto"/>
              <w:rPr/>
            </w:pPr>
            <w:r>
              <w:rPr>
                <w:b/>
                <w:bCs/>
                <w:spacing w:val="9"/>
              </w:rPr>
              <w:t>【行政处罚决定】</w:t>
            </w:r>
            <w:r>
              <w:rPr>
                <w:spacing w:val="9"/>
              </w:rPr>
              <w:t>中国证券监督管理委员会广东监管局决定</w:t>
            </w:r>
            <w:r>
              <w:rPr>
                <w:spacing w:val="-8"/>
              </w:rPr>
              <w:t xml:space="preserve"> </w:t>
            </w:r>
            <w:r>
              <w:rPr>
                <w:spacing w:val="9"/>
              </w:rPr>
              <w:t>：对时任董秘廖某岩给予警告</w:t>
            </w:r>
            <w:r>
              <w:rPr>
                <w:spacing w:val="-25"/>
              </w:rPr>
              <w:t xml:space="preserve"> </w:t>
            </w:r>
            <w:r>
              <w:rPr>
                <w:spacing w:val="9"/>
              </w:rPr>
              <w:t>，并</w:t>
            </w:r>
            <w:r>
              <w:rPr/>
              <w:t xml:space="preserve"> </w:t>
            </w:r>
            <w:r>
              <w:rPr>
                <w:spacing w:val="7"/>
              </w:rPr>
              <w:t>处以50万元的罚款。</w:t>
            </w:r>
          </w:p>
        </w:tc>
      </w:tr>
    </w:tbl>
    <w:p>
      <w:pPr>
        <w:pStyle w:val="BodyText"/>
        <w:rPr/>
      </w:pPr>
      <w:r/>
    </w:p>
    <w:p>
      <w:pPr>
        <w:sectPr>
          <w:pgSz w:w="11910" w:h="16840"/>
          <w:pgMar w:top="374" w:right="1692" w:bottom="0" w:left="875" w:header="0" w:footer="0" w:gutter="0"/>
        </w:sectPr>
        <w:rPr/>
      </w:pPr>
    </w:p>
    <w:tbl>
      <w:tblPr>
        <w:tblStyle w:val="TableNormal"/>
        <w:tblW w:w="8900" w:type="dxa"/>
        <w:tblInd w:w="19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17"/>
        <w:gridCol w:w="1093"/>
        <w:gridCol w:w="6690"/>
      </w:tblGrid>
      <w:tr>
        <w:trPr>
          <w:trHeight w:val="744" w:hRule="atLeast"/>
        </w:trPr>
        <w:tc>
          <w:tcPr>
            <w:shd w:val="clear" w:fill="B8CCE4"/>
            <w:tcW w:w="1117" w:type="dxa"/>
            <w:vAlign w:val="top"/>
            <w:tcBorders>
              <w:top w:val="single" w:color="4F81BD" w:sz="2" w:space="0"/>
            </w:tcBorders>
          </w:tcPr>
          <w:p>
            <w:pPr>
              <w:pStyle w:val="TableText"/>
              <w:ind w:left="189"/>
              <w:spacing w:before="294" w:line="178" w:lineRule="auto"/>
              <w:rPr/>
            </w:pPr>
            <w:r>
              <w:rPr>
                <w:spacing w:val="3"/>
              </w:rPr>
              <w:t>002503</w:t>
            </w:r>
          </w:p>
        </w:tc>
        <w:tc>
          <w:tcPr>
            <w:shd w:val="clear" w:fill="B8CCE4"/>
            <w:tcW w:w="1093" w:type="dxa"/>
            <w:vAlign w:val="top"/>
            <w:tcBorders>
              <w:top w:val="single" w:color="4F81BD" w:sz="2" w:space="0"/>
            </w:tcBorders>
          </w:tcPr>
          <w:p>
            <w:pPr>
              <w:pStyle w:val="TableText"/>
              <w:ind w:left="163"/>
              <w:spacing w:before="280" w:line="189" w:lineRule="auto"/>
              <w:rPr/>
            </w:pPr>
            <w:r>
              <w:rPr>
                <w:spacing w:val="8"/>
              </w:rPr>
              <w:t>*</w:t>
            </w:r>
            <w:r>
              <w:rPr/>
              <w:t>ST</w:t>
            </w:r>
            <w:r>
              <w:rPr>
                <w:spacing w:val="8"/>
              </w:rPr>
              <w:t>搜特</w:t>
            </w:r>
          </w:p>
        </w:tc>
        <w:tc>
          <w:tcPr>
            <w:shd w:val="clear" w:fill="B8CCE4"/>
            <w:tcW w:w="6690" w:type="dxa"/>
            <w:vAlign w:val="top"/>
            <w:tcBorders>
              <w:top w:val="single" w:color="4F81BD" w:sz="2" w:space="0"/>
            </w:tcBorders>
          </w:tcPr>
          <w:p>
            <w:pPr>
              <w:pStyle w:val="TableText"/>
              <w:ind w:left="99" w:right="105" w:firstLine="7"/>
              <w:spacing w:before="100" w:line="221" w:lineRule="auto"/>
              <w:rPr/>
            </w:pPr>
            <w:r>
              <w:rPr>
                <w:b/>
                <w:bCs/>
                <w:spacing w:val="9"/>
              </w:rPr>
              <w:t>2020年半年报、</w:t>
            </w:r>
            <w:r>
              <w:rPr>
                <w:b/>
                <w:bCs/>
                <w:spacing w:val="-30"/>
              </w:rPr>
              <w:t xml:space="preserve"> </w:t>
            </w:r>
            <w:r>
              <w:rPr>
                <w:b/>
                <w:bCs/>
                <w:spacing w:val="9"/>
              </w:rPr>
              <w:t>2020年年报、</w:t>
            </w:r>
            <w:r>
              <w:rPr>
                <w:b/>
                <w:bCs/>
                <w:spacing w:val="-31"/>
              </w:rPr>
              <w:t xml:space="preserve"> </w:t>
            </w:r>
            <w:r>
              <w:rPr>
                <w:b/>
                <w:bCs/>
                <w:spacing w:val="9"/>
              </w:rPr>
              <w:t>2021</w:t>
            </w:r>
            <w:r>
              <w:rPr>
                <w:b/>
                <w:bCs/>
                <w:spacing w:val="8"/>
              </w:rPr>
              <w:t>年年报</w:t>
            </w:r>
            <w:r>
              <w:rPr>
                <w:spacing w:val="8"/>
              </w:rPr>
              <w:t>存在虚假记载；</w:t>
            </w:r>
            <w:r>
              <w:rPr>
                <w:spacing w:val="-38"/>
              </w:rPr>
              <w:t xml:space="preserve"> </w:t>
            </w:r>
            <w:r>
              <w:rPr>
                <w:spacing w:val="8"/>
              </w:rPr>
              <w:t>未按规定</w:t>
            </w:r>
            <w:r>
              <w:rPr/>
              <w:t xml:space="preserve"> </w:t>
            </w:r>
            <w:r>
              <w:rPr>
                <w:spacing w:val="7"/>
              </w:rPr>
              <w:t>披露关联交易</w:t>
            </w:r>
            <w:r>
              <w:rPr>
                <w:spacing w:val="-26"/>
              </w:rPr>
              <w:t xml:space="preserve"> </w:t>
            </w:r>
            <w:r>
              <w:rPr>
                <w:spacing w:val="7"/>
              </w:rPr>
              <w:t>，</w:t>
            </w:r>
            <w:r>
              <w:rPr>
                <w:b/>
                <w:bCs/>
                <w:spacing w:val="7"/>
              </w:rPr>
              <w:t>2021年年报</w:t>
            </w:r>
            <w:r>
              <w:rPr>
                <w:spacing w:val="7"/>
              </w:rPr>
              <w:t>存在重大遗</w:t>
            </w:r>
            <w:r>
              <w:rPr>
                <w:spacing w:val="6"/>
              </w:rPr>
              <w:t>漏。</w:t>
            </w:r>
          </w:p>
        </w:tc>
      </w:tr>
      <w:tr>
        <w:trPr>
          <w:trHeight w:val="725" w:hRule="atLeast"/>
        </w:trPr>
        <w:tc>
          <w:tcPr>
            <w:tcW w:w="8900" w:type="dxa"/>
            <w:vAlign w:val="top"/>
            <w:gridSpan w:val="3"/>
          </w:tcPr>
          <w:p>
            <w:pPr>
              <w:pStyle w:val="TableText"/>
              <w:ind w:left="106" w:right="102" w:firstLine="16"/>
              <w:spacing w:before="38" w:line="236" w:lineRule="auto"/>
              <w:rPr/>
            </w:pPr>
            <w:r>
              <w:rPr>
                <w:b/>
                <w:bCs/>
                <w:spacing w:val="8"/>
              </w:rPr>
              <w:t>【行政处罚决定】</w:t>
            </w:r>
            <w:r>
              <w:rPr>
                <w:spacing w:val="8"/>
              </w:rPr>
              <w:t>中国证券监督管理委员会广东监管局决定</w:t>
            </w:r>
            <w:r>
              <w:rPr>
                <w:spacing w:val="-6"/>
              </w:rPr>
              <w:t xml:space="preserve"> </w:t>
            </w:r>
            <w:r>
              <w:rPr>
                <w:spacing w:val="8"/>
              </w:rPr>
              <w:t>：对张某华给予警告</w:t>
            </w:r>
            <w:r>
              <w:rPr>
                <w:spacing w:val="-26"/>
              </w:rPr>
              <w:t xml:space="preserve"> </w:t>
            </w:r>
            <w:r>
              <w:rPr>
                <w:spacing w:val="8"/>
              </w:rPr>
              <w:t>，并处以80万</w:t>
            </w:r>
            <w:r>
              <w:rPr/>
              <w:t xml:space="preserve"> </w:t>
            </w:r>
            <w:r>
              <w:rPr>
                <w:spacing w:val="6"/>
              </w:rPr>
              <w:t>元的罚款。</w:t>
            </w:r>
          </w:p>
        </w:tc>
      </w:tr>
      <w:tr>
        <w:trPr>
          <w:trHeight w:val="364" w:hRule="atLeast"/>
        </w:trPr>
        <w:tc>
          <w:tcPr>
            <w:shd w:val="clear" w:fill="B8CCE4"/>
            <w:tcW w:w="1117" w:type="dxa"/>
            <w:vAlign w:val="top"/>
          </w:tcPr>
          <w:p>
            <w:pPr>
              <w:pStyle w:val="TableText"/>
              <w:ind w:left="192"/>
              <w:spacing w:before="95" w:line="179" w:lineRule="auto"/>
              <w:rPr/>
            </w:pPr>
            <w:r>
              <w:rPr>
                <w:spacing w:val="3"/>
              </w:rPr>
              <w:t>601258</w:t>
            </w:r>
          </w:p>
        </w:tc>
        <w:tc>
          <w:tcPr>
            <w:shd w:val="clear" w:fill="B8CCE4"/>
            <w:tcW w:w="1093" w:type="dxa"/>
            <w:vAlign w:val="top"/>
          </w:tcPr>
          <w:p>
            <w:pPr>
              <w:pStyle w:val="TableText"/>
              <w:ind w:left="163"/>
              <w:spacing w:before="82" w:line="189" w:lineRule="auto"/>
              <w:rPr/>
            </w:pPr>
            <w:r>
              <w:rPr>
                <w:spacing w:val="8"/>
              </w:rPr>
              <w:t>*</w:t>
            </w:r>
            <w:r>
              <w:rPr/>
              <w:t>ST</w:t>
            </w:r>
            <w:r>
              <w:rPr>
                <w:spacing w:val="8"/>
              </w:rPr>
              <w:t>庞大</w:t>
            </w:r>
          </w:p>
        </w:tc>
        <w:tc>
          <w:tcPr>
            <w:shd w:val="clear" w:fill="B8CCE4"/>
            <w:tcW w:w="6690" w:type="dxa"/>
            <w:vAlign w:val="top"/>
          </w:tcPr>
          <w:p>
            <w:pPr>
              <w:pStyle w:val="TableText"/>
              <w:ind w:left="108"/>
              <w:spacing w:before="80" w:line="190" w:lineRule="auto"/>
              <w:rPr/>
            </w:pPr>
            <w:r>
              <w:rPr>
                <w:spacing w:val="7"/>
              </w:rPr>
              <w:t>2019年至2022年年度报告存在</w:t>
            </w:r>
            <w:r>
              <w:rPr>
                <w:b/>
                <w:bCs/>
                <w:spacing w:val="7"/>
              </w:rPr>
              <w:t>虚假记载</w:t>
            </w:r>
            <w:r>
              <w:rPr>
                <w:spacing w:val="7"/>
              </w:rPr>
              <w:t>。</w:t>
            </w:r>
          </w:p>
        </w:tc>
      </w:tr>
      <w:tr>
        <w:trPr>
          <w:trHeight w:val="364" w:hRule="atLeast"/>
        </w:trPr>
        <w:tc>
          <w:tcPr>
            <w:tcW w:w="8900" w:type="dxa"/>
            <w:vAlign w:val="top"/>
            <w:gridSpan w:val="3"/>
          </w:tcPr>
          <w:p>
            <w:pPr>
              <w:pStyle w:val="TableText"/>
              <w:ind w:left="123"/>
              <w:spacing w:before="40" w:line="219" w:lineRule="auto"/>
              <w:rPr/>
            </w:pPr>
            <w:r>
              <w:rPr>
                <w:b/>
                <w:bCs/>
                <w:spacing w:val="7"/>
              </w:rPr>
              <w:t>【行政处罚决定】</w:t>
            </w:r>
            <w:r>
              <w:rPr>
                <w:spacing w:val="7"/>
              </w:rPr>
              <w:t>河北证监局决定</w:t>
            </w:r>
            <w:r>
              <w:rPr>
                <w:spacing w:val="-19"/>
              </w:rPr>
              <w:t xml:space="preserve"> </w:t>
            </w:r>
            <w:r>
              <w:rPr>
                <w:spacing w:val="7"/>
              </w:rPr>
              <w:t>：对时任独董林某给予警告</w:t>
            </w:r>
            <w:r>
              <w:rPr>
                <w:spacing w:val="-28"/>
              </w:rPr>
              <w:t xml:space="preserve"> </w:t>
            </w:r>
            <w:r>
              <w:rPr>
                <w:spacing w:val="7"/>
              </w:rPr>
              <w:t>，并处以50万元罚款。</w:t>
            </w:r>
          </w:p>
        </w:tc>
      </w:tr>
      <w:tr>
        <w:trPr>
          <w:trHeight w:val="365" w:hRule="atLeast"/>
        </w:trPr>
        <w:tc>
          <w:tcPr>
            <w:shd w:val="clear" w:fill="B8CCE4"/>
            <w:tcW w:w="1117" w:type="dxa"/>
            <w:vAlign w:val="top"/>
          </w:tcPr>
          <w:p>
            <w:pPr>
              <w:pStyle w:val="TableText"/>
              <w:ind w:left="192"/>
              <w:spacing w:before="98" w:line="179" w:lineRule="auto"/>
              <w:rPr/>
            </w:pPr>
            <w:r>
              <w:rPr>
                <w:spacing w:val="3"/>
              </w:rPr>
              <w:t>601258</w:t>
            </w:r>
          </w:p>
        </w:tc>
        <w:tc>
          <w:tcPr>
            <w:shd w:val="clear" w:fill="B8CCE4"/>
            <w:tcW w:w="1093" w:type="dxa"/>
            <w:vAlign w:val="top"/>
          </w:tcPr>
          <w:p>
            <w:pPr>
              <w:pStyle w:val="TableText"/>
              <w:ind w:left="163"/>
              <w:spacing w:before="84" w:line="189" w:lineRule="auto"/>
              <w:rPr/>
            </w:pPr>
            <w:r>
              <w:rPr>
                <w:spacing w:val="8"/>
              </w:rPr>
              <w:t>*</w:t>
            </w:r>
            <w:r>
              <w:rPr/>
              <w:t>ST</w:t>
            </w:r>
            <w:r>
              <w:rPr>
                <w:spacing w:val="8"/>
              </w:rPr>
              <w:t>庞大</w:t>
            </w:r>
          </w:p>
        </w:tc>
        <w:tc>
          <w:tcPr>
            <w:shd w:val="clear" w:fill="B8CCE4"/>
            <w:tcW w:w="6690" w:type="dxa"/>
            <w:vAlign w:val="top"/>
          </w:tcPr>
          <w:p>
            <w:pPr>
              <w:pStyle w:val="TableText"/>
              <w:ind w:left="108"/>
              <w:spacing w:before="83" w:line="190" w:lineRule="auto"/>
              <w:rPr/>
            </w:pPr>
            <w:r>
              <w:rPr>
                <w:spacing w:val="7"/>
              </w:rPr>
              <w:t>2019年至2022年年度报告存在</w:t>
            </w:r>
            <w:r>
              <w:rPr>
                <w:b/>
                <w:bCs/>
                <w:spacing w:val="7"/>
              </w:rPr>
              <w:t>虚假记载</w:t>
            </w:r>
            <w:r>
              <w:rPr>
                <w:spacing w:val="7"/>
              </w:rPr>
              <w:t>。</w:t>
            </w:r>
          </w:p>
        </w:tc>
      </w:tr>
      <w:tr>
        <w:trPr>
          <w:trHeight w:val="364" w:hRule="atLeast"/>
        </w:trPr>
        <w:tc>
          <w:tcPr>
            <w:tcW w:w="8900" w:type="dxa"/>
            <w:vAlign w:val="top"/>
            <w:gridSpan w:val="3"/>
          </w:tcPr>
          <w:p>
            <w:pPr>
              <w:pStyle w:val="TableText"/>
              <w:ind w:left="123"/>
              <w:spacing w:before="42" w:line="218" w:lineRule="auto"/>
              <w:rPr/>
            </w:pPr>
            <w:r>
              <w:rPr>
                <w:b/>
                <w:bCs/>
                <w:spacing w:val="7"/>
              </w:rPr>
              <w:t>【行政处罚决定】</w:t>
            </w:r>
            <w:r>
              <w:rPr>
                <w:spacing w:val="7"/>
              </w:rPr>
              <w:t>河北证监局决定</w:t>
            </w:r>
            <w:r>
              <w:rPr>
                <w:spacing w:val="-19"/>
              </w:rPr>
              <w:t xml:space="preserve"> </w:t>
            </w:r>
            <w:r>
              <w:rPr>
                <w:spacing w:val="7"/>
              </w:rPr>
              <w:t>：对时任独董李某给予警告</w:t>
            </w:r>
            <w:r>
              <w:rPr>
                <w:spacing w:val="-28"/>
              </w:rPr>
              <w:t xml:space="preserve"> </w:t>
            </w:r>
            <w:r>
              <w:rPr>
                <w:spacing w:val="7"/>
              </w:rPr>
              <w:t>，并处以50万元罚款。</w:t>
            </w:r>
          </w:p>
        </w:tc>
      </w:tr>
      <w:tr>
        <w:trPr>
          <w:trHeight w:val="364" w:hRule="atLeast"/>
        </w:trPr>
        <w:tc>
          <w:tcPr>
            <w:shd w:val="clear" w:fill="B8CCE4"/>
            <w:tcW w:w="1117" w:type="dxa"/>
            <w:vAlign w:val="top"/>
          </w:tcPr>
          <w:p>
            <w:pPr>
              <w:pStyle w:val="TableText"/>
              <w:ind w:left="192"/>
              <w:spacing w:before="99" w:line="178" w:lineRule="auto"/>
              <w:rPr/>
            </w:pPr>
            <w:r>
              <w:rPr>
                <w:spacing w:val="3"/>
              </w:rPr>
              <w:t>601258</w:t>
            </w:r>
          </w:p>
        </w:tc>
        <w:tc>
          <w:tcPr>
            <w:shd w:val="clear" w:fill="B8CCE4"/>
            <w:tcW w:w="1093" w:type="dxa"/>
            <w:vAlign w:val="top"/>
          </w:tcPr>
          <w:p>
            <w:pPr>
              <w:pStyle w:val="TableText"/>
              <w:ind w:left="163"/>
              <w:spacing w:before="86" w:line="187" w:lineRule="auto"/>
              <w:rPr/>
            </w:pPr>
            <w:r>
              <w:rPr>
                <w:spacing w:val="8"/>
              </w:rPr>
              <w:t>*</w:t>
            </w:r>
            <w:r>
              <w:rPr/>
              <w:t>ST</w:t>
            </w:r>
            <w:r>
              <w:rPr>
                <w:spacing w:val="8"/>
              </w:rPr>
              <w:t>庞大</w:t>
            </w:r>
          </w:p>
        </w:tc>
        <w:tc>
          <w:tcPr>
            <w:shd w:val="clear" w:fill="B8CCE4"/>
            <w:tcW w:w="6690" w:type="dxa"/>
            <w:vAlign w:val="top"/>
          </w:tcPr>
          <w:p>
            <w:pPr>
              <w:pStyle w:val="TableText"/>
              <w:ind w:left="108"/>
              <w:spacing w:before="85" w:line="188" w:lineRule="auto"/>
              <w:rPr/>
            </w:pPr>
            <w:r>
              <w:rPr>
                <w:spacing w:val="7"/>
              </w:rPr>
              <w:t>2019年至2022年年度报告存在</w:t>
            </w:r>
            <w:r>
              <w:rPr>
                <w:b/>
                <w:bCs/>
                <w:spacing w:val="7"/>
              </w:rPr>
              <w:t>虚假记载</w:t>
            </w:r>
            <w:r>
              <w:rPr>
                <w:spacing w:val="7"/>
              </w:rPr>
              <w:t>。</w:t>
            </w:r>
          </w:p>
        </w:tc>
      </w:tr>
      <w:tr>
        <w:trPr>
          <w:trHeight w:val="364" w:hRule="atLeast"/>
        </w:trPr>
        <w:tc>
          <w:tcPr>
            <w:tcW w:w="8900" w:type="dxa"/>
            <w:vAlign w:val="top"/>
            <w:gridSpan w:val="3"/>
          </w:tcPr>
          <w:p>
            <w:pPr>
              <w:pStyle w:val="TableText"/>
              <w:ind w:left="123"/>
              <w:spacing w:before="43" w:line="217" w:lineRule="auto"/>
              <w:rPr/>
            </w:pPr>
            <w:r>
              <w:rPr>
                <w:b/>
                <w:bCs/>
                <w:spacing w:val="7"/>
              </w:rPr>
              <w:t>【行政处罚决定】</w:t>
            </w:r>
            <w:r>
              <w:rPr>
                <w:spacing w:val="7"/>
              </w:rPr>
              <w:t>河北证监局决定</w:t>
            </w:r>
            <w:r>
              <w:rPr>
                <w:spacing w:val="-13"/>
              </w:rPr>
              <w:t xml:space="preserve"> </w:t>
            </w:r>
            <w:r>
              <w:rPr>
                <w:spacing w:val="7"/>
              </w:rPr>
              <w:t>：对时任财务总监沈某东给予警告</w:t>
            </w:r>
            <w:r>
              <w:rPr>
                <w:spacing w:val="-26"/>
              </w:rPr>
              <w:t xml:space="preserve"> </w:t>
            </w:r>
            <w:r>
              <w:rPr>
                <w:spacing w:val="7"/>
              </w:rPr>
              <w:t>，并处以60万元罚款。</w:t>
            </w:r>
          </w:p>
        </w:tc>
      </w:tr>
      <w:tr>
        <w:trPr>
          <w:trHeight w:val="725" w:hRule="atLeast"/>
        </w:trPr>
        <w:tc>
          <w:tcPr>
            <w:shd w:val="clear" w:fill="B8CCE4"/>
            <w:tcW w:w="1117" w:type="dxa"/>
            <w:vAlign w:val="top"/>
          </w:tcPr>
          <w:p>
            <w:pPr>
              <w:pStyle w:val="TableText"/>
              <w:ind w:left="192"/>
              <w:spacing w:before="282" w:line="179" w:lineRule="auto"/>
              <w:rPr/>
            </w:pPr>
            <w:r>
              <w:rPr>
                <w:spacing w:val="3"/>
              </w:rPr>
              <w:t>601258</w:t>
            </w:r>
          </w:p>
        </w:tc>
        <w:tc>
          <w:tcPr>
            <w:shd w:val="clear" w:fill="B8CCE4"/>
            <w:tcW w:w="1093" w:type="dxa"/>
            <w:vAlign w:val="top"/>
          </w:tcPr>
          <w:p>
            <w:pPr>
              <w:pStyle w:val="TableText"/>
              <w:ind w:left="163"/>
              <w:spacing w:before="269" w:line="189" w:lineRule="auto"/>
              <w:rPr/>
            </w:pPr>
            <w:r>
              <w:rPr>
                <w:spacing w:val="8"/>
              </w:rPr>
              <w:t>*</w:t>
            </w:r>
            <w:r>
              <w:rPr/>
              <w:t>ST</w:t>
            </w:r>
            <w:r>
              <w:rPr>
                <w:spacing w:val="8"/>
              </w:rPr>
              <w:t>庞大</w:t>
            </w:r>
          </w:p>
        </w:tc>
        <w:tc>
          <w:tcPr>
            <w:shd w:val="clear" w:fill="B8CCE4"/>
            <w:tcW w:w="6690" w:type="dxa"/>
            <w:vAlign w:val="top"/>
          </w:tcPr>
          <w:p>
            <w:pPr>
              <w:pStyle w:val="TableText"/>
              <w:ind w:left="127" w:right="105" w:hanging="28"/>
              <w:spacing w:before="88" w:line="219" w:lineRule="auto"/>
              <w:rPr/>
            </w:pPr>
            <w:r>
              <w:rPr>
                <w:spacing w:val="11"/>
              </w:rPr>
              <w:t>未按规定披露</w:t>
            </w:r>
            <w:r>
              <w:rPr>
                <w:b/>
                <w:bCs/>
                <w:spacing w:val="11"/>
              </w:rPr>
              <w:t>重大诉讼、</w:t>
            </w:r>
            <w:r>
              <w:rPr>
                <w:b/>
                <w:bCs/>
                <w:spacing w:val="-38"/>
              </w:rPr>
              <w:t xml:space="preserve"> </w:t>
            </w:r>
            <w:r>
              <w:rPr>
                <w:b/>
                <w:bCs/>
                <w:spacing w:val="11"/>
              </w:rPr>
              <w:t>仲裁</w:t>
            </w:r>
            <w:r>
              <w:rPr>
                <w:spacing w:val="11"/>
              </w:rPr>
              <w:t>事项；</w:t>
            </w:r>
            <w:r>
              <w:rPr>
                <w:spacing w:val="-29"/>
              </w:rPr>
              <w:t xml:space="preserve"> </w:t>
            </w:r>
            <w:r>
              <w:rPr>
                <w:spacing w:val="11"/>
              </w:rPr>
              <w:t>2022年半年度报告存在</w:t>
            </w:r>
            <w:r>
              <w:rPr>
                <w:b/>
                <w:bCs/>
                <w:spacing w:val="10"/>
              </w:rPr>
              <w:t>重大遗漏</w:t>
            </w:r>
            <w:r>
              <w:rPr>
                <w:b/>
                <w:bCs/>
              </w:rPr>
              <w:t xml:space="preserve"> </w:t>
            </w:r>
            <w:r>
              <w:rPr>
                <w:spacing w:val="6"/>
              </w:rPr>
              <w:t>;</w:t>
            </w:r>
            <w:r>
              <w:rPr>
                <w:spacing w:val="23"/>
              </w:rPr>
              <w:t xml:space="preserve">  </w:t>
            </w:r>
            <w:r>
              <w:rPr>
                <w:spacing w:val="6"/>
              </w:rPr>
              <w:t>2019年至2022年年度报告存在</w:t>
            </w:r>
            <w:r>
              <w:rPr>
                <w:b/>
                <w:bCs/>
                <w:spacing w:val="6"/>
              </w:rPr>
              <w:t>虚假记载</w:t>
            </w:r>
            <w:r>
              <w:rPr>
                <w:spacing w:val="6"/>
              </w:rPr>
              <w:t>。</w:t>
            </w:r>
          </w:p>
        </w:tc>
      </w:tr>
      <w:tr>
        <w:trPr>
          <w:trHeight w:val="724" w:hRule="atLeast"/>
        </w:trPr>
        <w:tc>
          <w:tcPr>
            <w:tcW w:w="8900" w:type="dxa"/>
            <w:vAlign w:val="top"/>
            <w:gridSpan w:val="3"/>
          </w:tcPr>
          <w:p>
            <w:pPr>
              <w:pStyle w:val="TableText"/>
              <w:ind w:left="124" w:right="105" w:hanging="1"/>
              <w:spacing w:before="44" w:line="234" w:lineRule="auto"/>
              <w:rPr/>
            </w:pPr>
            <w:r>
              <w:rPr>
                <w:b/>
                <w:bCs/>
                <w:spacing w:val="11"/>
              </w:rPr>
              <w:t>【行政处罚决定】</w:t>
            </w:r>
            <w:r>
              <w:rPr>
                <w:spacing w:val="11"/>
              </w:rPr>
              <w:t>河北证监局决定</w:t>
            </w:r>
            <w:r>
              <w:rPr>
                <w:spacing w:val="-1"/>
              </w:rPr>
              <w:t xml:space="preserve"> </w:t>
            </w:r>
            <w:r>
              <w:rPr>
                <w:spacing w:val="11"/>
              </w:rPr>
              <w:t>：对时任高管,时任董事,时任董秘刘某华给予警告</w:t>
            </w:r>
            <w:r>
              <w:rPr>
                <w:spacing w:val="-21"/>
              </w:rPr>
              <w:t xml:space="preserve"> </w:t>
            </w:r>
            <w:r>
              <w:rPr>
                <w:spacing w:val="11"/>
              </w:rPr>
              <w:t>，并处以</w:t>
            </w:r>
            <w:r>
              <w:rPr/>
              <w:t xml:space="preserve"> </w:t>
            </w:r>
            <w:r>
              <w:rPr>
                <w:spacing w:val="3"/>
              </w:rPr>
              <w:t>110万元罚款。</w:t>
            </w:r>
          </w:p>
        </w:tc>
      </w:tr>
      <w:tr>
        <w:trPr>
          <w:trHeight w:val="725" w:hRule="atLeast"/>
        </w:trPr>
        <w:tc>
          <w:tcPr>
            <w:shd w:val="clear" w:fill="B8CCE4"/>
            <w:tcW w:w="1117" w:type="dxa"/>
            <w:vAlign w:val="top"/>
          </w:tcPr>
          <w:p>
            <w:pPr>
              <w:pStyle w:val="TableText"/>
              <w:ind w:left="192"/>
              <w:spacing w:before="284" w:line="179" w:lineRule="auto"/>
              <w:rPr/>
            </w:pPr>
            <w:r>
              <w:rPr>
                <w:spacing w:val="3"/>
              </w:rPr>
              <w:t>601258</w:t>
            </w:r>
          </w:p>
        </w:tc>
        <w:tc>
          <w:tcPr>
            <w:shd w:val="clear" w:fill="B8CCE4"/>
            <w:tcW w:w="1093" w:type="dxa"/>
            <w:vAlign w:val="top"/>
          </w:tcPr>
          <w:p>
            <w:pPr>
              <w:pStyle w:val="TableText"/>
              <w:ind w:left="163"/>
              <w:spacing w:before="271" w:line="189" w:lineRule="auto"/>
              <w:rPr/>
            </w:pPr>
            <w:r>
              <w:rPr>
                <w:spacing w:val="8"/>
              </w:rPr>
              <w:t>*</w:t>
            </w:r>
            <w:r>
              <w:rPr/>
              <w:t>ST</w:t>
            </w:r>
            <w:r>
              <w:rPr>
                <w:spacing w:val="8"/>
              </w:rPr>
              <w:t>庞大</w:t>
            </w:r>
          </w:p>
        </w:tc>
        <w:tc>
          <w:tcPr>
            <w:shd w:val="clear" w:fill="B8CCE4"/>
            <w:tcW w:w="6690" w:type="dxa"/>
            <w:vAlign w:val="top"/>
          </w:tcPr>
          <w:p>
            <w:pPr>
              <w:pStyle w:val="TableText"/>
              <w:ind w:left="100" w:right="102" w:hanging="1"/>
              <w:spacing w:before="88" w:line="219" w:lineRule="auto"/>
              <w:rPr/>
            </w:pPr>
            <w:r>
              <w:rPr>
                <w:spacing w:val="9"/>
              </w:rPr>
              <w:t>未按规定披露</w:t>
            </w:r>
            <w:r>
              <w:rPr>
                <w:b/>
                <w:bCs/>
                <w:spacing w:val="9"/>
              </w:rPr>
              <w:t>重大诉讼、仲裁</w:t>
            </w:r>
            <w:r>
              <w:rPr>
                <w:spacing w:val="9"/>
              </w:rPr>
              <w:t>事项；</w:t>
            </w:r>
            <w:r>
              <w:rPr>
                <w:spacing w:val="-32"/>
              </w:rPr>
              <w:t xml:space="preserve"> </w:t>
            </w:r>
            <w:r>
              <w:rPr>
                <w:spacing w:val="9"/>
              </w:rPr>
              <w:t>2019年至2022年年度报告存在</w:t>
            </w:r>
            <w:r>
              <w:rPr>
                <w:b/>
                <w:bCs/>
                <w:spacing w:val="9"/>
              </w:rPr>
              <w:t>虚</w:t>
            </w:r>
            <w:r>
              <w:rPr>
                <w:b/>
                <w:bCs/>
              </w:rPr>
              <w:t xml:space="preserve"> </w:t>
            </w:r>
            <w:r>
              <w:rPr>
                <w:b/>
                <w:bCs/>
                <w:spacing w:val="6"/>
              </w:rPr>
              <w:t>假记载</w:t>
            </w:r>
            <w:r>
              <w:rPr>
                <w:spacing w:val="6"/>
              </w:rPr>
              <w:t>。</w:t>
            </w:r>
          </w:p>
        </w:tc>
      </w:tr>
      <w:tr>
        <w:trPr>
          <w:trHeight w:val="724" w:hRule="atLeast"/>
        </w:trPr>
        <w:tc>
          <w:tcPr>
            <w:tcW w:w="8900" w:type="dxa"/>
            <w:vAlign w:val="top"/>
            <w:gridSpan w:val="3"/>
          </w:tcPr>
          <w:p>
            <w:pPr>
              <w:pStyle w:val="TableText"/>
              <w:ind w:left="109" w:right="105" w:firstLine="13"/>
              <w:spacing w:before="47" w:line="233" w:lineRule="auto"/>
              <w:rPr/>
            </w:pPr>
            <w:r>
              <w:rPr>
                <w:b/>
                <w:bCs/>
                <w:spacing w:val="9"/>
              </w:rPr>
              <w:t>【行政处罚决定】</w:t>
            </w:r>
            <w:r>
              <w:rPr>
                <w:spacing w:val="9"/>
              </w:rPr>
              <w:t>河北证监局决定</w:t>
            </w:r>
            <w:r>
              <w:rPr>
                <w:spacing w:val="-15"/>
              </w:rPr>
              <w:t xml:space="preserve"> </w:t>
            </w:r>
            <w:r>
              <w:rPr>
                <w:spacing w:val="9"/>
              </w:rPr>
              <w:t>：对时任董事,时任总经理赵某流给予警</w:t>
            </w:r>
            <w:r>
              <w:rPr>
                <w:spacing w:val="8"/>
              </w:rPr>
              <w:t>告</w:t>
            </w:r>
            <w:r>
              <w:rPr>
                <w:spacing w:val="-26"/>
              </w:rPr>
              <w:t xml:space="preserve"> </w:t>
            </w:r>
            <w:r>
              <w:rPr>
                <w:spacing w:val="8"/>
              </w:rPr>
              <w:t>，并处以120万元</w:t>
            </w:r>
            <w:r>
              <w:rPr/>
              <w:t xml:space="preserve"> </w:t>
            </w:r>
            <w:r>
              <w:rPr>
                <w:spacing w:val="3"/>
              </w:rPr>
              <w:t>罚款。</w:t>
            </w:r>
          </w:p>
        </w:tc>
      </w:tr>
      <w:tr>
        <w:trPr>
          <w:trHeight w:val="365" w:hRule="atLeast"/>
        </w:trPr>
        <w:tc>
          <w:tcPr>
            <w:shd w:val="clear" w:fill="B8CCE4"/>
            <w:tcW w:w="1117" w:type="dxa"/>
            <w:vAlign w:val="top"/>
          </w:tcPr>
          <w:p>
            <w:pPr>
              <w:pStyle w:val="TableText"/>
              <w:ind w:left="192"/>
              <w:spacing w:before="106" w:line="174" w:lineRule="auto"/>
              <w:rPr/>
            </w:pPr>
            <w:r>
              <w:rPr>
                <w:spacing w:val="3"/>
              </w:rPr>
              <w:t>601258</w:t>
            </w:r>
          </w:p>
        </w:tc>
        <w:tc>
          <w:tcPr>
            <w:shd w:val="clear" w:fill="B8CCE4"/>
            <w:tcW w:w="1093" w:type="dxa"/>
            <w:vAlign w:val="top"/>
          </w:tcPr>
          <w:p>
            <w:pPr>
              <w:pStyle w:val="TableText"/>
              <w:ind w:left="163"/>
              <w:spacing w:before="93" w:line="183" w:lineRule="auto"/>
              <w:rPr/>
            </w:pPr>
            <w:r>
              <w:rPr>
                <w:spacing w:val="8"/>
              </w:rPr>
              <w:t>*</w:t>
            </w:r>
            <w:r>
              <w:rPr/>
              <w:t>ST</w:t>
            </w:r>
            <w:r>
              <w:rPr>
                <w:spacing w:val="8"/>
              </w:rPr>
              <w:t>庞大</w:t>
            </w:r>
          </w:p>
        </w:tc>
        <w:tc>
          <w:tcPr>
            <w:shd w:val="clear" w:fill="B8CCE4"/>
            <w:tcW w:w="6690" w:type="dxa"/>
            <w:vAlign w:val="top"/>
          </w:tcPr>
          <w:p>
            <w:pPr>
              <w:pStyle w:val="TableText"/>
              <w:ind w:left="108"/>
              <w:spacing w:before="91" w:line="184" w:lineRule="auto"/>
              <w:rPr/>
            </w:pPr>
            <w:r>
              <w:rPr>
                <w:spacing w:val="7"/>
              </w:rPr>
              <w:t>2019年至2022年年度报告存在</w:t>
            </w:r>
            <w:r>
              <w:rPr>
                <w:b/>
                <w:bCs/>
                <w:spacing w:val="7"/>
              </w:rPr>
              <w:t>虚假记载</w:t>
            </w:r>
            <w:r>
              <w:rPr>
                <w:spacing w:val="7"/>
              </w:rPr>
              <w:t>。</w:t>
            </w:r>
          </w:p>
        </w:tc>
      </w:tr>
      <w:tr>
        <w:trPr>
          <w:trHeight w:val="725" w:hRule="atLeast"/>
        </w:trPr>
        <w:tc>
          <w:tcPr>
            <w:tcW w:w="8900" w:type="dxa"/>
            <w:vAlign w:val="top"/>
            <w:gridSpan w:val="3"/>
          </w:tcPr>
          <w:p>
            <w:pPr>
              <w:pStyle w:val="TableText"/>
              <w:ind w:left="113" w:right="105" w:firstLine="9"/>
              <w:spacing w:before="51" w:line="232" w:lineRule="auto"/>
              <w:rPr/>
            </w:pPr>
            <w:r>
              <w:rPr>
                <w:b/>
                <w:bCs/>
                <w:spacing w:val="11"/>
              </w:rPr>
              <w:t>【行政处罚决定】</w:t>
            </w:r>
            <w:r>
              <w:rPr>
                <w:spacing w:val="11"/>
              </w:rPr>
              <w:t>河北证监局决定</w:t>
            </w:r>
            <w:r>
              <w:rPr>
                <w:spacing w:val="1"/>
              </w:rPr>
              <w:t xml:space="preserve"> </w:t>
            </w:r>
            <w:r>
              <w:rPr>
                <w:spacing w:val="11"/>
              </w:rPr>
              <w:t>：对时任高管,时任董事,时任财务总监武某给予警告</w:t>
            </w:r>
            <w:r>
              <w:rPr>
                <w:spacing w:val="-23"/>
              </w:rPr>
              <w:t xml:space="preserve"> </w:t>
            </w:r>
            <w:r>
              <w:rPr>
                <w:spacing w:val="11"/>
              </w:rPr>
              <w:t>，并处</w:t>
            </w:r>
            <w:r>
              <w:rPr/>
              <w:t xml:space="preserve"> </w:t>
            </w:r>
            <w:r>
              <w:rPr>
                <w:spacing w:val="6"/>
              </w:rPr>
              <w:t>以200万元罚款。</w:t>
            </w:r>
          </w:p>
        </w:tc>
      </w:tr>
      <w:tr>
        <w:trPr>
          <w:trHeight w:val="365" w:hRule="atLeast"/>
        </w:trPr>
        <w:tc>
          <w:tcPr>
            <w:shd w:val="clear" w:fill="B8CCE4"/>
            <w:tcW w:w="1117" w:type="dxa"/>
            <w:vAlign w:val="top"/>
          </w:tcPr>
          <w:p>
            <w:pPr>
              <w:pStyle w:val="TableText"/>
              <w:ind w:left="192"/>
              <w:spacing w:before="107" w:line="173" w:lineRule="auto"/>
              <w:rPr/>
            </w:pPr>
            <w:r>
              <w:rPr>
                <w:spacing w:val="3"/>
              </w:rPr>
              <w:t>601258</w:t>
            </w:r>
          </w:p>
        </w:tc>
        <w:tc>
          <w:tcPr>
            <w:shd w:val="clear" w:fill="B8CCE4"/>
            <w:tcW w:w="1093" w:type="dxa"/>
            <w:vAlign w:val="top"/>
          </w:tcPr>
          <w:p>
            <w:pPr>
              <w:pStyle w:val="TableText"/>
              <w:ind w:left="163"/>
              <w:spacing w:before="94" w:line="182" w:lineRule="auto"/>
              <w:rPr/>
            </w:pPr>
            <w:r>
              <w:rPr>
                <w:spacing w:val="8"/>
              </w:rPr>
              <w:t>*</w:t>
            </w:r>
            <w:r>
              <w:rPr/>
              <w:t>ST</w:t>
            </w:r>
            <w:r>
              <w:rPr>
                <w:spacing w:val="8"/>
              </w:rPr>
              <w:t>庞大</w:t>
            </w:r>
          </w:p>
        </w:tc>
        <w:tc>
          <w:tcPr>
            <w:shd w:val="clear" w:fill="B8CCE4"/>
            <w:tcW w:w="6690" w:type="dxa"/>
            <w:vAlign w:val="top"/>
          </w:tcPr>
          <w:p>
            <w:pPr>
              <w:pStyle w:val="TableText"/>
              <w:ind w:left="108"/>
              <w:spacing w:before="91" w:line="184" w:lineRule="auto"/>
              <w:rPr/>
            </w:pPr>
            <w:r>
              <w:rPr>
                <w:spacing w:val="7"/>
              </w:rPr>
              <w:t>2019年至2022年年度报告存在</w:t>
            </w:r>
            <w:r>
              <w:rPr>
                <w:b/>
                <w:bCs/>
                <w:spacing w:val="7"/>
              </w:rPr>
              <w:t>虚假记载</w:t>
            </w:r>
            <w:r>
              <w:rPr>
                <w:spacing w:val="7"/>
              </w:rPr>
              <w:t>。</w:t>
            </w:r>
          </w:p>
        </w:tc>
      </w:tr>
      <w:tr>
        <w:trPr>
          <w:trHeight w:val="724" w:hRule="atLeast"/>
        </w:trPr>
        <w:tc>
          <w:tcPr>
            <w:tcW w:w="8900" w:type="dxa"/>
            <w:vAlign w:val="top"/>
            <w:gridSpan w:val="3"/>
          </w:tcPr>
          <w:p>
            <w:pPr>
              <w:pStyle w:val="TableText"/>
              <w:ind w:left="106" w:right="105" w:firstLine="17"/>
              <w:spacing w:before="50" w:line="232" w:lineRule="auto"/>
              <w:rPr/>
            </w:pPr>
            <w:r>
              <w:rPr>
                <w:b/>
                <w:bCs/>
                <w:spacing w:val="9"/>
              </w:rPr>
              <w:t>【行政处罚决定】</w:t>
            </w:r>
            <w:r>
              <w:rPr>
                <w:spacing w:val="9"/>
              </w:rPr>
              <w:t>河北证监局决定</w:t>
            </w:r>
            <w:r>
              <w:rPr>
                <w:spacing w:val="-15"/>
              </w:rPr>
              <w:t xml:space="preserve"> </w:t>
            </w:r>
            <w:r>
              <w:rPr>
                <w:spacing w:val="9"/>
              </w:rPr>
              <w:t>：对时任董事长,时任董事马某给予警告</w:t>
            </w:r>
            <w:r>
              <w:rPr>
                <w:spacing w:val="-26"/>
              </w:rPr>
              <w:t xml:space="preserve"> </w:t>
            </w:r>
            <w:r>
              <w:rPr>
                <w:spacing w:val="8"/>
              </w:rPr>
              <w:t>，并处以400万元罚</w:t>
            </w:r>
            <w:r>
              <w:rPr/>
              <w:t xml:space="preserve"> </w:t>
            </w:r>
            <w:r>
              <w:rPr>
                <w:spacing w:val="3"/>
              </w:rPr>
              <w:t>款。</w:t>
            </w:r>
          </w:p>
        </w:tc>
      </w:tr>
      <w:tr>
        <w:trPr>
          <w:trHeight w:val="725" w:hRule="atLeast"/>
        </w:trPr>
        <w:tc>
          <w:tcPr>
            <w:shd w:val="clear" w:fill="B8CCE4"/>
            <w:tcW w:w="1117" w:type="dxa"/>
            <w:vAlign w:val="top"/>
          </w:tcPr>
          <w:p>
            <w:pPr>
              <w:pStyle w:val="TableText"/>
              <w:ind w:left="192"/>
              <w:spacing w:before="288" w:line="179" w:lineRule="auto"/>
              <w:rPr/>
            </w:pPr>
            <w:r>
              <w:rPr>
                <w:spacing w:val="3"/>
              </w:rPr>
              <w:t>601258</w:t>
            </w:r>
          </w:p>
        </w:tc>
        <w:tc>
          <w:tcPr>
            <w:shd w:val="clear" w:fill="B8CCE4"/>
            <w:tcW w:w="1093" w:type="dxa"/>
            <w:vAlign w:val="top"/>
          </w:tcPr>
          <w:p>
            <w:pPr>
              <w:pStyle w:val="TableText"/>
              <w:ind w:left="163"/>
              <w:spacing w:before="275" w:line="189" w:lineRule="auto"/>
              <w:rPr/>
            </w:pPr>
            <w:r>
              <w:rPr>
                <w:spacing w:val="8"/>
              </w:rPr>
              <w:t>*</w:t>
            </w:r>
            <w:r>
              <w:rPr/>
              <w:t>ST</w:t>
            </w:r>
            <w:r>
              <w:rPr>
                <w:spacing w:val="8"/>
              </w:rPr>
              <w:t>庞大</w:t>
            </w:r>
          </w:p>
        </w:tc>
        <w:tc>
          <w:tcPr>
            <w:shd w:val="clear" w:fill="B8CCE4"/>
            <w:tcW w:w="6690" w:type="dxa"/>
            <w:vAlign w:val="top"/>
          </w:tcPr>
          <w:p>
            <w:pPr>
              <w:pStyle w:val="TableText"/>
              <w:ind w:left="127" w:right="105" w:hanging="28"/>
              <w:spacing w:before="94" w:line="217" w:lineRule="auto"/>
              <w:rPr/>
            </w:pPr>
            <w:r>
              <w:rPr>
                <w:spacing w:val="11"/>
              </w:rPr>
              <w:t>未按规定披露</w:t>
            </w:r>
            <w:r>
              <w:rPr>
                <w:b/>
                <w:bCs/>
                <w:spacing w:val="11"/>
              </w:rPr>
              <w:t>重大诉讼、</w:t>
            </w:r>
            <w:r>
              <w:rPr>
                <w:b/>
                <w:bCs/>
                <w:spacing w:val="-38"/>
              </w:rPr>
              <w:t xml:space="preserve"> </w:t>
            </w:r>
            <w:r>
              <w:rPr>
                <w:b/>
                <w:bCs/>
                <w:spacing w:val="11"/>
              </w:rPr>
              <w:t>仲裁</w:t>
            </w:r>
            <w:r>
              <w:rPr>
                <w:spacing w:val="11"/>
              </w:rPr>
              <w:t>事项；</w:t>
            </w:r>
            <w:r>
              <w:rPr>
                <w:spacing w:val="-29"/>
              </w:rPr>
              <w:t xml:space="preserve"> </w:t>
            </w:r>
            <w:r>
              <w:rPr>
                <w:spacing w:val="11"/>
              </w:rPr>
              <w:t>2022年半年度报告存在</w:t>
            </w:r>
            <w:r>
              <w:rPr>
                <w:b/>
                <w:bCs/>
                <w:spacing w:val="10"/>
              </w:rPr>
              <w:t>重大遗漏</w:t>
            </w:r>
            <w:r>
              <w:rPr>
                <w:b/>
                <w:bCs/>
              </w:rPr>
              <w:t xml:space="preserve"> </w:t>
            </w:r>
            <w:r>
              <w:rPr>
                <w:spacing w:val="6"/>
              </w:rPr>
              <w:t>;</w:t>
            </w:r>
            <w:r>
              <w:rPr>
                <w:spacing w:val="23"/>
              </w:rPr>
              <w:t xml:space="preserve">  </w:t>
            </w:r>
            <w:r>
              <w:rPr>
                <w:spacing w:val="6"/>
              </w:rPr>
              <w:t>2019年至2022年年度报告存在</w:t>
            </w:r>
            <w:r>
              <w:rPr>
                <w:b/>
                <w:bCs/>
                <w:spacing w:val="6"/>
              </w:rPr>
              <w:t>虚假记载</w:t>
            </w:r>
            <w:r>
              <w:rPr>
                <w:spacing w:val="6"/>
              </w:rPr>
              <w:t>。</w:t>
            </w:r>
          </w:p>
        </w:tc>
      </w:tr>
      <w:tr>
        <w:trPr>
          <w:trHeight w:val="374" w:hRule="atLeast"/>
        </w:trPr>
        <w:tc>
          <w:tcPr>
            <w:tcW w:w="8900" w:type="dxa"/>
            <w:vAlign w:val="top"/>
            <w:gridSpan w:val="3"/>
          </w:tcPr>
          <w:p>
            <w:pPr>
              <w:pStyle w:val="TableText"/>
              <w:ind w:left="123"/>
              <w:spacing w:before="50" w:line="219" w:lineRule="auto"/>
              <w:rPr/>
            </w:pPr>
            <w:r>
              <w:rPr>
                <w:b/>
                <w:bCs/>
                <w:spacing w:val="7"/>
              </w:rPr>
              <w:t>【行政处罚决定】</w:t>
            </w:r>
            <w:r>
              <w:rPr>
                <w:spacing w:val="7"/>
              </w:rPr>
              <w:t>河北证监局决定</w:t>
            </w:r>
            <w:r>
              <w:rPr>
                <w:spacing w:val="-15"/>
              </w:rPr>
              <w:t xml:space="preserve"> </w:t>
            </w:r>
            <w:r>
              <w:rPr>
                <w:spacing w:val="7"/>
              </w:rPr>
              <w:t>：对时任董事长黄某宏给予警告</w:t>
            </w:r>
            <w:r>
              <w:rPr>
                <w:spacing w:val="-28"/>
              </w:rPr>
              <w:t xml:space="preserve"> </w:t>
            </w:r>
            <w:r>
              <w:rPr>
                <w:spacing w:val="7"/>
              </w:rPr>
              <w:t>，并处以540万元罚款。</w:t>
            </w:r>
          </w:p>
        </w:tc>
      </w:tr>
    </w:tbl>
    <w:p>
      <w:pPr>
        <w:spacing w:before="127" w:line="211"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2"/>
          <w:w w:val="96"/>
        </w:rPr>
        <w:t>（</w:t>
      </w:r>
      <w:r>
        <w:rPr>
          <w:rFonts w:ascii="Microsoft YaHei" w:hAnsi="Microsoft YaHei" w:eastAsia="Microsoft YaHei" w:cs="Microsoft YaHei"/>
          <w:sz w:val="24"/>
          <w:szCs w:val="24"/>
          <w:b/>
          <w:bCs/>
          <w:color w:val="333333"/>
          <w:spacing w:val="19"/>
        </w:rPr>
        <w:t xml:space="preserve"> </w:t>
      </w:r>
      <w:r>
        <w:rPr>
          <w:rFonts w:ascii="Microsoft YaHei" w:hAnsi="Microsoft YaHei" w:eastAsia="Microsoft YaHei" w:cs="Microsoft YaHei"/>
          <w:sz w:val="24"/>
          <w:szCs w:val="24"/>
          <w:b/>
          <w:bCs/>
          <w:color w:val="333333"/>
          <w:spacing w:val="-12"/>
          <w:w w:val="96"/>
        </w:rPr>
        <w:t>2</w:t>
      </w:r>
      <w:r>
        <w:rPr>
          <w:rFonts w:ascii="Microsoft YaHei" w:hAnsi="Microsoft YaHei" w:eastAsia="Microsoft YaHei" w:cs="Microsoft YaHei"/>
          <w:sz w:val="24"/>
          <w:szCs w:val="24"/>
          <w:b/>
          <w:bCs/>
          <w:color w:val="333333"/>
          <w:spacing w:val="27"/>
        </w:rPr>
        <w:t xml:space="preserve"> </w:t>
      </w:r>
      <w:r>
        <w:rPr>
          <w:rFonts w:ascii="Microsoft YaHei" w:hAnsi="Microsoft YaHei" w:eastAsia="Microsoft YaHei" w:cs="Microsoft YaHei"/>
          <w:sz w:val="24"/>
          <w:szCs w:val="24"/>
          <w:b/>
          <w:bCs/>
          <w:color w:val="333333"/>
          <w:spacing w:val="-12"/>
          <w:w w:val="96"/>
        </w:rPr>
        <w:t>）</w:t>
      </w:r>
      <w:r>
        <w:rPr>
          <w:rFonts w:ascii="Microsoft YaHei" w:hAnsi="Microsoft YaHei" w:eastAsia="Microsoft YaHei" w:cs="Microsoft YaHei"/>
          <w:sz w:val="24"/>
          <w:szCs w:val="24"/>
          <w:b/>
          <w:bCs/>
          <w:spacing w:val="-12"/>
          <w:w w:val="96"/>
        </w:rPr>
        <w:t>行政监管措施</w:t>
      </w:r>
    </w:p>
    <w:tbl>
      <w:tblPr>
        <w:tblStyle w:val="TableNormal"/>
        <w:tblW w:w="8900" w:type="dxa"/>
        <w:tblInd w:w="19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17"/>
        <w:gridCol w:w="1106"/>
        <w:gridCol w:w="6677"/>
      </w:tblGrid>
      <w:tr>
        <w:trPr>
          <w:trHeight w:val="387" w:hRule="atLeast"/>
        </w:trPr>
        <w:tc>
          <w:tcPr>
            <w:shd w:val="clear" w:fill="4F81BD"/>
            <w:tcW w:w="1117" w:type="dxa"/>
            <w:vAlign w:val="top"/>
            <w:tcBorders>
              <w:bottom w:val="single" w:color="4F81BD" w:sz="2" w:space="0"/>
            </w:tcBorders>
          </w:tcPr>
          <w:p>
            <w:pPr>
              <w:pStyle w:val="TableText"/>
              <w:ind w:left="131"/>
              <w:spacing w:before="108" w:line="188" w:lineRule="auto"/>
              <w:rPr/>
            </w:pPr>
            <w:r>
              <w:rPr>
                <w:b/>
                <w:bCs/>
                <w:color w:val="FFFFFF"/>
                <w:spacing w:val="8"/>
              </w:rPr>
              <w:t>公司代码</w:t>
            </w:r>
          </w:p>
        </w:tc>
        <w:tc>
          <w:tcPr>
            <w:shd w:val="clear" w:fill="4F81BD"/>
            <w:tcW w:w="1106" w:type="dxa"/>
            <w:vAlign w:val="top"/>
            <w:tcBorders>
              <w:bottom w:val="single" w:color="4F81BD" w:sz="2" w:space="0"/>
            </w:tcBorders>
          </w:tcPr>
          <w:p>
            <w:pPr>
              <w:pStyle w:val="TableText"/>
              <w:ind w:left="125"/>
              <w:spacing w:before="108" w:line="188" w:lineRule="auto"/>
              <w:rPr/>
            </w:pPr>
            <w:r>
              <w:rPr>
                <w:b/>
                <w:bCs/>
                <w:color w:val="FFFFFF"/>
                <w:spacing w:val="8"/>
              </w:rPr>
              <w:t>公司简称</w:t>
            </w:r>
          </w:p>
        </w:tc>
        <w:tc>
          <w:tcPr>
            <w:shd w:val="clear" w:fill="4F81BD"/>
            <w:tcW w:w="6677" w:type="dxa"/>
            <w:vAlign w:val="top"/>
            <w:tcBorders>
              <w:bottom w:val="single" w:color="4F81BD" w:sz="2" w:space="0"/>
            </w:tcBorders>
          </w:tcPr>
          <w:p>
            <w:pPr>
              <w:pStyle w:val="TableText"/>
              <w:ind w:left="2911"/>
              <w:spacing w:before="108" w:line="188" w:lineRule="auto"/>
              <w:rPr/>
            </w:pPr>
            <w:r>
              <w:rPr>
                <w:b/>
                <w:bCs/>
                <w:color w:val="FFFFFF"/>
                <w:spacing w:val="8"/>
              </w:rPr>
              <w:t>违规行为</w:t>
            </w:r>
          </w:p>
        </w:tc>
      </w:tr>
      <w:tr>
        <w:trPr>
          <w:trHeight w:val="1447" w:hRule="atLeast"/>
        </w:trPr>
        <w:tc>
          <w:tcPr>
            <w:shd w:val="clear" w:fill="B8CCE4"/>
            <w:tcW w:w="1117" w:type="dxa"/>
            <w:vAlign w:val="top"/>
            <w:tcBorders>
              <w:top w:val="single" w:color="4F81BD" w:sz="2" w:space="0"/>
            </w:tcBorders>
          </w:tcPr>
          <w:p>
            <w:pPr>
              <w:spacing w:line="275" w:lineRule="auto"/>
              <w:rPr>
                <w:rFonts w:ascii="Arial"/>
                <w:sz w:val="21"/>
              </w:rPr>
            </w:pPr>
            <w:r/>
          </w:p>
          <w:p>
            <w:pPr>
              <w:spacing w:line="276" w:lineRule="auto"/>
              <w:rPr>
                <w:rFonts w:ascii="Arial"/>
                <w:sz w:val="21"/>
              </w:rPr>
            </w:pPr>
            <w:r/>
          </w:p>
          <w:p>
            <w:pPr>
              <w:pStyle w:val="TableText"/>
              <w:ind w:left="189"/>
              <w:spacing w:before="86" w:line="178" w:lineRule="auto"/>
              <w:rPr/>
            </w:pPr>
            <w:r>
              <w:rPr>
                <w:spacing w:val="3"/>
              </w:rPr>
              <w:t>002399</w:t>
            </w:r>
          </w:p>
        </w:tc>
        <w:tc>
          <w:tcPr>
            <w:shd w:val="clear" w:fill="B8CCE4"/>
            <w:tcW w:w="1106" w:type="dxa"/>
            <w:vAlign w:val="top"/>
            <w:tcBorders>
              <w:top w:val="single" w:color="4F81BD" w:sz="2" w:space="0"/>
            </w:tcBorders>
          </w:tcPr>
          <w:p>
            <w:pPr>
              <w:spacing w:line="268" w:lineRule="auto"/>
              <w:rPr>
                <w:rFonts w:ascii="Arial"/>
                <w:sz w:val="21"/>
              </w:rPr>
            </w:pPr>
            <w:r/>
          </w:p>
          <w:p>
            <w:pPr>
              <w:spacing w:line="268" w:lineRule="auto"/>
              <w:rPr>
                <w:rFonts w:ascii="Arial"/>
                <w:sz w:val="21"/>
              </w:rPr>
            </w:pPr>
            <w:r/>
          </w:p>
          <w:p>
            <w:pPr>
              <w:pStyle w:val="TableText"/>
              <w:ind w:left="227"/>
              <w:spacing w:before="86" w:line="189" w:lineRule="auto"/>
              <w:rPr/>
            </w:pPr>
            <w:r>
              <w:rPr>
                <w:spacing w:val="8"/>
              </w:rPr>
              <w:t>海普瑞</w:t>
            </w:r>
          </w:p>
        </w:tc>
        <w:tc>
          <w:tcPr>
            <w:shd w:val="clear" w:fill="B8CCE4"/>
            <w:tcW w:w="6677" w:type="dxa"/>
            <w:vAlign w:val="top"/>
            <w:tcBorders>
              <w:top w:val="single" w:color="4F81BD" w:sz="2" w:space="0"/>
            </w:tcBorders>
          </w:tcPr>
          <w:p>
            <w:pPr>
              <w:pStyle w:val="TableText"/>
              <w:ind w:left="98" w:right="105"/>
              <w:spacing w:before="46" w:line="243" w:lineRule="auto"/>
              <w:jc w:val="both"/>
              <w:rPr/>
            </w:pPr>
            <w:r>
              <w:rPr>
                <w:spacing w:val="14"/>
              </w:rPr>
              <w:t>安永华明会计师事务所（特殊普通合伙）</w:t>
            </w:r>
            <w:r>
              <w:rPr>
                <w:spacing w:val="-23"/>
              </w:rPr>
              <w:t xml:space="preserve"> </w:t>
            </w:r>
            <w:r>
              <w:rPr>
                <w:spacing w:val="14"/>
              </w:rPr>
              <w:t>、注册会计师在执行深圳市</w:t>
            </w:r>
            <w:r>
              <w:rPr/>
              <w:t xml:space="preserve"> </w:t>
            </w:r>
            <w:r>
              <w:rPr>
                <w:spacing w:val="11"/>
              </w:rPr>
              <w:t>海普瑞药业集团股份有限公司</w:t>
            </w:r>
            <w:r>
              <w:rPr>
                <w:b/>
                <w:bCs/>
                <w:spacing w:val="11"/>
              </w:rPr>
              <w:t>2022年年报审计执业项目</w:t>
            </w:r>
            <w:r>
              <w:rPr>
                <w:spacing w:val="11"/>
              </w:rPr>
              <w:t>中了解集团及 </w:t>
            </w:r>
            <w:r>
              <w:rPr>
                <w:spacing w:val="14"/>
              </w:rPr>
              <w:t>其环境、集团组成部分及其环境的审计程序执行不到位</w:t>
            </w:r>
            <w:r>
              <w:rPr>
                <w:spacing w:val="-21"/>
              </w:rPr>
              <w:t xml:space="preserve"> </w:t>
            </w:r>
            <w:r>
              <w:rPr>
                <w:spacing w:val="14"/>
              </w:rPr>
              <w:t>，未充分</w:t>
            </w:r>
            <w:r>
              <w:rPr>
                <w:spacing w:val="13"/>
              </w:rPr>
              <w:t>评价</w:t>
            </w:r>
            <w:r>
              <w:rPr/>
              <w:t xml:space="preserve"> </w:t>
            </w:r>
            <w:r>
              <w:rPr>
                <w:spacing w:val="9"/>
              </w:rPr>
              <w:t>组成部分注册会计师审计证据的充分性和适当性。</w:t>
            </w:r>
          </w:p>
        </w:tc>
      </w:tr>
      <w:tr>
        <w:trPr>
          <w:trHeight w:val="723" w:hRule="atLeast"/>
        </w:trPr>
        <w:tc>
          <w:tcPr>
            <w:tcW w:w="8900" w:type="dxa"/>
            <w:vAlign w:val="top"/>
            <w:gridSpan w:val="3"/>
          </w:tcPr>
          <w:p>
            <w:pPr>
              <w:pStyle w:val="TableText"/>
              <w:ind w:left="105" w:right="105" w:firstLine="17"/>
              <w:spacing w:before="40" w:line="235" w:lineRule="auto"/>
              <w:rPr/>
            </w:pPr>
            <w:r>
              <w:rPr>
                <w:b/>
                <w:bCs/>
                <w:spacing w:val="11"/>
              </w:rPr>
              <w:t>【行政监管措施】</w:t>
            </w:r>
            <w:r>
              <w:rPr>
                <w:spacing w:val="11"/>
              </w:rPr>
              <w:t>中国证券监督管理委员会深圳监管局决定对安永华明会计师事务所（特殊普</w:t>
            </w:r>
            <w:r>
              <w:rPr>
                <w:spacing w:val="3"/>
              </w:rPr>
              <w:t xml:space="preserve"> </w:t>
            </w:r>
            <w:r>
              <w:rPr>
                <w:spacing w:val="8"/>
              </w:rPr>
              <w:t>通合伙）</w:t>
            </w:r>
            <w:r>
              <w:rPr>
                <w:spacing w:val="-30"/>
              </w:rPr>
              <w:t xml:space="preserve"> </w:t>
            </w:r>
            <w:r>
              <w:rPr>
                <w:spacing w:val="8"/>
              </w:rPr>
              <w:t>、注册会计师采取出具警示函的监管措施。</w:t>
            </w:r>
          </w:p>
        </w:tc>
      </w:tr>
      <w:tr>
        <w:trPr>
          <w:trHeight w:val="2161" w:hRule="atLeast"/>
        </w:trPr>
        <w:tc>
          <w:tcPr>
            <w:shd w:val="clear" w:fill="B8CCE4"/>
            <w:tcW w:w="1117" w:type="dxa"/>
            <w:vAlign w:val="top"/>
          </w:tcPr>
          <w:p>
            <w:pPr>
              <w:spacing w:line="303" w:lineRule="auto"/>
              <w:rPr>
                <w:rFonts w:ascii="Arial"/>
                <w:sz w:val="21"/>
              </w:rPr>
            </w:pPr>
            <w:r/>
          </w:p>
          <w:p>
            <w:pPr>
              <w:spacing w:line="303" w:lineRule="auto"/>
              <w:rPr>
                <w:rFonts w:ascii="Arial"/>
                <w:sz w:val="21"/>
              </w:rPr>
            </w:pPr>
            <w:r/>
          </w:p>
          <w:p>
            <w:pPr>
              <w:spacing w:line="304" w:lineRule="auto"/>
              <w:rPr>
                <w:rFonts w:ascii="Arial"/>
                <w:sz w:val="21"/>
              </w:rPr>
            </w:pPr>
            <w:r/>
          </w:p>
          <w:p>
            <w:pPr>
              <w:pStyle w:val="TableText"/>
              <w:ind w:left="192"/>
              <w:spacing w:before="86" w:line="179" w:lineRule="auto"/>
              <w:rPr/>
            </w:pPr>
            <w:r>
              <w:rPr>
                <w:spacing w:val="3"/>
              </w:rPr>
              <w:t>601881</w:t>
            </w:r>
          </w:p>
        </w:tc>
        <w:tc>
          <w:tcPr>
            <w:shd w:val="clear" w:fill="B8CCE4"/>
            <w:tcW w:w="1106" w:type="dxa"/>
            <w:vAlign w:val="top"/>
          </w:tcPr>
          <w:p>
            <w:pPr>
              <w:spacing w:line="299" w:lineRule="auto"/>
              <w:rPr>
                <w:rFonts w:ascii="Arial"/>
                <w:sz w:val="21"/>
              </w:rPr>
            </w:pPr>
            <w:r/>
          </w:p>
          <w:p>
            <w:pPr>
              <w:spacing w:line="299" w:lineRule="auto"/>
              <w:rPr>
                <w:rFonts w:ascii="Arial"/>
                <w:sz w:val="21"/>
              </w:rPr>
            </w:pPr>
            <w:r/>
          </w:p>
          <w:p>
            <w:pPr>
              <w:spacing w:line="299" w:lineRule="auto"/>
              <w:rPr>
                <w:rFonts w:ascii="Arial"/>
                <w:sz w:val="21"/>
              </w:rPr>
            </w:pPr>
            <w:r/>
          </w:p>
          <w:p>
            <w:pPr>
              <w:pStyle w:val="TableText"/>
              <w:ind w:left="138"/>
              <w:spacing w:before="86" w:line="189" w:lineRule="auto"/>
              <w:rPr/>
            </w:pPr>
            <w:r>
              <w:rPr>
                <w:spacing w:val="5"/>
              </w:rPr>
              <w:t>中国银河</w:t>
            </w:r>
          </w:p>
        </w:tc>
        <w:tc>
          <w:tcPr>
            <w:shd w:val="clear" w:fill="B8CCE4"/>
            <w:tcW w:w="6677" w:type="dxa"/>
            <w:vAlign w:val="top"/>
          </w:tcPr>
          <w:p>
            <w:pPr>
              <w:pStyle w:val="TableText"/>
              <w:ind w:left="96" w:right="105" w:firstLine="16"/>
              <w:spacing w:before="92"/>
              <w:jc w:val="both"/>
              <w:rPr/>
            </w:pPr>
            <w:r>
              <w:rPr>
                <w:spacing w:val="15"/>
              </w:rPr>
              <w:t>中国证券监督管理委员会青岛监管局发现中国银河</w:t>
            </w:r>
            <w:r>
              <w:rPr>
                <w:spacing w:val="14"/>
              </w:rPr>
              <w:t>证券股份有限公司</w:t>
            </w:r>
            <w:r>
              <w:rPr/>
              <w:t xml:space="preserve"> </w:t>
            </w:r>
            <w:r>
              <w:rPr>
                <w:spacing w:val="15"/>
              </w:rPr>
              <w:t>青岛海口路证券营业部使用未在中国证券业协会注册登记的劳务派遣</w:t>
            </w:r>
            <w:r>
              <w:rPr>
                <w:spacing w:val="9"/>
              </w:rPr>
              <w:t xml:space="preserve"> </w:t>
            </w:r>
            <w:r>
              <w:rPr>
                <w:spacing w:val="14"/>
              </w:rPr>
              <w:t>人员为客户办理融资融券开户有关业务并使用营业部有关印章</w:t>
            </w:r>
            <w:r>
              <w:rPr>
                <w:spacing w:val="-21"/>
              </w:rPr>
              <w:t xml:space="preserve"> </w:t>
            </w:r>
            <w:r>
              <w:rPr>
                <w:spacing w:val="14"/>
              </w:rPr>
              <w:t>，通知</w:t>
            </w:r>
            <w:r>
              <w:rPr/>
              <w:t xml:space="preserve"> </w:t>
            </w:r>
            <w:r>
              <w:rPr>
                <w:spacing w:val="14"/>
              </w:rPr>
              <w:t>客户追加融资担保物及用章登记等环节违反公司内部制度</w:t>
            </w:r>
            <w:r>
              <w:rPr>
                <w:spacing w:val="-21"/>
              </w:rPr>
              <w:t xml:space="preserve"> </w:t>
            </w:r>
            <w:r>
              <w:rPr>
                <w:spacing w:val="14"/>
              </w:rPr>
              <w:t>，反映出中</w:t>
            </w:r>
            <w:r>
              <w:rPr/>
              <w:t xml:space="preserve"> </w:t>
            </w:r>
            <w:r>
              <w:rPr>
                <w:spacing w:val="14"/>
              </w:rPr>
              <w:t>国银河证券股份有限公司青岛海口路证券营业部内部控制不完善</w:t>
            </w:r>
            <w:r>
              <w:rPr>
                <w:spacing w:val="-21"/>
              </w:rPr>
              <w:t xml:space="preserve"> </w:t>
            </w:r>
            <w:r>
              <w:rPr>
                <w:spacing w:val="14"/>
              </w:rPr>
              <w:t>，合</w:t>
            </w:r>
            <w:r>
              <w:rPr/>
              <w:t xml:space="preserve"> </w:t>
            </w:r>
            <w:r>
              <w:rPr>
                <w:spacing w:val="8"/>
              </w:rPr>
              <w:t>规管理不到位。</w:t>
            </w:r>
          </w:p>
        </w:tc>
      </w:tr>
      <w:tr>
        <w:trPr>
          <w:trHeight w:val="730" w:hRule="atLeast"/>
        </w:trPr>
        <w:tc>
          <w:tcPr>
            <w:tcW w:w="8900" w:type="dxa"/>
            <w:vAlign w:val="top"/>
            <w:gridSpan w:val="3"/>
          </w:tcPr>
          <w:p>
            <w:pPr>
              <w:pStyle w:val="TableText"/>
              <w:ind w:left="106" w:right="172" w:firstLine="17"/>
              <w:spacing w:before="50" w:line="234" w:lineRule="auto"/>
              <w:rPr/>
            </w:pPr>
            <w:r>
              <w:rPr>
                <w:b/>
                <w:bCs/>
                <w:spacing w:val="9"/>
              </w:rPr>
              <w:t>【行政监管措施】</w:t>
            </w:r>
            <w:r>
              <w:rPr>
                <w:spacing w:val="9"/>
              </w:rPr>
              <w:t>中国证券监督管理委员会青岛监管局决定对中国银河证券股份有限公司青岛</w:t>
            </w:r>
            <w:r>
              <w:rPr>
                <w:spacing w:val="18"/>
                <w:w w:val="101"/>
              </w:rPr>
              <w:t xml:space="preserve"> </w:t>
            </w:r>
            <w:r>
              <w:rPr>
                <w:spacing w:val="9"/>
              </w:rPr>
              <w:t>海口路证券营业部采取出具警示函的监管措施。</w:t>
            </w:r>
          </w:p>
        </w:tc>
      </w:tr>
    </w:tbl>
    <w:p>
      <w:pPr>
        <w:pStyle w:val="BodyText"/>
        <w:rPr/>
      </w:pPr>
      <w:r/>
    </w:p>
    <w:p>
      <w:pPr>
        <w:sectPr>
          <w:pgSz w:w="11910" w:h="16840"/>
          <w:pgMar w:top="400" w:right="1692" w:bottom="0" w:left="1109" w:header="0" w:footer="0" w:gutter="0"/>
        </w:sectPr>
        <w:rPr/>
      </w:pPr>
    </w:p>
    <w:tbl>
      <w:tblPr>
        <w:tblStyle w:val="TableNormal"/>
        <w:tblW w:w="8900"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117"/>
        <w:gridCol w:w="1106"/>
        <w:gridCol w:w="6677"/>
      </w:tblGrid>
      <w:tr>
        <w:trPr>
          <w:trHeight w:val="1104" w:hRule="atLeast"/>
        </w:trPr>
        <w:tc>
          <w:tcPr>
            <w:shd w:val="clear" w:fill="B8CCE4"/>
            <w:tcW w:w="1117" w:type="dxa"/>
            <w:vAlign w:val="top"/>
            <w:tcBorders>
              <w:top w:val="single" w:color="4F81BD" w:sz="2" w:space="0"/>
            </w:tcBorders>
          </w:tcPr>
          <w:p>
            <w:pPr>
              <w:spacing w:line="385" w:lineRule="auto"/>
              <w:rPr>
                <w:rFonts w:ascii="Arial"/>
                <w:sz w:val="21"/>
              </w:rPr>
            </w:pPr>
            <w:r/>
          </w:p>
          <w:p>
            <w:pPr>
              <w:pStyle w:val="TableText"/>
              <w:ind w:left="192"/>
              <w:spacing w:before="86" w:line="179" w:lineRule="auto"/>
              <w:rPr/>
            </w:pPr>
            <w:r>
              <w:rPr>
                <w:spacing w:val="3"/>
              </w:rPr>
              <w:t>600918</w:t>
            </w:r>
          </w:p>
        </w:tc>
        <w:tc>
          <w:tcPr>
            <w:shd w:val="clear" w:fill="B8CCE4"/>
            <w:tcW w:w="1106" w:type="dxa"/>
            <w:vAlign w:val="top"/>
            <w:tcBorders>
              <w:top w:val="single" w:color="4F81BD" w:sz="2" w:space="0"/>
            </w:tcBorders>
          </w:tcPr>
          <w:p>
            <w:pPr>
              <w:spacing w:line="372" w:lineRule="auto"/>
              <w:rPr>
                <w:rFonts w:ascii="Arial"/>
                <w:sz w:val="21"/>
              </w:rPr>
            </w:pPr>
            <w:r/>
          </w:p>
          <w:p>
            <w:pPr>
              <w:pStyle w:val="TableText"/>
              <w:ind w:left="138"/>
              <w:spacing w:before="86" w:line="189" w:lineRule="auto"/>
              <w:rPr/>
            </w:pPr>
            <w:r>
              <w:rPr>
                <w:spacing w:val="5"/>
              </w:rPr>
              <w:t>中泰证券</w:t>
            </w:r>
          </w:p>
        </w:tc>
        <w:tc>
          <w:tcPr>
            <w:shd w:val="clear" w:fill="B8CCE4"/>
            <w:tcW w:w="6677" w:type="dxa"/>
            <w:vAlign w:val="top"/>
            <w:tcBorders>
              <w:top w:val="single" w:color="4F81BD" w:sz="2" w:space="0"/>
            </w:tcBorders>
          </w:tcPr>
          <w:p>
            <w:pPr>
              <w:pStyle w:val="TableText"/>
              <w:ind w:left="98" w:right="105" w:firstLine="13"/>
              <w:spacing w:before="102" w:line="231" w:lineRule="auto"/>
              <w:jc w:val="both"/>
              <w:rPr/>
            </w:pPr>
            <w:r>
              <w:rPr>
                <w:spacing w:val="15"/>
              </w:rPr>
              <w:t>中泰证券股份有限公司漳州延安北路证券营业部从</w:t>
            </w:r>
            <w:r>
              <w:rPr>
                <w:spacing w:val="14"/>
              </w:rPr>
              <w:t>业人员在从业期间</w:t>
            </w:r>
            <w:r>
              <w:rPr/>
              <w:t xml:space="preserve"> </w:t>
            </w:r>
            <w:r>
              <w:rPr>
                <w:spacing w:val="15"/>
              </w:rPr>
              <w:t>开展基金销售业务时存在向客户承诺赠送礼金、承诺本金不受损失的</w:t>
            </w:r>
            <w:r>
              <w:rPr>
                <w:spacing w:val="6"/>
              </w:rPr>
              <w:t xml:space="preserve"> </w:t>
            </w:r>
            <w:r>
              <w:rPr>
                <w:spacing w:val="7"/>
              </w:rPr>
              <w:t>行为</w:t>
            </w:r>
            <w:r>
              <w:rPr>
                <w:spacing w:val="-7"/>
              </w:rPr>
              <w:t xml:space="preserve"> </w:t>
            </w:r>
            <w:r>
              <w:rPr>
                <w:spacing w:val="7"/>
              </w:rPr>
              <w:t>，且在个别客户出现亏损时向其提供经济补偿。</w:t>
            </w:r>
          </w:p>
        </w:tc>
      </w:tr>
      <w:tr>
        <w:trPr>
          <w:trHeight w:val="724" w:hRule="atLeast"/>
        </w:trPr>
        <w:tc>
          <w:tcPr>
            <w:tcW w:w="8900" w:type="dxa"/>
            <w:vAlign w:val="top"/>
            <w:gridSpan w:val="3"/>
          </w:tcPr>
          <w:p>
            <w:pPr>
              <w:pStyle w:val="TableText"/>
              <w:ind w:left="107" w:right="172" w:firstLine="15"/>
              <w:spacing w:before="38" w:line="236" w:lineRule="auto"/>
              <w:rPr/>
            </w:pPr>
            <w:r>
              <w:rPr>
                <w:b/>
                <w:bCs/>
                <w:spacing w:val="9"/>
              </w:rPr>
              <w:t>【行政监管措施】</w:t>
            </w:r>
            <w:r>
              <w:rPr>
                <w:spacing w:val="9"/>
              </w:rPr>
              <w:t>中国证券监督管理委员会福建监管局决定对从业人员采取出具警示函的行政</w:t>
            </w:r>
            <w:r>
              <w:rPr>
                <w:spacing w:val="18"/>
                <w:w w:val="101"/>
              </w:rPr>
              <w:t xml:space="preserve"> </w:t>
            </w:r>
            <w:r>
              <w:rPr>
                <w:spacing w:val="7"/>
              </w:rPr>
              <w:t>监督管理措施。</w:t>
            </w:r>
          </w:p>
        </w:tc>
      </w:tr>
      <w:tr>
        <w:trPr>
          <w:trHeight w:val="1084" w:hRule="atLeast"/>
        </w:trPr>
        <w:tc>
          <w:tcPr>
            <w:shd w:val="clear" w:fill="B8CCE4"/>
            <w:tcW w:w="1117" w:type="dxa"/>
            <w:vAlign w:val="top"/>
          </w:tcPr>
          <w:p>
            <w:pPr>
              <w:spacing w:line="368" w:lineRule="auto"/>
              <w:rPr>
                <w:rFonts w:ascii="Arial"/>
                <w:sz w:val="21"/>
              </w:rPr>
            </w:pPr>
            <w:r/>
          </w:p>
          <w:p>
            <w:pPr>
              <w:pStyle w:val="TableText"/>
              <w:ind w:left="192"/>
              <w:spacing w:before="86" w:line="179" w:lineRule="auto"/>
              <w:rPr/>
            </w:pPr>
            <w:r>
              <w:rPr>
                <w:spacing w:val="3"/>
              </w:rPr>
              <w:t>600918</w:t>
            </w:r>
          </w:p>
        </w:tc>
        <w:tc>
          <w:tcPr>
            <w:shd w:val="clear" w:fill="B8CCE4"/>
            <w:tcW w:w="1106" w:type="dxa"/>
            <w:vAlign w:val="top"/>
          </w:tcPr>
          <w:p>
            <w:pPr>
              <w:spacing w:line="355" w:lineRule="auto"/>
              <w:rPr>
                <w:rFonts w:ascii="Arial"/>
                <w:sz w:val="21"/>
              </w:rPr>
            </w:pPr>
            <w:r/>
          </w:p>
          <w:p>
            <w:pPr>
              <w:pStyle w:val="TableText"/>
              <w:ind w:left="138"/>
              <w:spacing w:before="85" w:line="189" w:lineRule="auto"/>
              <w:rPr/>
            </w:pPr>
            <w:r>
              <w:rPr>
                <w:spacing w:val="5"/>
              </w:rPr>
              <w:t>中泰证券</w:t>
            </w:r>
          </w:p>
        </w:tc>
        <w:tc>
          <w:tcPr>
            <w:shd w:val="clear" w:fill="B8CCE4"/>
            <w:tcW w:w="6677" w:type="dxa"/>
            <w:vAlign w:val="top"/>
          </w:tcPr>
          <w:p>
            <w:pPr>
              <w:pStyle w:val="TableText"/>
              <w:ind w:left="98" w:right="105" w:firstLine="14"/>
              <w:spacing w:before="83" w:line="231" w:lineRule="auto"/>
              <w:jc w:val="both"/>
              <w:rPr/>
            </w:pPr>
            <w:r>
              <w:rPr>
                <w:spacing w:val="15"/>
              </w:rPr>
              <w:t>中泰证券股份有限公司漳州延安北路证券营业部个</w:t>
            </w:r>
            <w:r>
              <w:rPr>
                <w:spacing w:val="14"/>
              </w:rPr>
              <w:t>别员工在从事基金</w:t>
            </w:r>
            <w:r>
              <w:rPr/>
              <w:t xml:space="preserve"> </w:t>
            </w:r>
            <w:r>
              <w:rPr>
                <w:spacing w:val="12"/>
              </w:rPr>
              <w:t>销售业务时,存在向客户承诺赠送礼金、承诺本金不受损失的行为</w:t>
            </w:r>
            <w:r>
              <w:rPr>
                <w:spacing w:val="-22"/>
              </w:rPr>
              <w:t xml:space="preserve"> </w:t>
            </w:r>
            <w:r>
              <w:rPr>
                <w:spacing w:val="12"/>
              </w:rPr>
              <w:t>，且</w:t>
            </w:r>
            <w:r>
              <w:rPr/>
              <w:t xml:space="preserve"> </w:t>
            </w:r>
            <w:r>
              <w:rPr>
                <w:spacing w:val="9"/>
              </w:rPr>
              <w:t>在个别客户出现亏损时向其提供经济补偿。</w:t>
            </w:r>
          </w:p>
        </w:tc>
      </w:tr>
      <w:tr>
        <w:trPr>
          <w:trHeight w:val="724" w:hRule="atLeast"/>
        </w:trPr>
        <w:tc>
          <w:tcPr>
            <w:tcW w:w="8900" w:type="dxa"/>
            <w:vAlign w:val="top"/>
            <w:gridSpan w:val="3"/>
          </w:tcPr>
          <w:p>
            <w:pPr>
              <w:pStyle w:val="TableText"/>
              <w:ind w:left="106" w:right="172" w:firstLine="17"/>
              <w:spacing w:before="41" w:line="235" w:lineRule="auto"/>
              <w:rPr/>
            </w:pPr>
            <w:r>
              <w:rPr>
                <w:b/>
                <w:bCs/>
                <w:spacing w:val="9"/>
              </w:rPr>
              <w:t>【行政监管措施】</w:t>
            </w:r>
            <w:r>
              <w:rPr>
                <w:spacing w:val="9"/>
              </w:rPr>
              <w:t>中国证券监督管理委员会福建监管局决定对中泰证券股份有限公司漳州延安</w:t>
            </w:r>
            <w:r>
              <w:rPr>
                <w:spacing w:val="18"/>
                <w:w w:val="101"/>
              </w:rPr>
              <w:t xml:space="preserve"> </w:t>
            </w:r>
            <w:r>
              <w:rPr>
                <w:spacing w:val="9"/>
              </w:rPr>
              <w:t>北路证券营业部采取出具警示函的行政监督管理措施。</w:t>
            </w:r>
          </w:p>
        </w:tc>
      </w:tr>
      <w:tr>
        <w:trPr>
          <w:trHeight w:val="364" w:hRule="atLeast"/>
        </w:trPr>
        <w:tc>
          <w:tcPr>
            <w:shd w:val="clear" w:fill="B8CCE4"/>
            <w:tcW w:w="1117" w:type="dxa"/>
            <w:vAlign w:val="top"/>
          </w:tcPr>
          <w:p>
            <w:pPr>
              <w:pStyle w:val="TableText"/>
              <w:ind w:left="194"/>
              <w:spacing w:before="102" w:line="176" w:lineRule="auto"/>
              <w:rPr/>
            </w:pPr>
            <w:r>
              <w:rPr>
                <w:spacing w:val="3"/>
              </w:rPr>
              <w:t>300287</w:t>
            </w:r>
          </w:p>
        </w:tc>
        <w:tc>
          <w:tcPr>
            <w:shd w:val="clear" w:fill="B8CCE4"/>
            <w:tcW w:w="1106" w:type="dxa"/>
            <w:vAlign w:val="top"/>
          </w:tcPr>
          <w:p>
            <w:pPr>
              <w:pStyle w:val="TableText"/>
              <w:ind w:left="228"/>
              <w:spacing w:before="89" w:line="185" w:lineRule="auto"/>
              <w:rPr/>
            </w:pPr>
            <w:r>
              <w:rPr>
                <w:spacing w:val="8"/>
              </w:rPr>
              <w:t>飞利信</w:t>
            </w:r>
          </w:p>
        </w:tc>
        <w:tc>
          <w:tcPr>
            <w:shd w:val="clear" w:fill="B8CCE4"/>
            <w:tcW w:w="6677" w:type="dxa"/>
            <w:vAlign w:val="top"/>
          </w:tcPr>
          <w:p>
            <w:pPr>
              <w:pStyle w:val="TableText"/>
              <w:ind w:left="107"/>
              <w:spacing w:before="86" w:line="187" w:lineRule="auto"/>
              <w:rPr/>
            </w:pPr>
            <w:r>
              <w:rPr>
                <w:spacing w:val="7"/>
              </w:rPr>
              <w:t>2018年至2022年</w:t>
            </w:r>
            <w:r>
              <w:rPr>
                <w:b/>
                <w:bCs/>
                <w:spacing w:val="7"/>
              </w:rPr>
              <w:t>年报信息披露不准确</w:t>
            </w:r>
            <w:r>
              <w:rPr>
                <w:spacing w:val="7"/>
              </w:rPr>
              <w:t>。</w:t>
            </w:r>
          </w:p>
        </w:tc>
      </w:tr>
      <w:tr>
        <w:trPr>
          <w:trHeight w:val="1085" w:hRule="atLeast"/>
        </w:trPr>
        <w:tc>
          <w:tcPr>
            <w:tcW w:w="8900" w:type="dxa"/>
            <w:vAlign w:val="top"/>
            <w:gridSpan w:val="3"/>
          </w:tcPr>
          <w:p>
            <w:pPr>
              <w:pStyle w:val="TableText"/>
              <w:ind w:left="106" w:right="218" w:firstLine="16"/>
              <w:spacing w:before="45"/>
              <w:jc w:val="both"/>
              <w:rPr/>
            </w:pPr>
            <w:r>
              <w:rPr>
                <w:b/>
                <w:bCs/>
                <w:spacing w:val="8"/>
              </w:rPr>
              <w:t>【行政监管措施】</w:t>
            </w:r>
            <w:r>
              <w:rPr>
                <w:spacing w:val="8"/>
              </w:rPr>
              <w:t>中国证券监督管理委员会北京监管局决定对北京飞利信科技股份有限公司、</w:t>
            </w:r>
            <w:r>
              <w:rPr>
                <w:spacing w:val="13"/>
              </w:rPr>
              <w:t xml:space="preserve"> </w:t>
            </w:r>
            <w:r>
              <w:rPr>
                <w:spacing w:val="10"/>
              </w:rPr>
              <w:t>董事长,总经理杨某华、财务总监曹某军采</w:t>
            </w:r>
            <w:r>
              <w:rPr>
                <w:spacing w:val="9"/>
              </w:rPr>
              <w:t>取出具警示函的行政监管措施,并记入证券期货市场</w:t>
            </w:r>
            <w:r>
              <w:rPr/>
              <w:t xml:space="preserve">  </w:t>
            </w:r>
            <w:r>
              <w:rPr>
                <w:spacing w:val="6"/>
              </w:rPr>
              <w:t>诚信档案。</w:t>
            </w:r>
          </w:p>
        </w:tc>
      </w:tr>
      <w:tr>
        <w:trPr>
          <w:trHeight w:val="725" w:hRule="atLeast"/>
        </w:trPr>
        <w:tc>
          <w:tcPr>
            <w:shd w:val="clear" w:fill="B8CCE4"/>
            <w:tcW w:w="1117" w:type="dxa"/>
            <w:vAlign w:val="top"/>
          </w:tcPr>
          <w:p>
            <w:pPr>
              <w:pStyle w:val="TableText"/>
              <w:ind w:left="192"/>
              <w:spacing w:before="280" w:line="179" w:lineRule="auto"/>
              <w:rPr/>
            </w:pPr>
            <w:r>
              <w:rPr>
                <w:spacing w:val="3"/>
              </w:rPr>
              <w:t>603127</w:t>
            </w:r>
          </w:p>
        </w:tc>
        <w:tc>
          <w:tcPr>
            <w:shd w:val="clear" w:fill="B8CCE4"/>
            <w:tcW w:w="1106" w:type="dxa"/>
            <w:vAlign w:val="top"/>
          </w:tcPr>
          <w:p>
            <w:pPr>
              <w:pStyle w:val="TableText"/>
              <w:ind w:left="135"/>
              <w:spacing w:before="267" w:line="189" w:lineRule="auto"/>
              <w:rPr/>
            </w:pPr>
            <w:r>
              <w:rPr>
                <w:spacing w:val="5"/>
              </w:rPr>
              <w:t>昭衍新药</w:t>
            </w:r>
          </w:p>
        </w:tc>
        <w:tc>
          <w:tcPr>
            <w:shd w:val="clear" w:fill="B8CCE4"/>
            <w:tcW w:w="6677" w:type="dxa"/>
            <w:vAlign w:val="top"/>
          </w:tcPr>
          <w:p>
            <w:pPr>
              <w:pStyle w:val="TableText"/>
              <w:ind w:left="101" w:right="103" w:hanging="3"/>
              <w:spacing w:before="45" w:line="234" w:lineRule="auto"/>
              <w:rPr/>
            </w:pPr>
            <w:r>
              <w:rPr>
                <w:spacing w:val="11"/>
              </w:rPr>
              <w:t>公司实际控制人及一致行动人在持股比例</w:t>
            </w:r>
            <w:r>
              <w:rPr>
                <w:b/>
                <w:bCs/>
                <w:spacing w:val="11"/>
              </w:rPr>
              <w:t>减少达到5%</w:t>
            </w:r>
            <w:r>
              <w:rPr>
                <w:spacing w:val="11"/>
              </w:rPr>
              <w:t>时未停止买卖公</w:t>
            </w:r>
            <w:r>
              <w:rPr>
                <w:spacing w:val="9"/>
              </w:rPr>
              <w:t xml:space="preserve"> </w:t>
            </w:r>
            <w:r>
              <w:rPr>
                <w:spacing w:val="9"/>
              </w:rPr>
              <w:t>司股票并及时编制、披露权益变动报告书。</w:t>
            </w:r>
          </w:p>
        </w:tc>
      </w:tr>
      <w:tr>
        <w:trPr>
          <w:trHeight w:val="724" w:hRule="atLeast"/>
        </w:trPr>
        <w:tc>
          <w:tcPr>
            <w:tcW w:w="8900" w:type="dxa"/>
            <w:vAlign w:val="top"/>
            <w:gridSpan w:val="3"/>
          </w:tcPr>
          <w:p>
            <w:pPr>
              <w:pStyle w:val="TableText"/>
              <w:ind w:left="122" w:right="105"/>
              <w:spacing w:before="44" w:line="234" w:lineRule="auto"/>
              <w:rPr/>
            </w:pPr>
            <w:r>
              <w:rPr>
                <w:b/>
                <w:bCs/>
                <w:spacing w:val="11"/>
              </w:rPr>
              <w:t>【行政监管措施】</w:t>
            </w:r>
            <w:r>
              <w:rPr>
                <w:spacing w:val="11"/>
              </w:rPr>
              <w:t>中国证券监督管理委员会北京监管局决定对实际控制人冯某霞、周某文采取</w:t>
            </w:r>
            <w:r>
              <w:rPr>
                <w:spacing w:val="3"/>
              </w:rPr>
              <w:t xml:space="preserve"> </w:t>
            </w:r>
            <w:r>
              <w:rPr>
                <w:spacing w:val="7"/>
              </w:rPr>
              <w:t>出具警示函的行政监管措施。</w:t>
            </w:r>
          </w:p>
        </w:tc>
      </w:tr>
      <w:tr>
        <w:trPr>
          <w:trHeight w:val="2523" w:hRule="atLeast"/>
        </w:trPr>
        <w:tc>
          <w:tcPr>
            <w:shd w:val="clear" w:fill="B8CCE4"/>
            <w:tcW w:w="1117" w:type="dxa"/>
            <w:vAlign w:val="top"/>
          </w:tcPr>
          <w:p>
            <w:pPr>
              <w:spacing w:line="272"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192"/>
              <w:spacing w:before="86" w:line="178" w:lineRule="auto"/>
              <w:rPr/>
            </w:pPr>
            <w:r>
              <w:rPr>
                <w:spacing w:val="3"/>
              </w:rPr>
              <w:t>688246</w:t>
            </w:r>
          </w:p>
        </w:tc>
        <w:tc>
          <w:tcPr>
            <w:shd w:val="clear" w:fill="B8CCE4"/>
            <w:tcW w:w="1106" w:type="dxa"/>
            <w:vAlign w:val="top"/>
          </w:tcPr>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125"/>
              <w:spacing w:before="86" w:line="190" w:lineRule="auto"/>
              <w:rPr/>
            </w:pPr>
            <w:r>
              <w:rPr>
                <w:spacing w:val="8"/>
              </w:rPr>
              <w:t>嘉和美康</w:t>
            </w:r>
          </w:p>
        </w:tc>
        <w:tc>
          <w:tcPr>
            <w:shd w:val="clear" w:fill="B8CCE4"/>
            <w:tcW w:w="6677" w:type="dxa"/>
            <w:vAlign w:val="top"/>
          </w:tcPr>
          <w:p>
            <w:pPr>
              <w:pStyle w:val="TableText"/>
              <w:ind w:left="97" w:right="103" w:firstLine="1"/>
              <w:spacing w:before="50" w:line="246" w:lineRule="auto"/>
              <w:jc w:val="both"/>
              <w:rPr/>
            </w:pPr>
            <w:r>
              <w:rPr>
                <w:spacing w:val="12"/>
              </w:rPr>
              <w:t>咸宁市凯旋机会成长基金(有限合伙)作为嘉和美康(北京)</w:t>
            </w:r>
            <w:r>
              <w:rPr>
                <w:spacing w:val="11"/>
              </w:rPr>
              <w:t>科技股份有限</w:t>
            </w:r>
            <w:r>
              <w:rPr/>
              <w:t xml:space="preserve"> </w:t>
            </w:r>
            <w:r>
              <w:rPr>
                <w:spacing w:val="13"/>
              </w:rPr>
              <w:t>公司的股东,在《嘉和美康首次公开发行股票并在科创板上市招股说明</w:t>
            </w:r>
            <w:r>
              <w:rPr>
                <w:spacing w:val="7"/>
              </w:rPr>
              <w:t xml:space="preserve"> </w:t>
            </w:r>
            <w:r>
              <w:rPr>
                <w:spacing w:val="10"/>
              </w:rPr>
              <w:t>书》中承诺:“减持发行人股份时,提前3个交易日予以公告。</w:t>
            </w:r>
            <w:r>
              <w:rPr>
                <w:spacing w:val="-24"/>
              </w:rPr>
              <w:t xml:space="preserve"> </w:t>
            </w:r>
            <w:r>
              <w:rPr>
                <w:spacing w:val="10"/>
              </w:rPr>
              <w:t>”2022年</w:t>
            </w:r>
            <w:r>
              <w:rPr/>
              <w:t xml:space="preserve"> </w:t>
            </w:r>
            <w:r>
              <w:rPr>
                <w:spacing w:val="8"/>
              </w:rPr>
              <w:t>12月14日至2023年1月5日,咸宁市凯旋机会成长基金(有限合伙)在未预</w:t>
            </w:r>
            <w:r>
              <w:rPr>
                <w:spacing w:val="10"/>
              </w:rPr>
              <w:t xml:space="preserve"> </w:t>
            </w:r>
            <w:r>
              <w:rPr>
                <w:spacing w:val="13"/>
              </w:rPr>
              <w:t>先披露减持计划的情况下合计减持公司股份1,878,775股,</w:t>
            </w:r>
            <w:r>
              <w:rPr>
                <w:spacing w:val="-19"/>
              </w:rPr>
              <w:t xml:space="preserve"> </w:t>
            </w:r>
            <w:r>
              <w:rPr>
                <w:spacing w:val="13"/>
              </w:rPr>
              <w:t>占公司总股</w:t>
            </w:r>
            <w:r>
              <w:rPr/>
              <w:t xml:space="preserve"> </w:t>
            </w:r>
            <w:r>
              <w:rPr>
                <w:spacing w:val="11"/>
              </w:rPr>
              <w:t>本的1.36%,直至2023年1月10日才就相关股份买卖情况履行信息披露</w:t>
            </w:r>
            <w:r>
              <w:rPr>
                <w:spacing w:val="17"/>
                <w:w w:val="101"/>
              </w:rPr>
              <w:t xml:space="preserve"> </w:t>
            </w:r>
            <w:r>
              <w:rPr>
                <w:spacing w:val="8"/>
              </w:rPr>
              <w:t>义务,</w:t>
            </w:r>
            <w:r>
              <w:rPr>
                <w:b/>
                <w:bCs/>
                <w:spacing w:val="8"/>
              </w:rPr>
              <w:t>违反了前期承诺。</w:t>
            </w:r>
          </w:p>
        </w:tc>
      </w:tr>
      <w:tr>
        <w:trPr>
          <w:trHeight w:val="725" w:hRule="atLeast"/>
        </w:trPr>
        <w:tc>
          <w:tcPr>
            <w:tcW w:w="8900" w:type="dxa"/>
            <w:vAlign w:val="top"/>
            <w:gridSpan w:val="3"/>
          </w:tcPr>
          <w:p>
            <w:pPr>
              <w:pStyle w:val="TableText"/>
              <w:ind w:left="107" w:right="172" w:firstLine="15"/>
              <w:spacing w:before="51" w:line="232" w:lineRule="auto"/>
              <w:rPr/>
            </w:pPr>
            <w:r>
              <w:rPr>
                <w:b/>
                <w:bCs/>
                <w:spacing w:val="9"/>
              </w:rPr>
              <w:t>【行政监管措施】</w:t>
            </w:r>
            <w:r>
              <w:rPr>
                <w:spacing w:val="9"/>
              </w:rPr>
              <w:t>中国证券监督管理委员会北京监管局决定对凯旋成长采取出具警示函的行政</w:t>
            </w:r>
            <w:r>
              <w:rPr>
                <w:spacing w:val="18"/>
                <w:w w:val="101"/>
              </w:rPr>
              <w:t xml:space="preserve"> </w:t>
            </w:r>
            <w:r>
              <w:rPr>
                <w:spacing w:val="8"/>
              </w:rPr>
              <w:t>监管措施,并将相关违规行为记入诚信档案。</w:t>
            </w:r>
          </w:p>
        </w:tc>
      </w:tr>
      <w:tr>
        <w:trPr>
          <w:trHeight w:val="364" w:hRule="atLeast"/>
        </w:trPr>
        <w:tc>
          <w:tcPr>
            <w:shd w:val="clear" w:fill="B8CCE4"/>
            <w:tcW w:w="1117" w:type="dxa"/>
            <w:vAlign w:val="top"/>
          </w:tcPr>
          <w:p>
            <w:pPr>
              <w:pStyle w:val="TableText"/>
              <w:ind w:left="189"/>
              <w:spacing w:before="108" w:line="172" w:lineRule="auto"/>
              <w:rPr/>
            </w:pPr>
            <w:r>
              <w:rPr>
                <w:spacing w:val="3"/>
              </w:rPr>
              <w:t>002354</w:t>
            </w:r>
          </w:p>
        </w:tc>
        <w:tc>
          <w:tcPr>
            <w:shd w:val="clear" w:fill="B8CCE4"/>
            <w:tcW w:w="1106" w:type="dxa"/>
            <w:vAlign w:val="top"/>
          </w:tcPr>
          <w:p>
            <w:pPr>
              <w:pStyle w:val="TableText"/>
              <w:ind w:left="124"/>
              <w:spacing w:before="96" w:line="180" w:lineRule="auto"/>
              <w:rPr/>
            </w:pPr>
            <w:r>
              <w:rPr>
                <w:spacing w:val="8"/>
              </w:rPr>
              <w:t>天娱数科</w:t>
            </w:r>
          </w:p>
        </w:tc>
        <w:tc>
          <w:tcPr>
            <w:shd w:val="clear" w:fill="B8CCE4"/>
            <w:tcW w:w="6677" w:type="dxa"/>
            <w:vAlign w:val="top"/>
          </w:tcPr>
          <w:p>
            <w:pPr>
              <w:pStyle w:val="TableText"/>
              <w:ind w:left="100"/>
              <w:spacing w:before="93" w:line="182" w:lineRule="auto"/>
              <w:rPr/>
            </w:pPr>
            <w:r>
              <w:rPr>
                <w:spacing w:val="9"/>
              </w:rPr>
              <w:t>交易对手方未向上市公司子公司天神互动</w:t>
            </w:r>
            <w:r>
              <w:rPr>
                <w:b/>
                <w:bCs/>
                <w:spacing w:val="9"/>
              </w:rPr>
              <w:t>履行业绩补偿义务。</w:t>
            </w:r>
          </w:p>
        </w:tc>
      </w:tr>
      <w:tr>
        <w:trPr>
          <w:trHeight w:val="735" w:hRule="atLeast"/>
        </w:trPr>
        <w:tc>
          <w:tcPr>
            <w:tcW w:w="8900" w:type="dxa"/>
            <w:vAlign w:val="top"/>
            <w:gridSpan w:val="3"/>
          </w:tcPr>
          <w:p>
            <w:pPr>
              <w:pStyle w:val="TableText"/>
              <w:ind w:left="105" w:right="172" w:firstLine="17"/>
              <w:spacing w:before="52" w:line="235" w:lineRule="auto"/>
              <w:rPr/>
            </w:pPr>
            <w:r>
              <w:rPr>
                <w:b/>
                <w:bCs/>
                <w:spacing w:val="9"/>
              </w:rPr>
              <w:t>【行政监管措施】</w:t>
            </w:r>
            <w:r>
              <w:rPr>
                <w:spacing w:val="9"/>
              </w:rPr>
              <w:t>中国证券监督管理委员会大连监管局决定对交易对手方张某文、</w:t>
            </w:r>
            <w:r>
              <w:rPr>
                <w:spacing w:val="-39"/>
              </w:rPr>
              <w:t xml:space="preserve"> </w:t>
            </w:r>
            <w:r>
              <w:rPr>
                <w:spacing w:val="9"/>
              </w:rPr>
              <w:t>印某采</w:t>
            </w:r>
            <w:r>
              <w:rPr>
                <w:spacing w:val="8"/>
              </w:rPr>
              <w:t>取责</w:t>
            </w:r>
            <w:r>
              <w:rPr/>
              <w:t xml:space="preserve"> </w:t>
            </w:r>
            <w:r>
              <w:rPr>
                <w:spacing w:val="8"/>
              </w:rPr>
              <w:t>令改正的行政监管措施</w:t>
            </w:r>
            <w:r>
              <w:rPr>
                <w:spacing w:val="-14"/>
              </w:rPr>
              <w:t xml:space="preserve"> </w:t>
            </w:r>
            <w:r>
              <w:rPr>
                <w:spacing w:val="8"/>
              </w:rPr>
              <w:t>，并将相关情况记入证券期货市场诚信档案。</w:t>
            </w:r>
          </w:p>
        </w:tc>
      </w:tr>
    </w:tbl>
    <w:p>
      <w:pPr>
        <w:pStyle w:val="BodyText"/>
        <w:rPr/>
      </w:pPr>
      <w:r/>
    </w:p>
    <w:p>
      <w:pPr>
        <w:sectPr>
          <w:pgSz w:w="11910" w:h="16840"/>
          <w:pgMar w:top="400" w:right="1692" w:bottom="0" w:left="1302"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9"/>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上交所监管动态</w:t>
                    </w:r>
                  </w:p>
                </w:txbxContent>
              </v:textbox>
            </v:shape>
          </v:group>
        </w:pict>
      </w:r>
    </w:p>
    <w:p>
      <w:pPr>
        <w:pStyle w:val="BodyText"/>
        <w:spacing w:line="280" w:lineRule="auto"/>
        <w:rPr/>
      </w:pPr>
      <w:r/>
    </w:p>
    <w:p>
      <w:pPr>
        <w:ind w:left="473"/>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6"/>
        </w:rPr>
        <w:t>1、上市公司监管动态</w:t>
      </w:r>
    </w:p>
    <w:p>
      <w:pPr>
        <w:ind w:left="425" w:firstLine="481"/>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5"/>
        </w:rPr>
        <w:t>2</w:t>
      </w:r>
      <w:r>
        <w:rPr>
          <w:rFonts w:ascii="Microsoft YaHei" w:hAnsi="Microsoft YaHei" w:eastAsia="Microsoft YaHei" w:cs="Microsoft YaHei"/>
          <w:sz w:val="24"/>
          <w:szCs w:val="24"/>
          <w:spacing w:val="-4"/>
        </w:rPr>
        <w:t>024年3月4日-3月10日</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4"/>
        </w:rPr>
        <w:t>，上交所公司监管部门作</w:t>
      </w:r>
      <w:r>
        <w:rPr>
          <w:rFonts w:ascii="Microsoft YaHei" w:hAnsi="Microsoft YaHei" w:eastAsia="Microsoft YaHei" w:cs="Microsoft YaHei"/>
          <w:sz w:val="24"/>
          <w:szCs w:val="24"/>
          <w:spacing w:val="-5"/>
        </w:rPr>
        <w:t>出2份监管警示函。同时，加大信息披露和股</w:t>
      </w:r>
      <w:r>
        <w:rPr>
          <w:rFonts w:ascii="Microsoft YaHei" w:hAnsi="Microsoft YaHei" w:eastAsia="Microsoft YaHei" w:cs="Microsoft YaHei"/>
          <w:sz w:val="24"/>
          <w:szCs w:val="24"/>
          <w:spacing w:val="-4"/>
        </w:rPr>
        <w:t>价</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5"/>
        </w:rPr>
        <w:t>异常的联动监管</w:t>
      </w:r>
      <w:r>
        <w:rPr>
          <w:rFonts w:ascii="Microsoft YaHei" w:hAnsi="Microsoft YaHei" w:eastAsia="Microsoft YaHei" w:cs="Microsoft YaHei"/>
          <w:sz w:val="24"/>
          <w:szCs w:val="24"/>
          <w:spacing w:val="-39"/>
        </w:rPr>
        <w:t xml:space="preserve"> </w:t>
      </w:r>
      <w:r>
        <w:rPr>
          <w:rFonts w:ascii="Microsoft YaHei" w:hAnsi="Microsoft YaHei" w:eastAsia="Microsoft YaHei" w:cs="Microsoft YaHei"/>
          <w:sz w:val="24"/>
          <w:szCs w:val="24"/>
          <w:spacing w:val="-5"/>
        </w:rPr>
        <w:t>，针对公司披露敏感信息或股价</w:t>
      </w:r>
      <w:r>
        <w:rPr>
          <w:rFonts w:ascii="Microsoft YaHei" w:hAnsi="Microsoft YaHei" w:eastAsia="Microsoft YaHei" w:cs="Microsoft YaHei"/>
          <w:sz w:val="24"/>
          <w:szCs w:val="24"/>
          <w:spacing w:val="-6"/>
        </w:rPr>
        <w:t>发生明显异常的</w:t>
      </w:r>
      <w:r>
        <w:rPr>
          <w:rFonts w:ascii="Microsoft YaHei" w:hAnsi="Microsoft YaHei" w:eastAsia="Microsoft YaHei" w:cs="Microsoft YaHei"/>
          <w:sz w:val="24"/>
          <w:szCs w:val="24"/>
          <w:spacing w:val="-40"/>
        </w:rPr>
        <w:t xml:space="preserve"> </w:t>
      </w:r>
      <w:r>
        <w:rPr>
          <w:rFonts w:ascii="Microsoft YaHei" w:hAnsi="Microsoft YaHei" w:eastAsia="Microsoft YaHei" w:cs="Microsoft YaHei"/>
          <w:sz w:val="24"/>
          <w:szCs w:val="24"/>
          <w:spacing w:val="-6"/>
        </w:rPr>
        <w:t>，提请启动内幕交易、异常交易核查</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13单。</w:t>
      </w:r>
    </w:p>
    <w:p>
      <w:pPr>
        <w:ind w:firstLine="1606"/>
        <w:spacing w:before="90" w:line="3448" w:lineRule="exact"/>
        <w:rPr/>
      </w:pPr>
      <w:r>
        <w:rPr>
          <w:position w:val="-68"/>
        </w:rPr>
        <w:drawing>
          <wp:inline distT="0" distB="0" distL="0" distR="0">
            <wp:extent cx="5039994" cy="2189480"/>
            <wp:effectExtent l="0" t="0" r="0" b="0"/>
            <wp:docPr id="12" name="IM 12"/>
            <wp:cNvGraphicFramePr/>
            <a:graphic>
              <a:graphicData uri="http://schemas.openxmlformats.org/drawingml/2006/picture">
                <pic:pic>
                  <pic:nvPicPr>
                    <pic:cNvPr id="12" name="IM 12"/>
                    <pic:cNvPicPr/>
                  </pic:nvPicPr>
                  <pic:blipFill>
                    <a:blip r:embed="rId10"/>
                    <a:stretch>
                      <a:fillRect/>
                    </a:stretch>
                  </pic:blipFill>
                  <pic:spPr>
                    <a:xfrm rot="0">
                      <a:off x="0" y="0"/>
                      <a:ext cx="5039994" cy="2189480"/>
                    </a:xfrm>
                    <a:prstGeom prst="rect">
                      <a:avLst/>
                    </a:prstGeom>
                  </pic:spPr>
                </pic:pic>
              </a:graphicData>
            </a:graphic>
          </wp:inline>
        </w:drawing>
      </w:r>
    </w:p>
    <w:p>
      <w:pPr>
        <w:ind w:left="226"/>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0"/>
        </w:rPr>
        <w:t>（</w:t>
      </w:r>
      <w:r>
        <w:rPr>
          <w:rFonts w:ascii="Microsoft YaHei" w:hAnsi="Microsoft YaHei" w:eastAsia="Microsoft YaHei" w:cs="Microsoft YaHei"/>
          <w:sz w:val="24"/>
          <w:szCs w:val="24"/>
          <w:b/>
          <w:bCs/>
          <w:color w:val="333333"/>
          <w:spacing w:val="22"/>
        </w:rPr>
        <w:t xml:space="preserve"> </w:t>
      </w:r>
      <w:r>
        <w:rPr>
          <w:rFonts w:ascii="Microsoft YaHei" w:hAnsi="Microsoft YaHei" w:eastAsia="Microsoft YaHei" w:cs="Microsoft YaHei"/>
          <w:sz w:val="24"/>
          <w:szCs w:val="24"/>
          <w:b/>
          <w:bCs/>
          <w:color w:val="333333"/>
          <w:spacing w:val="-20"/>
        </w:rPr>
        <w:t>1 ）监管措施统计</w:t>
      </w:r>
    </w:p>
    <w:tbl>
      <w:tblPr>
        <w:tblStyle w:val="TableNormal"/>
        <w:tblW w:w="8819" w:type="dxa"/>
        <w:tblInd w:w="1202"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6" w:hRule="atLeast"/>
        </w:trPr>
        <w:tc>
          <w:tcPr>
            <w:shd w:val="clear" w:fill="C0504D"/>
            <w:tcW w:w="1276" w:type="dxa"/>
            <w:vAlign w:val="top"/>
            <w:tcBorders>
              <w:bottom w:val="single" w:color="C0504D"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C0504D" w:sz="10" w:space="0"/>
            </w:tcBorders>
          </w:tcPr>
          <w:p>
            <w:pPr>
              <w:pStyle w:val="TableText"/>
              <w:ind w:left="179"/>
              <w:spacing w:before="92" w:line="189" w:lineRule="auto"/>
              <w:rPr/>
            </w:pPr>
            <w:r>
              <w:rPr>
                <w:b/>
                <w:bCs/>
                <w:color w:val="FFFFFF"/>
                <w:spacing w:val="8"/>
              </w:rPr>
              <w:t>公司简称</w:t>
            </w:r>
          </w:p>
        </w:tc>
        <w:tc>
          <w:tcPr>
            <w:shd w:val="clear" w:fill="C0504D"/>
            <w:tcW w:w="1324" w:type="dxa"/>
            <w:vAlign w:val="top"/>
            <w:tcBorders>
              <w:bottom w:val="single" w:color="C0504D" w:sz="10" w:space="0"/>
            </w:tcBorders>
          </w:tcPr>
          <w:p>
            <w:pPr>
              <w:pStyle w:val="TableText"/>
              <w:ind w:left="246"/>
              <w:spacing w:before="93" w:line="188" w:lineRule="auto"/>
              <w:rPr/>
            </w:pPr>
            <w:r>
              <w:rPr>
                <w:b/>
                <w:bCs/>
                <w:color w:val="FFFFFF"/>
                <w:spacing w:val="5"/>
              </w:rPr>
              <w:t>函件类别</w:t>
            </w:r>
          </w:p>
        </w:tc>
        <w:tc>
          <w:tcPr>
            <w:shd w:val="clear" w:fill="C0504D"/>
            <w:tcW w:w="5004" w:type="dxa"/>
            <w:vAlign w:val="top"/>
            <w:tcBorders>
              <w:bottom w:val="single" w:color="C0504D" w:sz="10" w:space="0"/>
            </w:tcBorders>
          </w:tcPr>
          <w:p>
            <w:pPr>
              <w:pStyle w:val="TableText"/>
              <w:ind w:left="2074"/>
              <w:spacing w:before="92" w:line="189" w:lineRule="auto"/>
              <w:rPr/>
            </w:pPr>
            <w:r>
              <w:rPr>
                <w:b/>
                <w:bCs/>
                <w:color w:val="FFFFFF"/>
                <w:spacing w:val="8"/>
              </w:rPr>
              <w:t>违规类型</w:t>
            </w:r>
          </w:p>
        </w:tc>
      </w:tr>
      <w:tr>
        <w:trPr>
          <w:trHeight w:val="715" w:hRule="atLeast"/>
        </w:trPr>
        <w:tc>
          <w:tcPr>
            <w:tcW w:w="1276" w:type="dxa"/>
            <w:vAlign w:val="top"/>
            <w:tcBorders>
              <w:top w:val="single" w:color="C0504D" w:sz="10" w:space="0"/>
            </w:tcBorders>
          </w:tcPr>
          <w:p>
            <w:pPr>
              <w:pStyle w:val="TableText"/>
              <w:ind w:left="270"/>
              <w:spacing w:before="93" w:line="179" w:lineRule="auto"/>
              <w:rPr/>
            </w:pPr>
            <w:r>
              <w:rPr>
                <w:spacing w:val="3"/>
              </w:rPr>
              <w:t>600133</w:t>
            </w:r>
          </w:p>
        </w:tc>
        <w:tc>
          <w:tcPr>
            <w:tcW w:w="1215" w:type="dxa"/>
            <w:vAlign w:val="top"/>
            <w:tcBorders>
              <w:top w:val="single" w:color="C0504D" w:sz="10" w:space="0"/>
            </w:tcBorders>
          </w:tcPr>
          <w:p>
            <w:pPr>
              <w:pStyle w:val="TableText"/>
              <w:ind w:left="177"/>
              <w:spacing w:before="78" w:line="190" w:lineRule="auto"/>
              <w:rPr/>
            </w:pPr>
            <w:r>
              <w:rPr>
                <w:spacing w:val="8"/>
              </w:rPr>
              <w:t>东湖高新</w:t>
            </w:r>
          </w:p>
        </w:tc>
        <w:tc>
          <w:tcPr>
            <w:tcW w:w="1324" w:type="dxa"/>
            <w:vAlign w:val="top"/>
            <w:tcBorders>
              <w:top w:val="single" w:color="C0504D" w:sz="10" w:space="0"/>
            </w:tcBorders>
          </w:tcPr>
          <w:p>
            <w:pPr>
              <w:pStyle w:val="TableText"/>
              <w:ind w:left="236"/>
              <w:spacing w:before="80" w:line="189" w:lineRule="auto"/>
              <w:rPr/>
            </w:pPr>
            <w:r>
              <w:rPr>
                <w:spacing w:val="8"/>
              </w:rPr>
              <w:t>监管警示</w:t>
            </w:r>
          </w:p>
        </w:tc>
        <w:tc>
          <w:tcPr>
            <w:tcW w:w="5004" w:type="dxa"/>
            <w:vAlign w:val="top"/>
            <w:tcBorders>
              <w:top w:val="single" w:color="C0504D" w:sz="10" w:space="0"/>
            </w:tcBorders>
          </w:tcPr>
          <w:p>
            <w:pPr>
              <w:pStyle w:val="TableText"/>
              <w:ind w:left="4" w:right="159" w:hanging="1"/>
              <w:spacing w:before="78" w:line="219" w:lineRule="auto"/>
              <w:rPr/>
            </w:pPr>
            <w:r>
              <w:rPr>
                <w:b/>
                <w:bCs/>
                <w:spacing w:val="9"/>
              </w:rPr>
              <w:t>关联交易</w:t>
            </w:r>
            <w:r>
              <w:rPr>
                <w:spacing w:val="9"/>
              </w:rPr>
              <w:t>未及时履行披露义务；</w:t>
            </w:r>
            <w:r>
              <w:rPr>
                <w:b/>
                <w:bCs/>
                <w:spacing w:val="9"/>
              </w:rPr>
              <w:t>关联担保</w:t>
            </w:r>
            <w:r>
              <w:rPr>
                <w:spacing w:val="9"/>
              </w:rPr>
              <w:t>未及时重新</w:t>
            </w:r>
            <w:r>
              <w:rPr>
                <w:spacing w:val="17"/>
                <w:w w:val="101"/>
              </w:rPr>
              <w:t xml:space="preserve"> </w:t>
            </w:r>
            <w:r>
              <w:rPr>
                <w:spacing w:val="7"/>
              </w:rPr>
              <w:t>履行审议程序；</w:t>
            </w:r>
            <w:r>
              <w:rPr>
                <w:spacing w:val="-19"/>
              </w:rPr>
              <w:t xml:space="preserve"> </w:t>
            </w:r>
            <w:r>
              <w:rPr>
                <w:b/>
                <w:bCs/>
                <w:spacing w:val="7"/>
              </w:rPr>
              <w:t>2022年年报</w:t>
            </w:r>
            <w:r>
              <w:rPr>
                <w:spacing w:val="7"/>
              </w:rPr>
              <w:t>部分数据披露不准确。</w:t>
            </w:r>
          </w:p>
        </w:tc>
      </w:tr>
      <w:tr>
        <w:trPr>
          <w:trHeight w:val="729" w:hRule="atLeast"/>
        </w:trPr>
        <w:tc>
          <w:tcPr>
            <w:shd w:val="clear" w:fill="F2DCDC"/>
            <w:tcW w:w="1276" w:type="dxa"/>
            <w:vAlign w:val="top"/>
          </w:tcPr>
          <w:p>
            <w:pPr>
              <w:pStyle w:val="TableText"/>
              <w:ind w:left="270"/>
              <w:spacing w:before="104" w:line="178" w:lineRule="auto"/>
              <w:rPr/>
            </w:pPr>
            <w:r>
              <w:rPr>
                <w:spacing w:val="3"/>
              </w:rPr>
              <w:t>600982</w:t>
            </w:r>
          </w:p>
        </w:tc>
        <w:tc>
          <w:tcPr>
            <w:shd w:val="clear" w:fill="F2DCDC"/>
            <w:tcW w:w="1215" w:type="dxa"/>
            <w:vAlign w:val="top"/>
          </w:tcPr>
          <w:p>
            <w:pPr>
              <w:pStyle w:val="TableText"/>
              <w:ind w:left="181"/>
              <w:spacing w:before="88" w:line="190" w:lineRule="auto"/>
              <w:rPr/>
            </w:pPr>
            <w:r>
              <w:rPr>
                <w:spacing w:val="8"/>
              </w:rPr>
              <w:t>宁波能源</w:t>
            </w:r>
          </w:p>
        </w:tc>
        <w:tc>
          <w:tcPr>
            <w:shd w:val="clear" w:fill="F2DCDC"/>
            <w:tcW w:w="1324" w:type="dxa"/>
            <w:vAlign w:val="top"/>
          </w:tcPr>
          <w:p>
            <w:pPr>
              <w:pStyle w:val="TableText"/>
              <w:ind w:left="236"/>
              <w:spacing w:before="89" w:line="189" w:lineRule="auto"/>
              <w:rPr/>
            </w:pPr>
            <w:r>
              <w:rPr>
                <w:spacing w:val="8"/>
              </w:rPr>
              <w:t>监管警示</w:t>
            </w:r>
          </w:p>
        </w:tc>
        <w:tc>
          <w:tcPr>
            <w:shd w:val="clear" w:fill="F2DCDC"/>
            <w:tcW w:w="5004" w:type="dxa"/>
            <w:vAlign w:val="top"/>
          </w:tcPr>
          <w:p>
            <w:pPr>
              <w:pStyle w:val="TableText"/>
              <w:ind w:left="1" w:right="200" w:firstLine="11"/>
              <w:spacing w:before="87" w:line="221" w:lineRule="auto"/>
              <w:rPr/>
            </w:pPr>
            <w:r>
              <w:rPr>
                <w:spacing w:val="8"/>
              </w:rPr>
              <w:t>2022年年度报告</w:t>
            </w:r>
            <w:r>
              <w:rPr>
                <w:b/>
                <w:bCs/>
                <w:spacing w:val="8"/>
              </w:rPr>
              <w:t>营业收入错报</w:t>
            </w:r>
            <w:r>
              <w:rPr>
                <w:spacing w:val="8"/>
              </w:rPr>
              <w:t>；调减</w:t>
            </w:r>
            <w:r>
              <w:rPr>
                <w:b/>
                <w:bCs/>
                <w:spacing w:val="8"/>
              </w:rPr>
              <w:t>2023年前三季</w:t>
            </w:r>
            <w:r>
              <w:rPr>
                <w:b/>
                <w:bCs/>
                <w:spacing w:val="4"/>
              </w:rPr>
              <w:t xml:space="preserve"> </w:t>
            </w:r>
            <w:r>
              <w:rPr>
                <w:b/>
                <w:bCs/>
                <w:spacing w:val="8"/>
              </w:rPr>
              <w:t>度营业收入</w:t>
            </w:r>
            <w:r>
              <w:rPr>
                <w:spacing w:val="8"/>
              </w:rPr>
              <w:t>。</w:t>
            </w:r>
          </w:p>
        </w:tc>
      </w:tr>
    </w:tbl>
    <w:p>
      <w:pPr>
        <w:ind w:left="226"/>
        <w:spacing w:before="13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8"/>
        </w:rPr>
        <w:t>（ 2</w:t>
      </w:r>
      <w:r>
        <w:rPr>
          <w:rFonts w:ascii="Microsoft YaHei" w:hAnsi="Microsoft YaHei" w:eastAsia="Microsoft YaHei" w:cs="Microsoft YaHei"/>
          <w:sz w:val="24"/>
          <w:szCs w:val="24"/>
          <w:b/>
          <w:bCs/>
          <w:color w:val="333333"/>
          <w:spacing w:val="21"/>
        </w:rPr>
        <w:t xml:space="preserve"> </w:t>
      </w:r>
      <w:r>
        <w:rPr>
          <w:rFonts w:ascii="Microsoft YaHei" w:hAnsi="Microsoft YaHei" w:eastAsia="Microsoft YaHei" w:cs="Microsoft YaHei"/>
          <w:sz w:val="24"/>
          <w:szCs w:val="24"/>
          <w:b/>
          <w:bCs/>
          <w:color w:val="333333"/>
          <w:spacing w:val="-18"/>
        </w:rPr>
        <w:t>）函件统计</w:t>
      </w:r>
    </w:p>
    <w:p>
      <w:pPr>
        <w:ind w:left="862"/>
        <w:spacing w:before="294"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2024年3月4日-3月10日</w:t>
      </w:r>
      <w:r>
        <w:rPr>
          <w:rFonts w:ascii="Microsoft YaHei" w:hAnsi="Microsoft YaHei" w:eastAsia="Microsoft YaHei" w:cs="Microsoft YaHei"/>
          <w:sz w:val="22"/>
          <w:szCs w:val="22"/>
          <w:spacing w:val="-23"/>
        </w:rPr>
        <w:t xml:space="preserve"> </w:t>
      </w:r>
      <w:r>
        <w:rPr>
          <w:rFonts w:ascii="Microsoft YaHei" w:hAnsi="Microsoft YaHei" w:eastAsia="Microsoft YaHei" w:cs="Microsoft YaHei"/>
          <w:sz w:val="22"/>
          <w:szCs w:val="22"/>
          <w:spacing w:val="-5"/>
        </w:rPr>
        <w:t>，上交所未发出监管问询函。</w:t>
      </w:r>
    </w:p>
    <w:p>
      <w:pPr>
        <w:pStyle w:val="BodyText"/>
        <w:spacing w:line="260" w:lineRule="auto"/>
        <w:rPr/>
      </w:pPr>
      <w:r/>
    </w:p>
    <w:p>
      <w:pPr>
        <w:ind w:left="442"/>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2、市场交易监管</w:t>
      </w:r>
    </w:p>
    <w:p>
      <w:pPr>
        <w:pStyle w:val="BodyText"/>
        <w:spacing w:line="263" w:lineRule="auto"/>
        <w:rPr/>
      </w:pPr>
      <w:r/>
    </w:p>
    <w:p>
      <w:pPr>
        <w:ind w:left="401" w:right="28" w:firstLine="460"/>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2024年3月4日-3月10日</w:t>
      </w:r>
      <w:r>
        <w:rPr>
          <w:rFonts w:ascii="Microsoft YaHei" w:hAnsi="Microsoft YaHei" w:eastAsia="Microsoft YaHei" w:cs="Microsoft YaHei"/>
          <w:sz w:val="22"/>
          <w:szCs w:val="22"/>
          <w:spacing w:val="-29"/>
        </w:rPr>
        <w:t xml:space="preserve"> </w:t>
      </w:r>
      <w:r>
        <w:rPr>
          <w:rFonts w:ascii="Microsoft YaHei" w:hAnsi="Microsoft YaHei" w:eastAsia="Microsoft YaHei" w:cs="Microsoft YaHei"/>
          <w:sz w:val="22"/>
          <w:szCs w:val="22"/>
          <w:spacing w:val="-1"/>
        </w:rPr>
        <w:t>，上交所对111起拉抬打压、虚假申报等证券异常交易行为采取了书面警示等监</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管措施</w:t>
      </w:r>
      <w:r>
        <w:rPr>
          <w:rFonts w:ascii="Microsoft YaHei" w:hAnsi="Microsoft YaHei" w:eastAsia="Microsoft YaHei" w:cs="Microsoft YaHei"/>
          <w:sz w:val="22"/>
          <w:szCs w:val="22"/>
          <w:spacing w:val="-21"/>
        </w:rPr>
        <w:t xml:space="preserve"> </w:t>
      </w:r>
      <w:r>
        <w:rPr>
          <w:rFonts w:ascii="Microsoft YaHei" w:hAnsi="Microsoft YaHei" w:eastAsia="Microsoft YaHei" w:cs="Microsoft YaHei"/>
          <w:sz w:val="22"/>
          <w:szCs w:val="22"/>
          <w:spacing w:val="-2"/>
        </w:rPr>
        <w:t>，对严重异常波动股票进行重点监控</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2"/>
        </w:rPr>
        <w:t>，对18起上市公司重大事项等进行专项核查。</w:t>
      </w:r>
    </w:p>
    <w:p>
      <w:pPr>
        <w:spacing w:line="198" w:lineRule="auto"/>
        <w:sectPr>
          <w:pgSz w:w="11910" w:h="16840"/>
          <w:pgMar w:top="374" w:right="565" w:bottom="0" w:left="463" w:header="0" w:footer="0" w:gutter="0"/>
        </w:sectPr>
        <w:rPr>
          <w:rFonts w:ascii="Microsoft YaHei" w:hAnsi="Microsoft YaHei" w:eastAsia="Microsoft YaHei" w:cs="Microsoft YaHei"/>
          <w:sz w:val="22"/>
          <w:szCs w:val="22"/>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9"/>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41"/>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6"/>
        </w:rPr>
        <w:t>1、上市公司监管动态</w:t>
      </w:r>
    </w:p>
    <w:p>
      <w:pPr>
        <w:ind w:left="1308"/>
        <w:spacing w:before="328"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5"/>
        </w:rPr>
        <w:t>2024年3月4日-3月10日，深交所发出3份监管函，对1宗行为予以纪律处分</w:t>
      </w:r>
      <w:r>
        <w:rPr>
          <w:rFonts w:ascii="Microsoft YaHei" w:hAnsi="Microsoft YaHei" w:eastAsia="Microsoft YaHei" w:cs="Microsoft YaHei"/>
          <w:sz w:val="22"/>
          <w:szCs w:val="22"/>
          <w:spacing w:val="-6"/>
        </w:rPr>
        <w:t>；共发出关注函5份。</w:t>
      </w:r>
    </w:p>
    <w:p>
      <w:pPr>
        <w:pStyle w:val="BodyText"/>
        <w:spacing w:line="241" w:lineRule="auto"/>
        <w:rPr/>
      </w:pPr>
      <w:r/>
    </w:p>
    <w:p>
      <w:pPr>
        <w:ind w:firstLine="1815"/>
        <w:spacing w:line="4331" w:lineRule="exact"/>
        <w:rPr/>
      </w:pPr>
      <w:r>
        <w:rPr>
          <w:position w:val="-86"/>
        </w:rPr>
        <w:drawing>
          <wp:inline distT="0" distB="0" distL="0" distR="0">
            <wp:extent cx="5493384" cy="2750184"/>
            <wp:effectExtent l="0" t="0" r="0" b="0"/>
            <wp:docPr id="14" name="IM 14"/>
            <wp:cNvGraphicFramePr/>
            <a:graphic>
              <a:graphicData uri="http://schemas.openxmlformats.org/drawingml/2006/picture">
                <pic:pic>
                  <pic:nvPicPr>
                    <pic:cNvPr id="14" name="IM 14"/>
                    <pic:cNvPicPr/>
                  </pic:nvPicPr>
                  <pic:blipFill>
                    <a:blip r:embed="rId11"/>
                    <a:stretch>
                      <a:fillRect/>
                    </a:stretch>
                  </pic:blipFill>
                  <pic:spPr>
                    <a:xfrm rot="0">
                      <a:off x="0" y="0"/>
                      <a:ext cx="5493384" cy="2750184"/>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6" w:lineRule="auto"/>
        <w:rPr/>
      </w:pPr>
      <w:r/>
    </w:p>
    <w:p>
      <w:pPr>
        <w:ind w:left="68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0"/>
          <w:w w:val="96"/>
        </w:rPr>
        <w:t>（</w:t>
      </w:r>
      <w:r>
        <w:rPr>
          <w:rFonts w:ascii="Microsoft YaHei" w:hAnsi="Microsoft YaHei" w:eastAsia="Microsoft YaHei" w:cs="Microsoft YaHei"/>
          <w:sz w:val="24"/>
          <w:szCs w:val="24"/>
          <w:b/>
          <w:bCs/>
          <w:spacing w:val="48"/>
        </w:rPr>
        <w:t xml:space="preserve"> </w:t>
      </w:r>
      <w:r>
        <w:rPr>
          <w:rFonts w:ascii="Microsoft YaHei" w:hAnsi="Microsoft YaHei" w:eastAsia="Microsoft YaHei" w:cs="Microsoft YaHei"/>
          <w:sz w:val="24"/>
          <w:szCs w:val="24"/>
          <w:b/>
          <w:bCs/>
          <w:spacing w:val="-10"/>
          <w:w w:val="96"/>
        </w:rPr>
        <w:t>1</w:t>
      </w:r>
      <w:r>
        <w:rPr>
          <w:rFonts w:ascii="Microsoft YaHei" w:hAnsi="Microsoft YaHei" w:eastAsia="Microsoft YaHei" w:cs="Microsoft YaHei"/>
          <w:sz w:val="24"/>
          <w:szCs w:val="24"/>
          <w:b/>
          <w:bCs/>
          <w:spacing w:val="34"/>
        </w:rPr>
        <w:t xml:space="preserve"> </w:t>
      </w:r>
      <w:r>
        <w:rPr>
          <w:rFonts w:ascii="Microsoft YaHei" w:hAnsi="Microsoft YaHei" w:eastAsia="Microsoft YaHei" w:cs="Microsoft YaHei"/>
          <w:sz w:val="24"/>
          <w:szCs w:val="24"/>
          <w:b/>
          <w:bCs/>
          <w:spacing w:val="-10"/>
          <w:w w:val="96"/>
        </w:rPr>
        <w:t>）纪律处分及监管措施</w:t>
      </w:r>
    </w:p>
    <w:p>
      <w:pPr>
        <w:spacing w:before="51"/>
        <w:rPr/>
      </w:pPr>
      <w:r/>
    </w:p>
    <w:tbl>
      <w:tblPr>
        <w:tblStyle w:val="TableNormal"/>
        <w:tblW w:w="9343" w:type="dxa"/>
        <w:tblInd w:w="1064"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626"/>
        <w:gridCol w:w="1484"/>
        <w:gridCol w:w="1498"/>
        <w:gridCol w:w="4735"/>
      </w:tblGrid>
      <w:tr>
        <w:trPr>
          <w:trHeight w:val="640" w:hRule="atLeast"/>
        </w:trPr>
        <w:tc>
          <w:tcPr>
            <w:shd w:val="clear" w:fill="4BACC6"/>
            <w:tcW w:w="1626" w:type="dxa"/>
            <w:vAlign w:val="top"/>
          </w:tcPr>
          <w:p>
            <w:pPr>
              <w:pStyle w:val="TableText"/>
              <w:ind w:left="374"/>
              <w:spacing w:before="93"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3"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9"/>
              <w:spacing w:before="91" w:line="184" w:lineRule="auto"/>
              <w:rPr>
                <w:sz w:val="22"/>
                <w:szCs w:val="22"/>
              </w:rPr>
            </w:pPr>
            <w:r>
              <w:rPr>
                <w:sz w:val="22"/>
                <w:szCs w:val="22"/>
                <w:b/>
                <w:bCs/>
                <w:color w:val="FFFFFF"/>
                <w:spacing w:val="-1"/>
              </w:rPr>
              <w:t>监管类型</w:t>
            </w:r>
          </w:p>
        </w:tc>
        <w:tc>
          <w:tcPr>
            <w:shd w:val="clear" w:fill="4BACC6"/>
            <w:tcW w:w="4735" w:type="dxa"/>
            <w:vAlign w:val="top"/>
            <w:tcBorders>
              <w:top w:val="nil"/>
            </w:tcBorders>
          </w:tcPr>
          <w:p>
            <w:pPr>
              <w:pStyle w:val="TableText"/>
              <w:ind w:left="1924"/>
              <w:spacing w:before="91" w:line="184" w:lineRule="auto"/>
              <w:rPr>
                <w:sz w:val="22"/>
                <w:szCs w:val="22"/>
              </w:rPr>
            </w:pPr>
            <w:r>
              <w:rPr>
                <w:sz w:val="22"/>
                <w:szCs w:val="22"/>
                <w:b/>
                <w:bCs/>
                <w:color w:val="FFFFFF"/>
                <w:spacing w:val="-1"/>
              </w:rPr>
              <w:t>处理事由</w:t>
            </w:r>
          </w:p>
        </w:tc>
      </w:tr>
      <w:tr>
        <w:trPr>
          <w:trHeight w:val="724" w:hRule="atLeast"/>
        </w:trPr>
        <w:tc>
          <w:tcPr>
            <w:tcW w:w="1626" w:type="dxa"/>
            <w:vAlign w:val="top"/>
          </w:tcPr>
          <w:p>
            <w:pPr>
              <w:pStyle w:val="TableText"/>
              <w:ind w:left="448"/>
              <w:spacing w:before="281" w:line="178" w:lineRule="auto"/>
              <w:rPr/>
            </w:pPr>
            <w:r>
              <w:rPr>
                <w:spacing w:val="3"/>
              </w:rPr>
              <w:t>002225</w:t>
            </w:r>
          </w:p>
        </w:tc>
        <w:tc>
          <w:tcPr>
            <w:tcW w:w="1484" w:type="dxa"/>
            <w:vAlign w:val="top"/>
          </w:tcPr>
          <w:p>
            <w:pPr>
              <w:pStyle w:val="TableText"/>
              <w:ind w:left="321"/>
              <w:spacing w:before="268" w:line="188" w:lineRule="auto"/>
              <w:rPr/>
            </w:pPr>
            <w:r>
              <w:rPr>
                <w:spacing w:val="8"/>
              </w:rPr>
              <w:t>濮耐股份</w:t>
            </w:r>
          </w:p>
        </w:tc>
        <w:tc>
          <w:tcPr>
            <w:tcW w:w="1498" w:type="dxa"/>
            <w:vAlign w:val="top"/>
          </w:tcPr>
          <w:p>
            <w:pPr>
              <w:pStyle w:val="TableText"/>
              <w:ind w:left="434"/>
              <w:spacing w:before="266" w:line="189" w:lineRule="auto"/>
              <w:rPr/>
            </w:pPr>
            <w:r>
              <w:rPr>
                <w:spacing w:val="8"/>
              </w:rPr>
              <w:t>监管函</w:t>
            </w:r>
          </w:p>
        </w:tc>
        <w:tc>
          <w:tcPr>
            <w:tcW w:w="4735" w:type="dxa"/>
            <w:vAlign w:val="top"/>
          </w:tcPr>
          <w:p>
            <w:pPr>
              <w:pStyle w:val="TableText"/>
              <w:ind w:left="129" w:right="296" w:hanging="21"/>
              <w:spacing w:before="87" w:line="219" w:lineRule="auto"/>
              <w:rPr/>
            </w:pPr>
            <w:r>
              <w:rPr>
                <w:spacing w:val="9"/>
              </w:rPr>
              <w:t>公司未在预计触发转股价格修正条件的</w:t>
            </w:r>
            <w:r>
              <w:rPr>
                <w:b/>
                <w:bCs/>
                <w:spacing w:val="9"/>
              </w:rPr>
              <w:t>5个交易</w:t>
            </w:r>
            <w:r>
              <w:rPr>
                <w:b/>
                <w:bCs/>
                <w:spacing w:val="11"/>
              </w:rPr>
              <w:t xml:space="preserve"> </w:t>
            </w:r>
            <w:r>
              <w:rPr>
                <w:b/>
                <w:bCs/>
                <w:spacing w:val="7"/>
              </w:rPr>
              <w:t>日前</w:t>
            </w:r>
            <w:r>
              <w:rPr>
                <w:spacing w:val="7"/>
              </w:rPr>
              <w:t>及时披露相关提示性公告。</w:t>
            </w:r>
          </w:p>
        </w:tc>
      </w:tr>
      <w:tr>
        <w:trPr>
          <w:trHeight w:val="1805" w:hRule="atLeast"/>
        </w:trPr>
        <w:tc>
          <w:tcPr>
            <w:shd w:val="clear" w:fill="B8CCE4"/>
            <w:tcW w:w="1626"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454"/>
              <w:spacing w:before="86" w:line="179" w:lineRule="auto"/>
              <w:rPr/>
            </w:pPr>
            <w:r>
              <w:rPr>
                <w:spacing w:val="3"/>
              </w:rPr>
              <w:t>301206</w:t>
            </w:r>
          </w:p>
        </w:tc>
        <w:tc>
          <w:tcPr>
            <w:shd w:val="clear" w:fill="B8CCE4"/>
            <w:tcW w:w="1484" w:type="dxa"/>
            <w:vAlign w:val="top"/>
          </w:tcPr>
          <w:p>
            <w:pPr>
              <w:spacing w:line="359" w:lineRule="auto"/>
              <w:rPr>
                <w:rFonts w:ascii="Arial"/>
                <w:sz w:val="21"/>
              </w:rPr>
            </w:pPr>
            <w:r/>
          </w:p>
          <w:p>
            <w:pPr>
              <w:spacing w:line="360" w:lineRule="auto"/>
              <w:rPr>
                <w:rFonts w:ascii="Arial"/>
                <w:sz w:val="21"/>
              </w:rPr>
            </w:pPr>
            <w:r/>
          </w:p>
          <w:p>
            <w:pPr>
              <w:pStyle w:val="TableText"/>
              <w:ind w:left="324"/>
              <w:spacing w:before="86" w:line="189" w:lineRule="auto"/>
              <w:rPr/>
            </w:pPr>
            <w:r>
              <w:rPr>
                <w:spacing w:val="7"/>
              </w:rPr>
              <w:t>三元生物</w:t>
            </w:r>
          </w:p>
        </w:tc>
        <w:tc>
          <w:tcPr>
            <w:shd w:val="clear" w:fill="B8CCE4"/>
            <w:tcW w:w="1498" w:type="dxa"/>
            <w:vAlign w:val="top"/>
          </w:tcPr>
          <w:p>
            <w:pPr>
              <w:spacing w:line="359" w:lineRule="auto"/>
              <w:rPr>
                <w:rFonts w:ascii="Arial"/>
                <w:sz w:val="21"/>
              </w:rPr>
            </w:pPr>
            <w:r/>
          </w:p>
          <w:p>
            <w:pPr>
              <w:spacing w:line="360" w:lineRule="auto"/>
              <w:rPr>
                <w:rFonts w:ascii="Arial"/>
                <w:sz w:val="21"/>
              </w:rPr>
            </w:pPr>
            <w:r/>
          </w:p>
          <w:p>
            <w:pPr>
              <w:pStyle w:val="TableText"/>
              <w:ind w:left="434"/>
              <w:spacing w:before="86" w:line="189" w:lineRule="auto"/>
              <w:rPr/>
            </w:pPr>
            <w:r>
              <w:rPr>
                <w:spacing w:val="8"/>
              </w:rPr>
              <w:t>监管函</w:t>
            </w:r>
          </w:p>
        </w:tc>
        <w:tc>
          <w:tcPr>
            <w:shd w:val="clear" w:fill="B8CCE4"/>
            <w:tcW w:w="4735" w:type="dxa"/>
            <w:vAlign w:val="top"/>
          </w:tcPr>
          <w:p>
            <w:pPr>
              <w:pStyle w:val="TableText"/>
              <w:ind w:left="108" w:right="181"/>
              <w:spacing w:before="86" w:line="239" w:lineRule="auto"/>
              <w:rPr/>
            </w:pPr>
            <w:r>
              <w:rPr>
                <w:spacing w:val="8"/>
              </w:rPr>
              <w:t>公司1月28日召开的董事会审议通过拟使用</w:t>
            </w:r>
            <w:r>
              <w:rPr>
                <w:spacing w:val="7"/>
              </w:rPr>
              <w:t>不超  </w:t>
            </w:r>
            <w:r>
              <w:rPr>
                <w:spacing w:val="9"/>
              </w:rPr>
              <w:t>过33亿元</w:t>
            </w:r>
            <w:r>
              <w:rPr>
                <w:b/>
                <w:bCs/>
                <w:spacing w:val="9"/>
              </w:rPr>
              <w:t>暂时闲置的募集资金进行现金管理</w:t>
            </w:r>
            <w:r>
              <w:rPr>
                <w:spacing w:val="9"/>
              </w:rPr>
              <w:t>的议</w:t>
            </w:r>
            <w:r>
              <w:rPr>
                <w:spacing w:val="6"/>
              </w:rPr>
              <w:t xml:space="preserve"> </w:t>
            </w:r>
            <w:r>
              <w:rPr>
                <w:spacing w:val="8"/>
              </w:rPr>
              <w:t>案</w:t>
            </w:r>
            <w:r>
              <w:rPr>
                <w:spacing w:val="-28"/>
              </w:rPr>
              <w:t xml:space="preserve"> </w:t>
            </w:r>
            <w:r>
              <w:rPr>
                <w:spacing w:val="8"/>
              </w:rPr>
              <w:t>，并于当日使用暂时闲置募集资金5亿元进行</w:t>
            </w:r>
            <w:r>
              <w:rPr/>
              <w:t xml:space="preserve">   </w:t>
            </w:r>
            <w:r>
              <w:rPr>
                <w:spacing w:val="7"/>
              </w:rPr>
              <w:t>现金管理</w:t>
            </w:r>
            <w:r>
              <w:rPr>
                <w:spacing w:val="-22"/>
              </w:rPr>
              <w:t xml:space="preserve"> </w:t>
            </w:r>
            <w:r>
              <w:rPr>
                <w:spacing w:val="7"/>
              </w:rPr>
              <w:t>，但公司直至2022年2月15日才披露上</w:t>
            </w:r>
            <w:r>
              <w:rPr/>
              <w:t xml:space="preserve"> </w:t>
            </w:r>
            <w:r>
              <w:rPr>
                <w:spacing w:val="6"/>
              </w:rPr>
              <w:t>述事项。</w:t>
            </w:r>
          </w:p>
        </w:tc>
      </w:tr>
      <w:tr>
        <w:trPr>
          <w:trHeight w:val="365" w:hRule="atLeast"/>
        </w:trPr>
        <w:tc>
          <w:tcPr>
            <w:tcW w:w="1626" w:type="dxa"/>
            <w:vAlign w:val="top"/>
          </w:tcPr>
          <w:p>
            <w:pPr>
              <w:pStyle w:val="TableText"/>
              <w:ind w:left="448"/>
              <w:spacing w:before="101" w:line="177" w:lineRule="auto"/>
              <w:rPr/>
            </w:pPr>
            <w:r>
              <w:rPr>
                <w:spacing w:val="3"/>
              </w:rPr>
              <w:t>000812</w:t>
            </w:r>
          </w:p>
        </w:tc>
        <w:tc>
          <w:tcPr>
            <w:tcW w:w="1484" w:type="dxa"/>
            <w:vAlign w:val="top"/>
          </w:tcPr>
          <w:p>
            <w:pPr>
              <w:pStyle w:val="TableText"/>
              <w:ind w:left="330"/>
              <w:spacing w:before="90" w:line="185" w:lineRule="auto"/>
              <w:rPr/>
            </w:pPr>
            <w:r>
              <w:rPr>
                <w:spacing w:val="6"/>
              </w:rPr>
              <w:t>陕西金叶</w:t>
            </w:r>
          </w:p>
        </w:tc>
        <w:tc>
          <w:tcPr>
            <w:tcW w:w="1498" w:type="dxa"/>
            <w:vAlign w:val="top"/>
          </w:tcPr>
          <w:p>
            <w:pPr>
              <w:pStyle w:val="TableText"/>
              <w:ind w:left="434"/>
              <w:spacing w:before="89" w:line="186" w:lineRule="auto"/>
              <w:rPr/>
            </w:pPr>
            <w:r>
              <w:rPr>
                <w:spacing w:val="8"/>
              </w:rPr>
              <w:t>监管函</w:t>
            </w:r>
          </w:p>
        </w:tc>
        <w:tc>
          <w:tcPr>
            <w:tcW w:w="4735" w:type="dxa"/>
            <w:vAlign w:val="top"/>
          </w:tcPr>
          <w:p>
            <w:pPr>
              <w:pStyle w:val="TableText"/>
              <w:ind w:left="108"/>
              <w:spacing w:before="87" w:line="187" w:lineRule="auto"/>
              <w:rPr/>
            </w:pPr>
            <w:r>
              <w:rPr>
                <w:spacing w:val="9"/>
              </w:rPr>
              <w:t>公司未及时审议并披露</w:t>
            </w:r>
            <w:r>
              <w:rPr>
                <w:b/>
                <w:bCs/>
                <w:spacing w:val="9"/>
              </w:rPr>
              <w:t>重大投资项目</w:t>
            </w:r>
            <w:r>
              <w:rPr>
                <w:spacing w:val="9"/>
              </w:rPr>
              <w:t>。</w:t>
            </w:r>
          </w:p>
        </w:tc>
      </w:tr>
      <w:tr>
        <w:trPr>
          <w:trHeight w:val="1449" w:hRule="atLeast"/>
        </w:trPr>
        <w:tc>
          <w:tcPr>
            <w:shd w:val="clear" w:fill="B8CCE4"/>
            <w:tcW w:w="1626" w:type="dxa"/>
            <w:vAlign w:val="top"/>
          </w:tcPr>
          <w:p>
            <w:pPr>
              <w:spacing w:line="277" w:lineRule="auto"/>
              <w:rPr>
                <w:rFonts w:ascii="Arial"/>
                <w:sz w:val="21"/>
              </w:rPr>
            </w:pPr>
            <w:r/>
          </w:p>
          <w:p>
            <w:pPr>
              <w:spacing w:line="277" w:lineRule="auto"/>
              <w:rPr>
                <w:rFonts w:ascii="Arial"/>
                <w:sz w:val="21"/>
              </w:rPr>
            </w:pPr>
            <w:r/>
          </w:p>
          <w:p>
            <w:pPr>
              <w:pStyle w:val="TableText"/>
              <w:ind w:left="448"/>
              <w:spacing w:before="86" w:line="178" w:lineRule="auto"/>
              <w:rPr/>
            </w:pPr>
            <w:r>
              <w:rPr>
                <w:spacing w:val="3"/>
              </w:rPr>
              <w:t>002502</w:t>
            </w:r>
          </w:p>
        </w:tc>
        <w:tc>
          <w:tcPr>
            <w:shd w:val="clear" w:fill="B8CCE4"/>
            <w:tcW w:w="1484" w:type="dxa"/>
            <w:vAlign w:val="top"/>
          </w:tcPr>
          <w:p>
            <w:pPr>
              <w:spacing w:line="269" w:lineRule="auto"/>
              <w:rPr>
                <w:rFonts w:ascii="Arial"/>
                <w:sz w:val="21"/>
              </w:rPr>
            </w:pPr>
            <w:r/>
          </w:p>
          <w:p>
            <w:pPr>
              <w:spacing w:line="270" w:lineRule="auto"/>
              <w:rPr>
                <w:rFonts w:ascii="Arial"/>
                <w:sz w:val="21"/>
              </w:rPr>
            </w:pPr>
            <w:r/>
          </w:p>
          <w:p>
            <w:pPr>
              <w:pStyle w:val="TableText"/>
              <w:ind w:left="420"/>
              <w:spacing w:before="86" w:line="189" w:lineRule="auto"/>
              <w:rPr/>
            </w:pPr>
            <w:r>
              <w:rPr/>
              <w:t>ST</w:t>
            </w:r>
            <w:r>
              <w:rPr>
                <w:spacing w:val="7"/>
              </w:rPr>
              <w:t>鼎龙</w:t>
            </w:r>
          </w:p>
        </w:tc>
        <w:tc>
          <w:tcPr>
            <w:shd w:val="clear" w:fill="B8CCE4"/>
            <w:tcW w:w="1498" w:type="dxa"/>
            <w:vAlign w:val="top"/>
          </w:tcPr>
          <w:p>
            <w:pPr>
              <w:spacing w:line="270" w:lineRule="auto"/>
              <w:rPr>
                <w:rFonts w:ascii="Arial"/>
                <w:sz w:val="21"/>
              </w:rPr>
            </w:pPr>
            <w:r/>
          </w:p>
          <w:p>
            <w:pPr>
              <w:spacing w:line="271" w:lineRule="auto"/>
              <w:rPr>
                <w:rFonts w:ascii="Arial"/>
                <w:sz w:val="21"/>
              </w:rPr>
            </w:pPr>
            <w:r/>
          </w:p>
          <w:p>
            <w:pPr>
              <w:pStyle w:val="TableText"/>
              <w:ind w:left="327"/>
              <w:spacing w:before="85" w:line="188" w:lineRule="auto"/>
              <w:rPr/>
            </w:pPr>
            <w:r>
              <w:rPr>
                <w:spacing w:val="8"/>
              </w:rPr>
              <w:t>通报批评</w:t>
            </w:r>
          </w:p>
        </w:tc>
        <w:tc>
          <w:tcPr>
            <w:shd w:val="clear" w:fill="B8CCE4"/>
            <w:tcW w:w="4735" w:type="dxa"/>
            <w:vAlign w:val="top"/>
          </w:tcPr>
          <w:p>
            <w:pPr>
              <w:pStyle w:val="TableText"/>
              <w:ind w:left="108" w:right="214" w:firstLine="1"/>
              <w:spacing w:before="89" w:line="236" w:lineRule="auto"/>
              <w:jc w:val="both"/>
              <w:rPr/>
            </w:pPr>
            <w:r>
              <w:rPr>
                <w:spacing w:val="9"/>
              </w:rPr>
              <w:t>鼎龙文化子公司云南中钛科技有限公司以预付采</w:t>
            </w:r>
            <w:r>
              <w:rPr>
                <w:spacing w:val="15"/>
              </w:rPr>
              <w:t xml:space="preserve"> </w:t>
            </w:r>
            <w:r>
              <w:rPr>
                <w:spacing w:val="8"/>
              </w:rPr>
              <w:t>购款及股权款的名义</w:t>
            </w:r>
            <w:r>
              <w:rPr>
                <w:spacing w:val="-22"/>
              </w:rPr>
              <w:t xml:space="preserve"> </w:t>
            </w:r>
            <w:r>
              <w:rPr>
                <w:spacing w:val="8"/>
              </w:rPr>
              <w:t>，将资金转给鼎龙文化实际</w:t>
            </w:r>
            <w:r>
              <w:rPr/>
              <w:t xml:space="preserve"> </w:t>
            </w:r>
            <w:r>
              <w:rPr>
                <w:spacing w:val="8"/>
              </w:rPr>
              <w:t>控制人、董事长兼总经理及其关联方使用</w:t>
            </w:r>
            <w:r>
              <w:rPr>
                <w:spacing w:val="-22"/>
              </w:rPr>
              <w:t xml:space="preserve"> </w:t>
            </w:r>
            <w:r>
              <w:rPr>
                <w:spacing w:val="8"/>
              </w:rPr>
              <w:t>，形成</w:t>
            </w:r>
            <w:r>
              <w:rPr/>
              <w:t xml:space="preserve"> </w:t>
            </w:r>
            <w:r>
              <w:rPr>
                <w:spacing w:val="8"/>
              </w:rPr>
              <w:t>关联方</w:t>
            </w:r>
            <w:r>
              <w:rPr>
                <w:b/>
                <w:bCs/>
                <w:spacing w:val="8"/>
              </w:rPr>
              <w:t>非经营性资金占用。</w:t>
            </w:r>
          </w:p>
        </w:tc>
      </w:tr>
    </w:tbl>
    <w:p>
      <w:pPr>
        <w:ind w:left="872"/>
        <w:spacing w:before="329" w:line="21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8"/>
        </w:rPr>
        <w:t>（ 2</w:t>
      </w:r>
      <w:r>
        <w:rPr>
          <w:rFonts w:ascii="Microsoft YaHei" w:hAnsi="Microsoft YaHei" w:eastAsia="Microsoft YaHei" w:cs="Microsoft YaHei"/>
          <w:sz w:val="24"/>
          <w:szCs w:val="24"/>
          <w:b/>
          <w:bCs/>
          <w:spacing w:val="21"/>
        </w:rPr>
        <w:t xml:space="preserve"> </w:t>
      </w:r>
      <w:r>
        <w:rPr>
          <w:rFonts w:ascii="Microsoft YaHei" w:hAnsi="Microsoft YaHei" w:eastAsia="Microsoft YaHei" w:cs="Microsoft YaHei"/>
          <w:sz w:val="24"/>
          <w:szCs w:val="24"/>
          <w:b/>
          <w:bCs/>
          <w:spacing w:val="-18"/>
        </w:rPr>
        <w:t>）函件统计</w:t>
      </w:r>
    </w:p>
    <w:tbl>
      <w:tblPr>
        <w:tblStyle w:val="TableNormal"/>
        <w:tblW w:w="9317" w:type="dxa"/>
        <w:tblInd w:w="109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596"/>
        <w:gridCol w:w="1499"/>
        <w:gridCol w:w="6222"/>
      </w:tblGrid>
      <w:tr>
        <w:trPr>
          <w:trHeight w:val="607" w:hRule="atLeast"/>
        </w:trPr>
        <w:tc>
          <w:tcPr>
            <w:shd w:val="clear" w:fill="4BACC6"/>
            <w:tcW w:w="1596" w:type="dxa"/>
            <w:vAlign w:val="top"/>
            <w:tcBorders>
              <w:left w:val="nil"/>
              <w:top w:val="nil"/>
              <w:right w:val="single" w:color="92CDDC" w:sz="2" w:space="0"/>
            </w:tcBorders>
          </w:tcPr>
          <w:p>
            <w:pPr>
              <w:pStyle w:val="TableText"/>
              <w:ind w:left="363"/>
              <w:spacing w:before="88" w:line="183" w:lineRule="auto"/>
              <w:rPr>
                <w:sz w:val="22"/>
                <w:szCs w:val="22"/>
              </w:rPr>
            </w:pPr>
            <w:r>
              <w:rPr>
                <w:sz w:val="22"/>
                <w:szCs w:val="22"/>
                <w:b/>
                <w:bCs/>
                <w:color w:val="FFFFFF"/>
                <w:spacing w:val="-1"/>
              </w:rPr>
              <w:t>公司代码</w:t>
            </w:r>
          </w:p>
        </w:tc>
        <w:tc>
          <w:tcPr>
            <w:shd w:val="clear" w:fill="4BACC6"/>
            <w:tcW w:w="1499" w:type="dxa"/>
            <w:vAlign w:val="top"/>
            <w:tcBorders>
              <w:top w:val="nil"/>
              <w:left w:val="single" w:color="92CDDC" w:sz="2" w:space="0"/>
              <w:bottom w:val="single" w:color="92CDDC" w:sz="2" w:space="0"/>
              <w:right w:val="single" w:color="92CDDC" w:sz="2" w:space="0"/>
            </w:tcBorders>
          </w:tcPr>
          <w:p>
            <w:pPr>
              <w:pStyle w:val="TableText"/>
              <w:ind w:left="310"/>
              <w:spacing w:before="88" w:line="183" w:lineRule="auto"/>
              <w:rPr>
                <w:sz w:val="22"/>
                <w:szCs w:val="22"/>
              </w:rPr>
            </w:pPr>
            <w:r>
              <w:rPr>
                <w:sz w:val="22"/>
                <w:szCs w:val="22"/>
                <w:b/>
                <w:bCs/>
                <w:color w:val="FFFFFF"/>
                <w:spacing w:val="-1"/>
              </w:rPr>
              <w:t>公司简称</w:t>
            </w:r>
          </w:p>
        </w:tc>
        <w:tc>
          <w:tcPr>
            <w:shd w:val="clear" w:fill="4BACC6"/>
            <w:tcW w:w="6222" w:type="dxa"/>
            <w:vAlign w:val="top"/>
            <w:tcBorders>
              <w:right w:val="nil"/>
              <w:top w:val="nil"/>
              <w:left w:val="single" w:color="92CDDC" w:sz="2" w:space="0"/>
            </w:tcBorders>
          </w:tcPr>
          <w:p>
            <w:pPr>
              <w:pStyle w:val="TableText"/>
              <w:ind w:left="2678"/>
              <w:spacing w:before="86" w:line="184" w:lineRule="auto"/>
              <w:rPr>
                <w:sz w:val="22"/>
                <w:szCs w:val="22"/>
              </w:rPr>
            </w:pPr>
            <w:r>
              <w:rPr>
                <w:sz w:val="22"/>
                <w:szCs w:val="22"/>
                <w:b/>
                <w:bCs/>
                <w:color w:val="FFFFFF"/>
                <w:spacing w:val="-3"/>
              </w:rPr>
              <w:t>问询类型</w:t>
            </w:r>
          </w:p>
        </w:tc>
      </w:tr>
      <w:tr>
        <w:trPr>
          <w:trHeight w:val="462" w:hRule="atLeast"/>
        </w:trPr>
        <w:tc>
          <w:tcPr>
            <w:tcW w:w="1596" w:type="dxa"/>
            <w:vAlign w:val="top"/>
          </w:tcPr>
          <w:p>
            <w:pPr>
              <w:pStyle w:val="TableText"/>
              <w:ind w:left="434"/>
              <w:spacing w:before="153" w:line="178" w:lineRule="auto"/>
              <w:rPr/>
            </w:pPr>
            <w:r>
              <w:rPr>
                <w:spacing w:val="3"/>
              </w:rPr>
              <w:t>002875</w:t>
            </w:r>
          </w:p>
        </w:tc>
        <w:tc>
          <w:tcPr>
            <w:tcW w:w="1499" w:type="dxa"/>
            <w:vAlign w:val="top"/>
          </w:tcPr>
          <w:p>
            <w:pPr>
              <w:pStyle w:val="TableText"/>
              <w:ind w:left="434"/>
              <w:spacing w:before="136" w:line="190" w:lineRule="auto"/>
              <w:rPr/>
            </w:pPr>
            <w:r>
              <w:rPr>
                <w:spacing w:val="8"/>
              </w:rPr>
              <w:t>安奈儿</w:t>
            </w:r>
          </w:p>
        </w:tc>
        <w:tc>
          <w:tcPr>
            <w:tcW w:w="6222" w:type="dxa"/>
            <w:vAlign w:val="top"/>
          </w:tcPr>
          <w:p>
            <w:pPr>
              <w:pStyle w:val="TableText"/>
              <w:ind w:left="2795"/>
              <w:spacing w:before="138" w:line="189" w:lineRule="auto"/>
              <w:rPr/>
            </w:pPr>
            <w:r>
              <w:rPr>
                <w:spacing w:val="8"/>
              </w:rPr>
              <w:t>关注函</w:t>
            </w:r>
          </w:p>
        </w:tc>
      </w:tr>
      <w:tr>
        <w:trPr>
          <w:trHeight w:val="465" w:hRule="atLeast"/>
        </w:trPr>
        <w:tc>
          <w:tcPr>
            <w:shd w:val="clear" w:fill="C7DAF1"/>
            <w:tcW w:w="1596" w:type="dxa"/>
            <w:vAlign w:val="top"/>
          </w:tcPr>
          <w:p>
            <w:pPr>
              <w:pStyle w:val="TableText"/>
              <w:ind w:left="434"/>
              <w:spacing w:before="154" w:line="178" w:lineRule="auto"/>
              <w:rPr/>
            </w:pPr>
            <w:r>
              <w:rPr>
                <w:spacing w:val="3"/>
              </w:rPr>
              <w:t>000584</w:t>
            </w:r>
          </w:p>
        </w:tc>
        <w:tc>
          <w:tcPr>
            <w:shd w:val="clear" w:fill="C7DAF1"/>
            <w:tcW w:w="1499" w:type="dxa"/>
            <w:vAlign w:val="top"/>
          </w:tcPr>
          <w:p>
            <w:pPr>
              <w:pStyle w:val="TableText"/>
              <w:ind w:left="426"/>
              <w:spacing w:before="139" w:line="189" w:lineRule="auto"/>
              <w:rPr/>
            </w:pPr>
            <w:r>
              <w:rPr/>
              <w:t>ST</w:t>
            </w:r>
            <w:r>
              <w:rPr>
                <w:spacing w:val="8"/>
              </w:rPr>
              <w:t>工智</w:t>
            </w:r>
          </w:p>
        </w:tc>
        <w:tc>
          <w:tcPr>
            <w:shd w:val="clear" w:fill="C7DAF1"/>
            <w:tcW w:w="6222" w:type="dxa"/>
            <w:vAlign w:val="top"/>
          </w:tcPr>
          <w:p>
            <w:pPr>
              <w:pStyle w:val="TableText"/>
              <w:ind w:left="2795"/>
              <w:spacing w:before="139" w:line="189" w:lineRule="auto"/>
              <w:rPr/>
            </w:pPr>
            <w:r>
              <w:rPr>
                <w:spacing w:val="8"/>
              </w:rPr>
              <w:t>关注函</w:t>
            </w:r>
          </w:p>
        </w:tc>
      </w:tr>
    </w:tbl>
    <w:p>
      <w:pPr>
        <w:pStyle w:val="BodyText"/>
        <w:rPr/>
      </w:pPr>
      <w:r/>
    </w:p>
    <w:p>
      <w:pPr>
        <w:sectPr>
          <w:pgSz w:w="11910" w:h="16840"/>
          <w:pgMar w:top="374" w:right="982" w:bottom="0" w:left="460" w:header="0" w:footer="0" w:gutter="0"/>
        </w:sectPr>
        <w:rPr/>
      </w:pPr>
    </w:p>
    <w:tbl>
      <w:tblPr>
        <w:tblStyle w:val="TableNormal"/>
        <w:tblW w:w="9317" w:type="dxa"/>
        <w:tblInd w:w="29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596"/>
        <w:gridCol w:w="1499"/>
        <w:gridCol w:w="6222"/>
      </w:tblGrid>
      <w:tr>
        <w:trPr>
          <w:trHeight w:val="467" w:hRule="atLeast"/>
        </w:trPr>
        <w:tc>
          <w:tcPr>
            <w:tcW w:w="1596" w:type="dxa"/>
            <w:vAlign w:val="top"/>
          </w:tcPr>
          <w:p>
            <w:pPr>
              <w:pStyle w:val="TableText"/>
              <w:ind w:left="440"/>
              <w:spacing w:before="155" w:line="178" w:lineRule="auto"/>
              <w:rPr/>
            </w:pPr>
            <w:r>
              <w:rPr>
                <w:spacing w:val="3"/>
              </w:rPr>
              <w:t>300282</w:t>
            </w:r>
          </w:p>
        </w:tc>
        <w:tc>
          <w:tcPr>
            <w:tcW w:w="1499" w:type="dxa"/>
            <w:vAlign w:val="top"/>
          </w:tcPr>
          <w:p>
            <w:pPr>
              <w:pStyle w:val="TableText"/>
              <w:ind w:left="374"/>
              <w:spacing w:before="140" w:line="189" w:lineRule="auto"/>
              <w:rPr/>
            </w:pPr>
            <w:r>
              <w:rPr>
                <w:spacing w:val="8"/>
              </w:rPr>
              <w:t>*</w:t>
            </w:r>
            <w:r>
              <w:rPr/>
              <w:t>ST</w:t>
            </w:r>
            <w:r>
              <w:rPr>
                <w:spacing w:val="8"/>
              </w:rPr>
              <w:t>三盛</w:t>
            </w:r>
          </w:p>
        </w:tc>
        <w:tc>
          <w:tcPr>
            <w:tcW w:w="6222" w:type="dxa"/>
            <w:vAlign w:val="top"/>
          </w:tcPr>
          <w:p>
            <w:pPr>
              <w:pStyle w:val="TableText"/>
              <w:ind w:left="2795"/>
              <w:spacing w:before="141" w:line="189" w:lineRule="auto"/>
              <w:rPr/>
            </w:pPr>
            <w:r>
              <w:rPr>
                <w:spacing w:val="8"/>
              </w:rPr>
              <w:t>关注函</w:t>
            </w:r>
          </w:p>
        </w:tc>
      </w:tr>
      <w:tr>
        <w:trPr>
          <w:trHeight w:val="462" w:hRule="atLeast"/>
        </w:trPr>
        <w:tc>
          <w:tcPr>
            <w:shd w:val="clear" w:fill="C7DAF1"/>
            <w:tcW w:w="1596" w:type="dxa"/>
            <w:vAlign w:val="top"/>
          </w:tcPr>
          <w:p>
            <w:pPr>
              <w:pStyle w:val="TableText"/>
              <w:ind w:left="440"/>
              <w:spacing w:before="150" w:line="179" w:lineRule="auto"/>
              <w:rPr/>
            </w:pPr>
            <w:r>
              <w:rPr>
                <w:spacing w:val="3"/>
              </w:rPr>
              <w:t>300111</w:t>
            </w:r>
          </w:p>
        </w:tc>
        <w:tc>
          <w:tcPr>
            <w:shd w:val="clear" w:fill="C7DAF1"/>
            <w:tcW w:w="1499" w:type="dxa"/>
            <w:vAlign w:val="top"/>
          </w:tcPr>
          <w:p>
            <w:pPr>
              <w:pStyle w:val="TableText"/>
              <w:ind w:left="448"/>
              <w:spacing w:before="137" w:line="189" w:lineRule="auto"/>
              <w:rPr/>
            </w:pPr>
            <w:r>
              <w:rPr>
                <w:spacing w:val="3"/>
              </w:rPr>
              <w:t>向日葵</w:t>
            </w:r>
          </w:p>
        </w:tc>
        <w:tc>
          <w:tcPr>
            <w:shd w:val="clear" w:fill="C7DAF1"/>
            <w:tcW w:w="6222" w:type="dxa"/>
            <w:vAlign w:val="top"/>
          </w:tcPr>
          <w:p>
            <w:pPr>
              <w:pStyle w:val="TableText"/>
              <w:ind w:left="2795"/>
              <w:spacing w:before="137" w:line="189" w:lineRule="auto"/>
              <w:rPr/>
            </w:pPr>
            <w:r>
              <w:rPr>
                <w:spacing w:val="8"/>
              </w:rPr>
              <w:t>关注函</w:t>
            </w:r>
          </w:p>
        </w:tc>
      </w:tr>
      <w:tr>
        <w:trPr>
          <w:trHeight w:val="467" w:hRule="atLeast"/>
        </w:trPr>
        <w:tc>
          <w:tcPr>
            <w:tcW w:w="1596" w:type="dxa"/>
            <w:vAlign w:val="top"/>
          </w:tcPr>
          <w:p>
            <w:pPr>
              <w:pStyle w:val="TableText"/>
              <w:ind w:left="440"/>
              <w:spacing w:before="155" w:line="178" w:lineRule="auto"/>
              <w:rPr/>
            </w:pPr>
            <w:r>
              <w:rPr>
                <w:spacing w:val="3"/>
              </w:rPr>
              <w:t>300495</w:t>
            </w:r>
          </w:p>
        </w:tc>
        <w:tc>
          <w:tcPr>
            <w:tcW w:w="1499" w:type="dxa"/>
            <w:vAlign w:val="top"/>
          </w:tcPr>
          <w:p>
            <w:pPr>
              <w:pStyle w:val="TableText"/>
              <w:ind w:left="374"/>
              <w:spacing w:before="139" w:line="190" w:lineRule="auto"/>
              <w:rPr/>
            </w:pPr>
            <w:r>
              <w:rPr>
                <w:spacing w:val="8"/>
              </w:rPr>
              <w:t>*</w:t>
            </w:r>
            <w:r>
              <w:rPr/>
              <w:t>ST</w:t>
            </w:r>
            <w:r>
              <w:rPr>
                <w:spacing w:val="8"/>
              </w:rPr>
              <w:t>美尚</w:t>
            </w:r>
          </w:p>
        </w:tc>
        <w:tc>
          <w:tcPr>
            <w:tcW w:w="6222" w:type="dxa"/>
            <w:vAlign w:val="top"/>
          </w:tcPr>
          <w:p>
            <w:pPr>
              <w:pStyle w:val="TableText"/>
              <w:ind w:left="2795"/>
              <w:spacing w:before="140" w:line="189" w:lineRule="auto"/>
              <w:rPr/>
            </w:pPr>
            <w:r>
              <w:rPr>
                <w:spacing w:val="8"/>
              </w:rPr>
              <w:t>关注函</w:t>
            </w:r>
          </w:p>
        </w:tc>
      </w:tr>
    </w:tbl>
    <w:p>
      <w:pPr>
        <w:pStyle w:val="BodyText"/>
        <w:spacing w:line="321"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2、市场交易监管动态</w:t>
      </w:r>
    </w:p>
    <w:p>
      <w:pPr>
        <w:pStyle w:val="BodyText"/>
        <w:spacing w:line="248" w:lineRule="auto"/>
        <w:rPr/>
      </w:pPr>
      <w:r/>
    </w:p>
    <w:p>
      <w:pPr>
        <w:ind w:left="77" w:firstLine="439"/>
        <w:spacing w:before="94" w:line="185"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6"/>
        </w:rPr>
        <w:t>2024年3月4日-3月10日，深交所共对65起证券异常交易行为采取了</w:t>
      </w:r>
      <w:r>
        <w:rPr>
          <w:rFonts w:ascii="Microsoft YaHei" w:hAnsi="Microsoft YaHei" w:eastAsia="Microsoft YaHei" w:cs="Microsoft YaHei"/>
          <w:sz w:val="22"/>
          <w:szCs w:val="22"/>
          <w:spacing w:val="-7"/>
        </w:rPr>
        <w:t>自律监管措施，涉及盘中拉抬打压、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6"/>
        </w:rPr>
        <w:t>虚假申报等异常交易情形；对“*ST左江”等涨跌异常证券进行重点监控；共对10起上市公司重大事项进行 </w:t>
      </w:r>
      <w:r>
        <w:rPr>
          <w:rFonts w:ascii="Microsoft YaHei" w:hAnsi="Microsoft YaHei" w:eastAsia="Microsoft YaHei" w:cs="Microsoft YaHei"/>
          <w:sz w:val="22"/>
          <w:szCs w:val="22"/>
          <w:spacing w:val="-7"/>
        </w:rPr>
        <w:t xml:space="preserve">   </w:t>
      </w:r>
      <w:r>
        <w:rPr>
          <w:rFonts w:ascii="Microsoft YaHei" w:hAnsi="Microsoft YaHei" w:eastAsia="Microsoft YaHei" w:cs="Microsoft YaHei"/>
          <w:sz w:val="22"/>
          <w:szCs w:val="22"/>
          <w:spacing w:val="-3"/>
        </w:rPr>
        <w:t>核查。</w:t>
      </w:r>
    </w:p>
    <w:sectPr>
      <w:pgSz w:w="11910" w:h="16840"/>
      <w:pgMar w:top="400" w:right="366" w:bottom="0" w:left="125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jpeg"/><Relationship Id="rId2" Type="http://schemas.openxmlformats.org/officeDocument/2006/relationships/header" Target="header2.xml"/><Relationship Id="rId14" Type="http://schemas.openxmlformats.org/officeDocument/2006/relationships/fontTable" Target="fontTable.xml"/><Relationship Id="rId13" Type="http://schemas.openxmlformats.org/officeDocument/2006/relationships/styles" Target="styles.xml"/><Relationship Id="rId12" Type="http://schemas.openxmlformats.org/officeDocument/2006/relationships/settings" Target="settings.xml"/><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2024-03-11T10:07:12Z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2024-04-02T17:05:46</vt:filetime>
  </property>
</Properties>
</file>