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body>
    <w:p>
      <w:pPr>
        <w:pStyle w:val="BodyText"/>
        <w:spacing w:line="252" w:lineRule="auto"/>
        <w:rPr/>
      </w:pPr>
      <w:r/>
    </w:p>
    <w:p>
      <w:pPr>
        <w:pStyle w:val="BodyText"/>
        <w:spacing w:line="252" w:lineRule="auto"/>
        <w:rPr/>
      </w:pPr>
      <w:r/>
    </w:p>
    <w:p>
      <w:pPr>
        <w:pStyle w:val="BodyText"/>
        <w:spacing w:line="252" w:lineRule="auto"/>
        <w:rPr/>
      </w:pPr>
      <w:r/>
    </w:p>
    <w:p>
      <w:pPr>
        <w:pStyle w:val="BodyText"/>
        <w:spacing w:line="252" w:lineRule="auto"/>
        <w:rPr/>
      </w:pPr>
      <w:r/>
    </w:p>
    <w:p>
      <w:pPr>
        <w:pStyle w:val="BodyText"/>
        <w:spacing w:line="252" w:lineRule="auto"/>
        <w:rPr/>
      </w:pPr>
      <w:r/>
    </w:p>
    <w:p>
      <w:pPr>
        <w:pStyle w:val="BodyText"/>
        <w:spacing w:line="253" w:lineRule="auto"/>
        <w:rPr/>
      </w:pPr>
      <w:r/>
    </w:p>
    <w:p>
      <w:pPr>
        <w:pStyle w:val="BodyText"/>
        <w:spacing w:line="253" w:lineRule="auto"/>
        <w:rPr/>
      </w:pPr>
      <w:r/>
    </w:p>
    <w:p>
      <w:pPr>
        <w:pStyle w:val="BodyText"/>
        <w:spacing w:line="253" w:lineRule="auto"/>
        <w:rPr/>
      </w:pPr>
      <w:r/>
    </w:p>
    <w:p>
      <w:pPr>
        <w:ind w:right="95"/>
        <w:spacing w:before="351" w:line="215" w:lineRule="auto"/>
        <w:outlineLvl w:val="0"/>
        <w:jc w:val="right"/>
        <w:rPr>
          <w:rFonts w:ascii="Microsoft YaHei" w:hAnsi="Microsoft YaHei" w:eastAsia="Microsoft YaHei" w:cs="Microsoft YaHei"/>
          <w:sz w:val="82"/>
          <w:szCs w:val="82"/>
        </w:rPr>
      </w:pPr>
      <w:r>
        <w:rPr>
          <w:rFonts w:ascii="Microsoft YaHei" w:hAnsi="Microsoft YaHei" w:eastAsia="Microsoft YaHei" w:cs="Microsoft YaHei"/>
          <w:sz w:val="82"/>
          <w:szCs w:val="82"/>
          <w:b/>
          <w:bCs/>
          <w:color w:val="FFFFFF"/>
          <w:spacing w:val="19"/>
        </w:rPr>
        <w:t>一周法规速递|监管动态</w:t>
      </w:r>
    </w:p>
    <w:p>
      <w:pPr>
        <w:spacing w:line="183" w:lineRule="auto"/>
        <w:jc w:val="right"/>
        <w:rPr>
          <w:rFonts w:ascii="Microsoft YaHei" w:hAnsi="Microsoft YaHei" w:eastAsia="Microsoft YaHei" w:cs="Microsoft YaHei"/>
          <w:sz w:val="30"/>
          <w:szCs w:val="30"/>
        </w:rPr>
      </w:pPr>
      <w:r>
        <w:rPr>
          <w:rFonts w:ascii="Microsoft YaHei" w:hAnsi="Microsoft YaHei" w:eastAsia="Microsoft YaHei" w:cs="Microsoft YaHei"/>
          <w:sz w:val="30"/>
          <w:szCs w:val="30"/>
          <w:color w:val="FFFFFF"/>
          <w:spacing w:val="-2"/>
        </w:rPr>
        <w:t>2024年02月26日-2024年03月03日</w:t>
      </w:r>
    </w:p>
    <w:p>
      <w:pPr>
        <w:pStyle w:val="BodyText"/>
        <w:spacing w:line="247" w:lineRule="auto"/>
        <w:rPr/>
      </w:pPr>
      <w:r/>
    </w:p>
    <w:p>
      <w:pPr>
        <w:pStyle w:val="BodyText"/>
        <w:spacing w:line="247" w:lineRule="auto"/>
        <w:rPr/>
      </w:pPr>
      <w:r/>
    </w:p>
    <w:p>
      <w:pPr>
        <w:pStyle w:val="BodyText"/>
        <w:spacing w:line="247" w:lineRule="auto"/>
        <w:rPr/>
      </w:pPr>
      <w:r/>
    </w:p>
    <w:p>
      <w:pPr>
        <w:pStyle w:val="BodyText"/>
        <w:spacing w:line="247" w:lineRule="auto"/>
        <w:rPr/>
      </w:pPr>
      <w:r/>
    </w:p>
    <w:p>
      <w:pPr>
        <w:pStyle w:val="BodyText"/>
        <w:spacing w:line="247" w:lineRule="auto"/>
        <w:rPr/>
      </w:pPr>
      <w:r/>
    </w:p>
    <w:p>
      <w:pPr>
        <w:pStyle w:val="BodyText"/>
        <w:spacing w:line="247" w:lineRule="auto"/>
        <w:rPr/>
      </w:pPr>
      <w:r/>
    </w:p>
    <w:p>
      <w:pPr>
        <w:pStyle w:val="BodyText"/>
        <w:spacing w:line="248" w:lineRule="auto"/>
        <w:rPr/>
      </w:pPr>
      <w:r/>
    </w:p>
    <w:p>
      <w:pPr>
        <w:pStyle w:val="BodyText"/>
        <w:spacing w:line="248" w:lineRule="auto"/>
        <w:rPr/>
      </w:pPr>
      <w:r/>
    </w:p>
    <w:p>
      <w:pPr>
        <w:pStyle w:val="BodyText"/>
        <w:spacing w:line="248" w:lineRule="auto"/>
        <w:rPr/>
      </w:pPr>
      <w:r/>
    </w:p>
    <w:p>
      <w:pPr>
        <w:pStyle w:val="BodyText"/>
        <w:spacing w:line="248" w:lineRule="auto"/>
        <w:rPr/>
      </w:pPr>
      <w:r/>
    </w:p>
    <w:p>
      <w:pPr>
        <w:pStyle w:val="BodyText"/>
        <w:spacing w:line="248" w:lineRule="auto"/>
        <w:rPr/>
      </w:pPr>
      <w:r/>
    </w:p>
    <w:p>
      <w:pPr>
        <w:pStyle w:val="BodyText"/>
        <w:spacing w:line="248" w:lineRule="auto"/>
        <w:rPr/>
      </w:pPr>
      <w:r/>
    </w:p>
    <w:p>
      <w:pPr>
        <w:pStyle w:val="BodyText"/>
        <w:spacing w:line="248" w:lineRule="auto"/>
        <w:rPr/>
      </w:pPr>
      <w:r/>
    </w:p>
    <w:p>
      <w:pPr>
        <w:pStyle w:val="BodyText"/>
        <w:spacing w:line="248" w:lineRule="auto"/>
        <w:rPr/>
      </w:pPr>
      <w:r/>
    </w:p>
    <w:p>
      <w:pPr>
        <w:pStyle w:val="BodyText"/>
        <w:spacing w:line="248" w:lineRule="auto"/>
        <w:rPr/>
      </w:pPr>
      <w:r/>
    </w:p>
    <w:p>
      <w:pPr>
        <w:pStyle w:val="BodyText"/>
        <w:spacing w:line="248" w:lineRule="auto"/>
        <w:rPr/>
      </w:pPr>
      <w:r/>
    </w:p>
    <w:p>
      <w:pPr>
        <w:pStyle w:val="BodyText"/>
        <w:spacing w:line="248" w:lineRule="auto"/>
        <w:rPr/>
      </w:pPr>
      <w:r/>
    </w:p>
    <w:p>
      <w:pPr>
        <w:pStyle w:val="BodyText"/>
        <w:spacing w:line="248" w:lineRule="auto"/>
        <w:rPr/>
      </w:pPr>
      <w:r/>
    </w:p>
    <w:p>
      <w:pPr>
        <w:pStyle w:val="BodyText"/>
        <w:spacing w:line="248" w:lineRule="auto"/>
        <w:rPr/>
      </w:pPr>
      <w:r/>
    </w:p>
    <w:p>
      <w:pPr>
        <w:pStyle w:val="BodyText"/>
        <w:spacing w:line="248" w:lineRule="auto"/>
        <w:rPr/>
      </w:pPr>
      <w:r/>
    </w:p>
    <w:p>
      <w:pPr>
        <w:pStyle w:val="BodyText"/>
        <w:spacing w:line="248" w:lineRule="auto"/>
        <w:rPr/>
      </w:pPr>
      <w:r/>
    </w:p>
    <w:p>
      <w:pPr>
        <w:pStyle w:val="BodyText"/>
        <w:spacing w:line="248" w:lineRule="auto"/>
        <w:rPr/>
      </w:pPr>
      <w:r/>
    </w:p>
    <w:p>
      <w:pPr>
        <w:pStyle w:val="BodyText"/>
        <w:spacing w:line="248" w:lineRule="auto"/>
        <w:rPr/>
      </w:pPr>
      <w:r/>
    </w:p>
    <w:p>
      <w:pPr>
        <w:pStyle w:val="BodyText"/>
        <w:spacing w:line="248" w:lineRule="auto"/>
        <w:rPr/>
      </w:pPr>
      <w:r/>
    </w:p>
    <w:p>
      <w:pPr>
        <w:pStyle w:val="BodyText"/>
        <w:spacing w:line="248" w:lineRule="auto"/>
        <w:rPr/>
      </w:pPr>
      <w:r/>
    </w:p>
    <w:p>
      <w:pPr>
        <w:pStyle w:val="BodyText"/>
        <w:spacing w:line="248" w:lineRule="auto"/>
        <w:rPr/>
      </w:pPr>
      <w:r/>
    </w:p>
    <w:p>
      <w:pPr>
        <w:pStyle w:val="BodyText"/>
        <w:spacing w:line="248" w:lineRule="auto"/>
        <w:rPr/>
      </w:pPr>
      <w:r/>
    </w:p>
    <w:p>
      <w:pPr>
        <w:pStyle w:val="BodyText"/>
        <w:spacing w:line="248" w:lineRule="auto"/>
        <w:rPr/>
      </w:pPr>
      <w:r/>
    </w:p>
    <w:p>
      <w:pPr>
        <w:pStyle w:val="BodyText"/>
        <w:spacing w:line="248" w:lineRule="auto"/>
        <w:rPr/>
      </w:pPr>
      <w:r/>
    </w:p>
    <w:p>
      <w:pPr>
        <w:ind w:left="3671"/>
        <w:spacing w:before="129" w:line="202" w:lineRule="auto"/>
        <w:rPr>
          <w:rFonts w:ascii="Microsoft YaHei" w:hAnsi="Microsoft YaHei" w:eastAsia="Microsoft YaHei" w:cs="Microsoft YaHei"/>
          <w:sz w:val="30"/>
          <w:szCs w:val="30"/>
        </w:rPr>
      </w:pPr>
      <w:r>
        <w:rPr>
          <w:rFonts w:ascii="Microsoft YaHei" w:hAnsi="Microsoft YaHei" w:eastAsia="Microsoft YaHei" w:cs="Microsoft YaHei"/>
          <w:sz w:val="30"/>
          <w:szCs w:val="30"/>
          <w:b/>
          <w:bCs/>
          <w:spacing w:val="26"/>
        </w:rPr>
        <w:t>深圳价值在线咨询顾问有限公司</w:t>
      </w:r>
    </w:p>
    <w:p>
      <w:pPr>
        <w:ind w:left="4571"/>
        <w:spacing w:line="187" w:lineRule="auto"/>
        <w:rPr>
          <w:rFonts w:ascii="Microsoft YaHei" w:hAnsi="Microsoft YaHei" w:eastAsia="Microsoft YaHei" w:cs="Microsoft YaHei"/>
          <w:sz w:val="30"/>
          <w:szCs w:val="30"/>
        </w:rPr>
      </w:pPr>
      <w:r>
        <w:rPr>
          <w:rFonts w:ascii="Microsoft YaHei" w:hAnsi="Microsoft YaHei" w:eastAsia="Microsoft YaHei" w:cs="Microsoft YaHei"/>
          <w:sz w:val="30"/>
          <w:szCs w:val="30"/>
          <w:b/>
          <w:bCs/>
          <w:spacing w:val="11"/>
        </w:rPr>
        <w:t>2024年03月04日</w:t>
      </w:r>
    </w:p>
    <w:p>
      <w:pPr>
        <w:spacing w:line="187" w:lineRule="auto"/>
        <w:sectPr>
          <w:headerReference w:type="default" r:id="rId1"/>
          <w:pgSz w:w="11910" w:h="16840"/>
          <w:pgMar w:top="400" w:right="0" w:bottom="0" w:left="31" w:header="0" w:footer="0" w:gutter="0"/>
        </w:sectPr>
        <w:rPr>
          <w:rFonts w:ascii="Microsoft YaHei" w:hAnsi="Microsoft YaHei" w:eastAsia="Microsoft YaHei" w:cs="Microsoft YaHei"/>
          <w:sz w:val="30"/>
          <w:szCs w:val="30"/>
        </w:rPr>
      </w:pPr>
    </w:p>
    <w:p>
      <w:pPr>
        <w:ind w:left="1698"/>
        <w:spacing w:before="309" w:line="186" w:lineRule="auto"/>
        <w:outlineLvl w:val="0"/>
        <w:rPr>
          <w:rFonts w:ascii="Microsoft YaHei" w:hAnsi="Microsoft YaHei" w:eastAsia="Microsoft YaHei" w:cs="Microsoft YaHei"/>
          <w:sz w:val="42"/>
          <w:szCs w:val="42"/>
        </w:rPr>
      </w:pPr>
      <w:r>
        <w:pict>
          <v:rect id="_x0000_s2" style="position:absolute;margin-left:63.24pt;margin-top:65.76pt;mso-position-vertical-relative:page;mso-position-horizontal-relative:page;width:525.6pt;height:2.65pt;z-index:251659264;" o:allowincell="f" fillcolor="#A61C20" filled="true" stroked="false"/>
        </w:pict>
      </w:r>
      <w:r>
        <w:pict>
          <v:group id="_x0000_s4" style="position:absolute;margin-left:0pt;margin-top:20.04pt;mso-position-vertical-relative:page;mso-position-horizontal-relative:page;width:63.25pt;height:49.25pt;z-index:251658240;" o:allowincell="f" filled="false" stroked="false" coordsize="1265,985" coordorigin="0,0">
            <v:shape id="_x0000_s6" style="position:absolute;left:0;top:0;width:1265;height:985;" fillcolor="#A61C20" filled="true" stroked="false" coordsize="1265,985" coordorigin="0,0" path="m,l1264,0l1264,984l0,984l0,0xe"/>
            <v:shape id="_x0000_s8" style="position:absolute;left:167;top:0;width:876;height:936;" fillcolor="#FFFFFF" filled="true" stroked="false" coordsize="876,936" coordorigin="0,0" path="m439,936m439,936l367,928l300,909l237,878l180,840l127,787l84,729l48,662l21,590l7,513l0,429l7,350l21,271l48,199l84,132l127,74l180,21l213,0l379,0l369,0l307,19l247,52l194,96l148,148l110,208l84,278l64,352l57,429l64,508l84,583l110,652l148,712l194,768l247,808l307,842l369,864l439,868l655,868l640,878l578,909l511,928l439,936xm655,868m655,868l439,868l506,864l571,842l631,808l683,768l729,712l768,652l794,583l813,508l820,429l813,352l794,278l768,208l729,148l683,96l631,52l571,19l506,0l496,0l664,0l698,21l751,74l791,132l828,199l854,271l871,350l876,429l871,513l854,590l828,662l791,729l751,787l698,840l655,868xm439,194m439,194l415,187l396,172l384,148l379,122l384,96l396,74l415,60l439,55l463,60l480,74l492,96l499,122l492,148l480,172l463,187l439,194xm516,374m516,374l465,374l467,374l585,242l623,199l638,194l650,199l655,213l650,228l571,314l530,360l516,374xm446,494m446,494l429,494l410,484l396,468l386,444l386,420l396,398l410,379l429,369l451,367l460,372l463,374l516,374l492,398l444,398l424,403l415,424l417,448l434,463l484,463l475,477l463,487l446,494xm484,463m484,463l434,463l456,456l465,434l463,412l444,398l492,398l490,403l488,404l489,405l492,412l492,417l492,422l492,424l494,424l600,446l633,453l643,458l487,458l484,463xm626,489m626,489l523,468l489,458l643,458l645,463l650,475l643,487l626,489xm439,808m439,808l422,804l407,794l400,777l396,758l400,739l407,722l422,712l439,710l456,712l470,722l480,739l482,758l480,777l470,794l456,804l439,808e"/>
          </v:group>
        </w:pict>
      </w:r>
      <w:r>
        <w:rPr>
          <w:rFonts w:ascii="Microsoft YaHei" w:hAnsi="Microsoft YaHei" w:eastAsia="Microsoft YaHei" w:cs="Microsoft YaHei"/>
          <w:sz w:val="42"/>
          <w:szCs w:val="42"/>
          <w:spacing w:val="20"/>
        </w:rPr>
        <w:t>法规速递</w:t>
      </w:r>
    </w:p>
    <w:p>
      <w:pPr>
        <w:pStyle w:val="BodyText"/>
        <w:spacing w:line="330" w:lineRule="auto"/>
        <w:rPr/>
      </w:pPr>
      <w:r/>
    </w:p>
    <w:p>
      <w:pPr>
        <w:ind w:left="960"/>
        <w:spacing w:before="103" w:line="225" w:lineRule="auto"/>
        <w:rPr>
          <w:rFonts w:ascii="Microsoft YaHei" w:hAnsi="Microsoft YaHei" w:eastAsia="Microsoft YaHei" w:cs="Microsoft YaHei"/>
          <w:sz w:val="24"/>
          <w:szCs w:val="24"/>
        </w:rPr>
      </w:pPr>
      <w:r>
        <w:rPr>
          <w:rFonts w:ascii="Microsoft YaHei" w:hAnsi="Microsoft YaHei" w:eastAsia="Microsoft YaHei" w:cs="Microsoft YaHei"/>
          <w:sz w:val="24"/>
          <w:szCs w:val="24"/>
          <w:b/>
          <w:bCs/>
          <w:color w:val="333333"/>
          <w:spacing w:val="-3"/>
        </w:rPr>
        <w:t>1、对于《关于进一步规范股份减持行为有关事项的通知（深市）》的理解</w:t>
      </w:r>
    </w:p>
    <w:p>
      <w:pPr>
        <w:ind w:left="923" w:right="321" w:firstLine="440"/>
        <w:spacing w:before="279" w:line="226" w:lineRule="auto"/>
        <w:jc w:val="both"/>
        <w:rPr>
          <w:rFonts w:ascii="Microsoft YaHei" w:hAnsi="Microsoft YaHei" w:eastAsia="Microsoft YaHei" w:cs="Microsoft YaHei"/>
          <w:sz w:val="22"/>
          <w:szCs w:val="22"/>
        </w:rPr>
      </w:pPr>
      <w:r>
        <w:rPr>
          <w:rFonts w:ascii="Microsoft YaHei" w:hAnsi="Microsoft YaHei" w:eastAsia="Microsoft YaHei" w:cs="Microsoft YaHei"/>
          <w:sz w:val="22"/>
          <w:szCs w:val="22"/>
          <w:spacing w:val="-1"/>
        </w:rPr>
        <w:t>《关于进一步规范股份减持行为有关事项的通知（深市）》（深证上〔2023〕924号）规定：“</w:t>
      </w:r>
      <w:r>
        <w:rPr>
          <w:rFonts w:ascii="Microsoft YaHei" w:hAnsi="Microsoft YaHei" w:eastAsia="Microsoft YaHei" w:cs="Microsoft YaHei"/>
          <w:sz w:val="22"/>
          <w:szCs w:val="22"/>
          <w:spacing w:val="-2"/>
        </w:rPr>
        <w:t>一、上市</w:t>
      </w:r>
      <w:r>
        <w:rPr>
          <w:rFonts w:ascii="Microsoft YaHei" w:hAnsi="Microsoft YaHei" w:eastAsia="Microsoft YaHei" w:cs="Microsoft YaHei"/>
          <w:sz w:val="22"/>
          <w:szCs w:val="22"/>
        </w:rPr>
        <w:t xml:space="preserve"> </w:t>
      </w:r>
      <w:r>
        <w:rPr>
          <w:rFonts w:ascii="Microsoft YaHei" w:hAnsi="Microsoft YaHei" w:eastAsia="Microsoft YaHei" w:cs="Microsoft YaHei"/>
          <w:sz w:val="22"/>
          <w:szCs w:val="22"/>
          <w:spacing w:val="1"/>
        </w:rPr>
        <w:t>公司存在破发、破净情形</w:t>
      </w:r>
      <w:r>
        <w:rPr>
          <w:rFonts w:ascii="Microsoft YaHei" w:hAnsi="Microsoft YaHei" w:eastAsia="Microsoft YaHei" w:cs="Microsoft YaHei"/>
          <w:sz w:val="22"/>
          <w:szCs w:val="22"/>
          <w:spacing w:val="-31"/>
        </w:rPr>
        <w:t xml:space="preserve"> </w:t>
      </w:r>
      <w:r>
        <w:rPr>
          <w:rFonts w:ascii="Microsoft YaHei" w:hAnsi="Microsoft YaHei" w:eastAsia="Microsoft YaHei" w:cs="Microsoft YaHei"/>
          <w:sz w:val="22"/>
          <w:szCs w:val="22"/>
          <w:spacing w:val="1"/>
        </w:rPr>
        <w:t>，或者最近三年未进行现金分红、累计现金分红金额低于最近三年年均净利润30%(</w:t>
      </w:r>
      <w:r>
        <w:rPr>
          <w:rFonts w:ascii="Microsoft YaHei" w:hAnsi="Microsoft YaHei" w:eastAsia="Microsoft YaHei" w:cs="Microsoft YaHei"/>
          <w:sz w:val="22"/>
          <w:szCs w:val="22"/>
        </w:rPr>
        <w:t xml:space="preserve"> </w:t>
      </w:r>
      <w:r>
        <w:rPr>
          <w:rFonts w:ascii="Microsoft YaHei" w:hAnsi="Microsoft YaHei" w:eastAsia="Microsoft YaHei" w:cs="Microsoft YaHei"/>
          <w:sz w:val="22"/>
          <w:szCs w:val="22"/>
          <w:spacing w:val="-3"/>
        </w:rPr>
        <w:t>以下统称分红不达标）的控股股东、实际控制人不得通过二级市场</w:t>
      </w:r>
      <w:r>
        <w:rPr>
          <w:rFonts w:ascii="Microsoft YaHei" w:hAnsi="Microsoft YaHei" w:eastAsia="Microsoft YaHei" w:cs="Microsoft YaHei"/>
          <w:sz w:val="22"/>
          <w:szCs w:val="22"/>
          <w:spacing w:val="-4"/>
        </w:rPr>
        <w:t>减持本公司股份。……”、“六、最近三年未</w:t>
      </w:r>
      <w:r>
        <w:rPr>
          <w:rFonts w:ascii="Microsoft YaHei" w:hAnsi="Microsoft YaHei" w:eastAsia="Microsoft YaHei" w:cs="Microsoft YaHei"/>
          <w:sz w:val="22"/>
          <w:szCs w:val="22"/>
        </w:rPr>
        <w:t xml:space="preserve"> </w:t>
      </w:r>
      <w:r>
        <w:rPr>
          <w:rFonts w:ascii="Microsoft YaHei" w:hAnsi="Microsoft YaHei" w:eastAsia="Microsoft YaHei" w:cs="Microsoft YaHei"/>
          <w:sz w:val="22"/>
          <w:szCs w:val="22"/>
          <w:spacing w:val="-1"/>
        </w:rPr>
        <w:t>进行现金分红或者累计现金分红金额低于最</w:t>
      </w:r>
      <w:r>
        <w:rPr>
          <w:rFonts w:ascii="Microsoft YaHei" w:hAnsi="Microsoft YaHei" w:eastAsia="Microsoft YaHei" w:cs="Microsoft YaHei"/>
          <w:sz w:val="22"/>
          <w:szCs w:val="22"/>
          <w:spacing w:val="-2"/>
        </w:rPr>
        <w:t>近三年年均净利润的30%</w:t>
      </w:r>
      <w:r>
        <w:rPr>
          <w:rFonts w:ascii="Microsoft YaHei" w:hAnsi="Microsoft YaHei" w:eastAsia="Microsoft YaHei" w:cs="Microsoft YaHei"/>
          <w:sz w:val="22"/>
          <w:szCs w:val="22"/>
          <w:spacing w:val="-32"/>
        </w:rPr>
        <w:t xml:space="preserve"> </w:t>
      </w:r>
      <w:r>
        <w:rPr>
          <w:rFonts w:ascii="Microsoft YaHei" w:hAnsi="Microsoft YaHei" w:eastAsia="Microsoft YaHei" w:cs="Microsoft YaHei"/>
          <w:sz w:val="22"/>
          <w:szCs w:val="22"/>
          <w:spacing w:val="-2"/>
        </w:rPr>
        <w:t>，以最近三个已披露经审计的年度报告的</w:t>
      </w:r>
      <w:r>
        <w:rPr>
          <w:rFonts w:ascii="Microsoft YaHei" w:hAnsi="Microsoft YaHei" w:eastAsia="Microsoft YaHei" w:cs="Microsoft YaHei"/>
          <w:sz w:val="22"/>
          <w:szCs w:val="22"/>
        </w:rPr>
        <w:t xml:space="preserve"> </w:t>
      </w:r>
      <w:r>
        <w:rPr>
          <w:rFonts w:ascii="Microsoft YaHei" w:hAnsi="Microsoft YaHei" w:eastAsia="Microsoft YaHei" w:cs="Microsoft YaHei"/>
          <w:sz w:val="22"/>
          <w:szCs w:val="22"/>
          <w:spacing w:val="-4"/>
        </w:rPr>
        <w:t>会计年度为基准，但净利润为负值的会计年度不计算在内。</w:t>
      </w:r>
    </w:p>
    <w:p>
      <w:pPr>
        <w:ind w:left="9915"/>
        <w:spacing w:before="320" w:line="638" w:lineRule="exact"/>
        <w:rPr>
          <w:rFonts w:ascii="Microsoft YaHei" w:hAnsi="Microsoft YaHei" w:eastAsia="Microsoft YaHei" w:cs="Microsoft YaHei"/>
          <w:sz w:val="22"/>
          <w:szCs w:val="22"/>
        </w:rPr>
      </w:pPr>
      <w:r>
        <w:rPr>
          <w:rFonts w:ascii="Microsoft YaHei" w:hAnsi="Microsoft YaHei" w:eastAsia="Microsoft YaHei" w:cs="Microsoft YaHei"/>
          <w:sz w:val="22"/>
          <w:szCs w:val="22"/>
          <w:spacing w:val="-2"/>
          <w:position w:val="32"/>
        </w:rPr>
        <w:t>深圳证券交易所</w:t>
      </w:r>
    </w:p>
    <w:p>
      <w:pPr>
        <w:ind w:left="9780"/>
        <w:spacing w:before="1" w:line="183" w:lineRule="auto"/>
        <w:rPr>
          <w:rFonts w:ascii="Microsoft YaHei" w:hAnsi="Microsoft YaHei" w:eastAsia="Microsoft YaHei" w:cs="Microsoft YaHei"/>
          <w:sz w:val="22"/>
          <w:szCs w:val="22"/>
        </w:rPr>
      </w:pPr>
      <w:r>
        <w:rPr>
          <w:rFonts w:ascii="Microsoft YaHei" w:hAnsi="Microsoft YaHei" w:eastAsia="Microsoft YaHei" w:cs="Microsoft YaHei"/>
          <w:sz w:val="22"/>
          <w:szCs w:val="22"/>
          <w:spacing w:val="-3"/>
        </w:rPr>
        <w:t>2024年02月28日</w:t>
      </w:r>
    </w:p>
    <w:p>
      <w:pPr>
        <w:pStyle w:val="BodyText"/>
        <w:spacing w:line="416" w:lineRule="auto"/>
        <w:rPr/>
      </w:pPr>
      <w:r/>
    </w:p>
    <w:p>
      <w:pPr>
        <w:ind w:firstLine="4579"/>
        <w:spacing w:line="2544" w:lineRule="exact"/>
        <w:rPr/>
      </w:pPr>
      <w:r>
        <w:rPr>
          <w:position w:val="-50"/>
        </w:rPr>
        <w:drawing>
          <wp:inline distT="0" distB="0" distL="0" distR="0">
            <wp:extent cx="1714500" cy="1615439"/>
            <wp:effectExtent l="0" t="0" r="0" b="0"/>
            <wp:docPr id="4" name="IM 4"/>
            <wp:cNvGraphicFramePr/>
            <a:graphic>
              <a:graphicData uri="http://schemas.openxmlformats.org/drawingml/2006/picture">
                <pic:pic>
                  <pic:nvPicPr>
                    <pic:cNvPr id="4" name="IM 4"/>
                    <pic:cNvPicPr/>
                  </pic:nvPicPr>
                  <pic:blipFill>
                    <a:blip r:embed="rId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714500" cy="16154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left="2201"/>
        <w:spacing w:before="273" w:line="225" w:lineRule="auto"/>
        <w:rPr>
          <w:rFonts w:ascii="Microsoft YaHei" w:hAnsi="Microsoft YaHei" w:eastAsia="Microsoft YaHei" w:cs="Microsoft YaHei"/>
          <w:sz w:val="24"/>
          <w:szCs w:val="24"/>
        </w:rPr>
      </w:pPr>
      <w:r>
        <w:rPr>
          <w:rFonts w:ascii="Microsoft YaHei" w:hAnsi="Microsoft YaHei" w:eastAsia="Microsoft YaHei" w:cs="Microsoft YaHei"/>
          <w:sz w:val="24"/>
          <w:szCs w:val="24"/>
          <w:b/>
          <w:bCs/>
          <w:color w:val="333333"/>
          <w:spacing w:val="-2"/>
        </w:rPr>
        <w:t>对于《关于进一步规范股份减持行为有关事项的通知（深市）》的理解</w:t>
      </w:r>
    </w:p>
    <w:p>
      <w:pPr>
        <w:spacing w:line="225" w:lineRule="auto"/>
        <w:sectPr>
          <w:headerReference w:type="default" r:id="rId2"/>
          <w:pgSz w:w="11910" w:h="16840"/>
          <w:pgMar w:top="400" w:right="133" w:bottom="0" w:left="0" w:header="0" w:footer="0" w:gutter="0"/>
        </w:sectPr>
        <w:rPr>
          <w:rFonts w:ascii="Microsoft YaHei" w:hAnsi="Microsoft YaHei" w:eastAsia="Microsoft YaHei" w:cs="Microsoft YaHei"/>
          <w:sz w:val="24"/>
          <w:szCs w:val="24"/>
        </w:rPr>
      </w:pPr>
    </w:p>
    <w:p>
      <w:pPr>
        <w:ind w:left="11"/>
        <w:spacing w:before="117" w:line="183" w:lineRule="auto"/>
        <w:outlineLvl w:val="0"/>
        <w:rPr>
          <w:rFonts w:ascii="Microsoft YaHei" w:hAnsi="Microsoft YaHei" w:eastAsia="Microsoft YaHei" w:cs="Microsoft YaHei"/>
          <w:sz w:val="24"/>
          <w:szCs w:val="24"/>
        </w:rPr>
      </w:pPr>
      <w:r>
        <w:rPr>
          <w:rFonts w:ascii="Microsoft YaHei" w:hAnsi="Microsoft YaHei" w:eastAsia="Microsoft YaHei" w:cs="Microsoft YaHei"/>
          <w:sz w:val="24"/>
          <w:szCs w:val="24"/>
          <w:b/>
          <w:bCs/>
          <w:color w:val="333333"/>
          <w:spacing w:val="-2"/>
        </w:rPr>
        <w:t>2、2024年2月4日证监会要闻——证监会召开资本市场法治建设</w:t>
      </w:r>
      <w:r>
        <w:rPr>
          <w:rFonts w:ascii="Microsoft YaHei" w:hAnsi="Microsoft YaHei" w:eastAsia="Microsoft YaHei" w:cs="Microsoft YaHei"/>
          <w:sz w:val="24"/>
          <w:szCs w:val="24"/>
          <w:b/>
          <w:bCs/>
          <w:color w:val="333333"/>
          <w:spacing w:val="-3"/>
        </w:rPr>
        <w:t>座谈会</w:t>
      </w:r>
    </w:p>
    <w:p>
      <w:pPr>
        <w:pStyle w:val="BodyText"/>
        <w:spacing w:line="269" w:lineRule="auto"/>
        <w:rPr/>
      </w:pPr>
      <w:r/>
    </w:p>
    <w:p>
      <w:pPr>
        <w:ind w:right="31" w:firstLine="446"/>
        <w:spacing w:before="94" w:line="209" w:lineRule="auto"/>
        <w:jc w:val="both"/>
        <w:rPr>
          <w:rFonts w:ascii="Microsoft YaHei" w:hAnsi="Microsoft YaHei" w:eastAsia="Microsoft YaHei" w:cs="Microsoft YaHei"/>
          <w:sz w:val="22"/>
          <w:szCs w:val="22"/>
        </w:rPr>
      </w:pPr>
      <w:r>
        <w:rPr>
          <w:rFonts w:ascii="Microsoft YaHei" w:hAnsi="Microsoft YaHei" w:eastAsia="Microsoft YaHei" w:cs="Microsoft YaHei"/>
          <w:sz w:val="22"/>
          <w:szCs w:val="22"/>
          <w:spacing w:val="-6"/>
        </w:rPr>
        <w:t>2月27日，证监会党委书记、主席吴清主持召开资本市场法治建设座谈会，就完善资本市场基础制度、加强 </w:t>
      </w:r>
      <w:r>
        <w:rPr>
          <w:rFonts w:ascii="Microsoft YaHei" w:hAnsi="Microsoft YaHei" w:eastAsia="Microsoft YaHei" w:cs="Microsoft YaHei"/>
          <w:sz w:val="22"/>
          <w:szCs w:val="22"/>
          <w:spacing w:val="-6"/>
        </w:rPr>
        <w:t>法治保障听取意见建议。全国人大常委会法工委、最高人民法院、最高人民检察院、公安部、司法部有关负责同</w:t>
      </w:r>
      <w:r>
        <w:rPr>
          <w:rFonts w:ascii="Microsoft YaHei" w:hAnsi="Microsoft YaHei" w:eastAsia="Microsoft YaHei" w:cs="Microsoft YaHei"/>
          <w:sz w:val="22"/>
          <w:szCs w:val="22"/>
          <w:spacing w:val="2"/>
        </w:rPr>
        <w:t xml:space="preserve"> </w:t>
      </w:r>
      <w:r>
        <w:rPr>
          <w:rFonts w:ascii="Microsoft YaHei" w:hAnsi="Microsoft YaHei" w:eastAsia="Microsoft YaHei" w:cs="Microsoft YaHei"/>
          <w:sz w:val="22"/>
          <w:szCs w:val="22"/>
          <w:spacing w:val="-6"/>
        </w:rPr>
        <w:t>志，部分专家学者和律师代表参加座谈。</w:t>
      </w:r>
    </w:p>
    <w:p>
      <w:pPr>
        <w:spacing w:before="289" w:line="640" w:lineRule="exact"/>
        <w:jc w:val="right"/>
        <w:rPr>
          <w:rFonts w:ascii="Microsoft YaHei" w:hAnsi="Microsoft YaHei" w:eastAsia="Microsoft YaHei" w:cs="Microsoft YaHei"/>
          <w:sz w:val="22"/>
          <w:szCs w:val="22"/>
        </w:rPr>
      </w:pPr>
      <w:r>
        <w:rPr>
          <w:rFonts w:ascii="Microsoft YaHei" w:hAnsi="Microsoft YaHei" w:eastAsia="Microsoft YaHei" w:cs="Microsoft YaHei"/>
          <w:sz w:val="22"/>
          <w:szCs w:val="22"/>
          <w:spacing w:val="-5"/>
          <w:position w:val="33"/>
        </w:rPr>
        <w:t>中国</w:t>
      </w:r>
      <w:r>
        <w:rPr>
          <w:rFonts w:ascii="Microsoft YaHei" w:hAnsi="Microsoft YaHei" w:eastAsia="Microsoft YaHei" w:cs="Microsoft YaHei"/>
          <w:sz w:val="22"/>
          <w:szCs w:val="22"/>
          <w:spacing w:val="-4"/>
          <w:position w:val="33"/>
        </w:rPr>
        <w:t>证券监督管理委员</w:t>
      </w:r>
      <w:r>
        <w:rPr>
          <w:rFonts w:ascii="Microsoft YaHei" w:hAnsi="Microsoft YaHei" w:eastAsia="Microsoft YaHei" w:cs="Microsoft YaHei"/>
          <w:sz w:val="22"/>
          <w:szCs w:val="22"/>
          <w:spacing w:val="-2"/>
          <w:position w:val="33"/>
        </w:rPr>
        <w:t>会</w:t>
      </w:r>
    </w:p>
    <w:p>
      <w:pPr>
        <w:spacing w:before="1" w:line="183" w:lineRule="auto"/>
        <w:jc w:val="right"/>
        <w:rPr>
          <w:rFonts w:ascii="Microsoft YaHei" w:hAnsi="Microsoft YaHei" w:eastAsia="Microsoft YaHei" w:cs="Microsoft YaHei"/>
          <w:sz w:val="22"/>
          <w:szCs w:val="22"/>
        </w:rPr>
      </w:pPr>
      <w:r>
        <w:rPr>
          <w:rFonts w:ascii="Microsoft YaHei" w:hAnsi="Microsoft YaHei" w:eastAsia="Microsoft YaHei" w:cs="Microsoft YaHei"/>
          <w:sz w:val="22"/>
          <w:szCs w:val="22"/>
          <w:spacing w:val="-3"/>
        </w:rPr>
        <w:t>2024年02月28日</w:t>
      </w:r>
    </w:p>
    <w:p>
      <w:pPr>
        <w:pStyle w:val="BodyText"/>
        <w:spacing w:line="299" w:lineRule="auto"/>
        <w:rPr/>
      </w:pPr>
      <w:r/>
    </w:p>
    <w:p>
      <w:pPr>
        <w:ind w:firstLine="3904"/>
        <w:spacing w:line="2700" w:lineRule="exact"/>
        <w:rPr/>
      </w:pPr>
      <w:r>
        <w:rPr>
          <w:position w:val="-54"/>
        </w:rPr>
        <w:drawing>
          <wp:inline distT="0" distB="0" distL="0" distR="0">
            <wp:extent cx="1714499" cy="1714500"/>
            <wp:effectExtent l="0" t="0" r="0" b="0"/>
            <wp:docPr id="6" name="IM 6"/>
            <wp:cNvGraphicFramePr/>
            <a:graphic>
              <a:graphicData uri="http://schemas.openxmlformats.org/drawingml/2006/picture">
                <pic:pic>
                  <pic:nvPicPr>
                    <pic:cNvPr id="6" name="IM 6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714499" cy="1714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left="3416"/>
        <w:spacing w:before="282" w:line="183" w:lineRule="auto"/>
        <w:rPr>
          <w:rFonts w:ascii="Microsoft YaHei" w:hAnsi="Microsoft YaHei" w:eastAsia="Microsoft YaHei" w:cs="Microsoft YaHei"/>
          <w:sz w:val="24"/>
          <w:szCs w:val="24"/>
        </w:rPr>
      </w:pPr>
      <w:r>
        <w:rPr>
          <w:rFonts w:ascii="Microsoft YaHei" w:hAnsi="Microsoft YaHei" w:eastAsia="Microsoft YaHei" w:cs="Microsoft YaHei"/>
          <w:sz w:val="24"/>
          <w:szCs w:val="24"/>
          <w:b/>
          <w:bCs/>
          <w:color w:val="333333"/>
          <w:spacing w:val="-3"/>
        </w:rPr>
        <w:t>证监会召开资本市场法治建设座谈会</w:t>
      </w:r>
    </w:p>
    <w:p>
      <w:pPr>
        <w:spacing w:line="183" w:lineRule="auto"/>
        <w:sectPr>
          <w:pgSz w:w="11910" w:h="16840"/>
          <w:pgMar w:top="400" w:right="457" w:bottom="0" w:left="931" w:header="0" w:footer="0" w:gutter="0"/>
        </w:sectPr>
        <w:rPr>
          <w:rFonts w:ascii="Microsoft YaHei" w:hAnsi="Microsoft YaHei" w:eastAsia="Microsoft YaHei" w:cs="Microsoft YaHei"/>
          <w:sz w:val="24"/>
          <w:szCs w:val="24"/>
        </w:rPr>
      </w:pPr>
    </w:p>
    <w:p>
      <w:pPr>
        <w:pStyle w:val="BodyText"/>
        <w:spacing w:line="268" w:lineRule="auto"/>
        <w:rPr/>
      </w:pPr>
      <w:r>
        <w:pict>
          <v:rect id="_x0000_s10" style="position:absolute;margin-left:67.8pt;margin-top:91.8pt;mso-position-vertical-relative:page;mso-position-horizontal-relative:page;width:525.65pt;height:2.65pt;z-index:251663360;" o:allowincell="f" fillcolor="#A61C20" filled="true" stroked="false"/>
        </w:pict>
      </w:r>
      <w:r>
        <w:pict>
          <v:group id="_x0000_s12" style="position:absolute;margin-left:0pt;margin-top:38.04pt;mso-position-vertical-relative:page;mso-position-horizontal-relative:page;width:67.85pt;height:56.8pt;z-index:251662336;" o:allowincell="f" filled="false" stroked="false" coordsize="1356,1135" coordorigin="0,0">
            <v:shape id="_x0000_s14" style="position:absolute;left:0;top:0;width:1356;height:1135;" fillcolor="#A61C20" filled="true" stroked="false" coordsize="1356,1135" coordorigin="0,0" path="m,l1356,0l1356,1135l0,1135l0,0xe"/>
            <v:shape id="_x0000_s16" style="position:absolute;left:223;top:170;width:819;height:911;" fillcolor="#FFFFFF" filled="true" stroked="false" coordsize="819,911" coordorigin="0,0" path="m595,777l223,777l213,770l213,731l223,724l595,724l604,731l604,770l595,777xm580,708l237,708l225,698l225,688l213,635l179,583l136,532l88,480l43,424l11,362l0,297l0,290l4,237l21,187l50,144l83,105l127,71l175,48l230,26l287,11l347,2l410,0l470,2l530,11l588,26l640,48l688,71l732,105l736,108l364,108l360,117l360,124l355,148l352,151l232,151l201,175l189,184l177,194l172,199l172,208l177,215l206,242l208,244l208,249l201,259l196,268l191,280l184,290l184,291l182,291l179,292l170,292l124,297l115,302l115,371l124,374l136,376l180,381l182,381l184,382l184,384l191,395l196,405l201,415l208,424l208,429l201,436l191,444l177,460l172,465l172,472l177,480l225,515l232,520l352,520l355,540l360,549l360,559l364,564l648,564l636,578l604,628l592,688l592,698l580,708xm524,182l523,182l496,172l482,168l468,164l466,164l468,163l465,160l465,148l460,136l460,124l458,117l451,108l736,108l768,144l772,151l585,151l576,153l566,158l529,181l528,182l525,182m292,182l290,181l287,182l280,175l271,170l261,163l251,158l242,153l232,151l352,151l352,160l351,162l349,164l347,165l335,168l321,172l307,177l293,181l292,182m686,520l585,520l648,472l645,465l640,460l624,444l616,436l607,428l607,427l609,424l616,415l621,405l626,395l631,384l631,384l636,381l638,381l684,376l693,374l703,371l703,302l693,297l684,297l648,292l638,292l636,292l631,291l631,290l626,280l621,268l616,259l609,248l607,247l607,244l609,242l640,215l645,208l648,199l640,194l628,184l616,175l592,158l585,151l772,151l794,187l811,237l818,290l818,297l804,362l772,422l729,475l686,520xm410,448l355,439l307,415l278,379l266,335l278,295l307,259l355,235l410,228l465,235l508,259l540,295l549,335l540,379l508,415l465,439l410,448xm352,520l242,520l251,515l261,511l271,504l280,499l288,493l290,491l292,491l307,496l321,504l335,506l347,508l352,511l352,515l352,520xm648,564l451,564l458,559l460,549l460,540l465,525l464,513l466,511l466,510l468,508l496,504l508,496l523,491l527,491l530,494l540,499l547,504l556,511l566,515l576,520l686,520l681,528l648,564xm559,911l256,911l247,904l247,864l256,859l559,859l568,864l568,904l559,911xm580,844l235,844l227,840l227,796l235,791l580,791l592,796l592,840l580,844e"/>
          </v:group>
        </w:pict>
      </w:r>
      <w:r/>
    </w:p>
    <w:p>
      <w:pPr>
        <w:pStyle w:val="BodyText"/>
        <w:spacing w:line="268" w:lineRule="auto"/>
        <w:rPr/>
      </w:pPr>
      <w:r/>
    </w:p>
    <w:p>
      <w:pPr>
        <w:ind w:left="1715"/>
        <w:spacing w:before="180" w:line="186" w:lineRule="auto"/>
        <w:rPr>
          <w:rFonts w:ascii="Microsoft YaHei" w:hAnsi="Microsoft YaHei" w:eastAsia="Microsoft YaHei" w:cs="Microsoft YaHei"/>
          <w:sz w:val="42"/>
          <w:szCs w:val="42"/>
        </w:rPr>
      </w:pPr>
      <w:r>
        <w:rPr>
          <w:rFonts w:ascii="Microsoft YaHei" w:hAnsi="Microsoft YaHei" w:eastAsia="Microsoft YaHei" w:cs="Microsoft YaHei"/>
          <w:sz w:val="42"/>
          <w:szCs w:val="42"/>
          <w:spacing w:val="18"/>
        </w:rPr>
        <w:t>监管动态</w:t>
      </w:r>
    </w:p>
    <w:p>
      <w:pPr>
        <w:pStyle w:val="BodyText"/>
        <w:spacing w:line="268" w:lineRule="auto"/>
        <w:rPr/>
      </w:pPr>
      <w:r/>
    </w:p>
    <w:p>
      <w:pPr>
        <w:pStyle w:val="BodyText"/>
        <w:spacing w:line="268" w:lineRule="auto"/>
        <w:rPr/>
      </w:pPr>
      <w:r/>
    </w:p>
    <w:p>
      <w:pPr>
        <w:ind w:firstLine="19"/>
        <w:spacing w:line="924" w:lineRule="exact"/>
        <w:rPr/>
      </w:pPr>
      <w:r>
        <w:rPr>
          <w:position w:val="-18"/>
        </w:rPr>
        <w:pict>
          <v:group id="_x0000_s18" style="mso-position-vertical-relative:line;mso-position-horizontal-relative:char;width:112.1pt;height:46.25pt;" filled="false" stroked="false" coordsize="2241,925" coordorigin="0,0">
            <v:shape id="_x0000_s20" style="position:absolute;left:0;top:0;width:2241;height:925;" filled="false" stroked="false" type="#_x0000_t75">
              <v:imagedata o:title="" r:id="rId5"/>
            </v:shape>
            <v:shape id="_x0000_s22" style="position:absolute;left:-20;top:-20;width:2281;height:965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397"/>
                      <w:spacing w:before="299" w:line="184" w:lineRule="auto"/>
                      <w:rPr>
                        <w:rFonts w:ascii="Microsoft YaHei" w:hAnsi="Microsoft YaHei" w:eastAsia="Microsoft YaHei" w:cs="Microsoft YaHei"/>
                        <w:sz w:val="28"/>
                        <w:szCs w:val="28"/>
                      </w:rPr>
                    </w:pPr>
                    <w:r>
                      <w:rPr>
                        <w:rFonts w:ascii="Microsoft YaHei" w:hAnsi="Microsoft YaHei" w:eastAsia="Microsoft YaHei" w:cs="Microsoft YaHei"/>
                        <w:sz w:val="28"/>
                        <w:szCs w:val="28"/>
                        <w:color w:val="FFFFFF"/>
                        <w:spacing w:val="-4"/>
                      </w:rPr>
                      <w:t>市场监管概览</w:t>
                    </w:r>
                  </w:p>
                </w:txbxContent>
              </v:textbox>
            </v:shape>
          </v:group>
        </w:pict>
      </w:r>
    </w:p>
    <w:p>
      <w:pPr>
        <w:pStyle w:val="BodyText"/>
        <w:spacing w:line="314" w:lineRule="auto"/>
        <w:rPr/>
      </w:pPr>
      <w:r/>
    </w:p>
    <w:p>
      <w:pPr>
        <w:ind w:left="443" w:right="278" w:firstLine="459"/>
        <w:spacing w:before="94" w:line="198" w:lineRule="auto"/>
        <w:rPr>
          <w:rFonts w:ascii="Microsoft YaHei" w:hAnsi="Microsoft YaHei" w:eastAsia="Microsoft YaHei" w:cs="Microsoft YaHei"/>
          <w:sz w:val="22"/>
          <w:szCs w:val="22"/>
        </w:rPr>
      </w:pPr>
      <w:r>
        <w:rPr>
          <w:rFonts w:ascii="Microsoft YaHei" w:hAnsi="Microsoft YaHei" w:eastAsia="Microsoft YaHei" w:cs="Microsoft YaHei"/>
          <w:sz w:val="22"/>
          <w:szCs w:val="22"/>
          <w:spacing w:val="-2"/>
        </w:rPr>
        <w:t>2024年2月26日-3月3日</w:t>
      </w:r>
      <w:r>
        <w:rPr>
          <w:rFonts w:ascii="Microsoft YaHei" w:hAnsi="Microsoft YaHei" w:eastAsia="Microsoft YaHei" w:cs="Microsoft YaHei"/>
          <w:sz w:val="22"/>
          <w:szCs w:val="22"/>
          <w:spacing w:val="-34"/>
        </w:rPr>
        <w:t xml:space="preserve"> </w:t>
      </w:r>
      <w:r>
        <w:rPr>
          <w:rFonts w:ascii="Microsoft YaHei" w:hAnsi="Microsoft YaHei" w:eastAsia="Microsoft YaHei" w:cs="Microsoft YaHei"/>
          <w:sz w:val="22"/>
          <w:szCs w:val="22"/>
          <w:spacing w:val="-2"/>
        </w:rPr>
        <w:t>，证监会作出5份监管文书</w:t>
      </w:r>
      <w:r>
        <w:rPr>
          <w:rFonts w:ascii="Microsoft YaHei" w:hAnsi="Microsoft YaHei" w:eastAsia="Microsoft YaHei" w:cs="Microsoft YaHei"/>
          <w:sz w:val="22"/>
          <w:szCs w:val="22"/>
          <w:spacing w:val="-3"/>
        </w:rPr>
        <w:t>；证监局作出27份监管文书；上交所作出6份监管文书；深交</w:t>
      </w:r>
      <w:r>
        <w:rPr>
          <w:rFonts w:ascii="Microsoft YaHei" w:hAnsi="Microsoft YaHei" w:eastAsia="Microsoft YaHei" w:cs="Microsoft YaHei"/>
          <w:sz w:val="22"/>
          <w:szCs w:val="22"/>
        </w:rPr>
        <w:t xml:space="preserve"> </w:t>
      </w:r>
      <w:r>
        <w:rPr>
          <w:rFonts w:ascii="Microsoft YaHei" w:hAnsi="Microsoft YaHei" w:eastAsia="Microsoft YaHei" w:cs="Microsoft YaHei"/>
          <w:sz w:val="22"/>
          <w:szCs w:val="22"/>
          <w:spacing w:val="-2"/>
        </w:rPr>
        <w:t>所作出6份监管文书。</w:t>
      </w:r>
    </w:p>
    <w:p>
      <w:pPr>
        <w:pStyle w:val="BodyText"/>
        <w:spacing w:line="272" w:lineRule="auto"/>
        <w:rPr/>
      </w:pPr>
      <w:r/>
    </w:p>
    <w:p>
      <w:pPr>
        <w:ind w:left="443" w:right="419" w:firstLine="447"/>
        <w:spacing w:before="94" w:line="198" w:lineRule="auto"/>
        <w:rPr>
          <w:rFonts w:ascii="Microsoft YaHei" w:hAnsi="Microsoft YaHei" w:eastAsia="Microsoft YaHei" w:cs="Microsoft YaHei"/>
          <w:sz w:val="22"/>
          <w:szCs w:val="22"/>
        </w:rPr>
      </w:pPr>
      <w:r>
        <w:rPr>
          <w:rFonts w:ascii="Microsoft YaHei" w:hAnsi="Microsoft YaHei" w:eastAsia="Microsoft YaHei" w:cs="Microsoft YaHei"/>
          <w:sz w:val="22"/>
          <w:szCs w:val="22"/>
          <w:spacing w:val="-3"/>
        </w:rPr>
        <w:t>上周  ，证监会对5个对象立案调查；证监局作出2份行政</w:t>
      </w:r>
      <w:r>
        <w:rPr>
          <w:rFonts w:ascii="Microsoft YaHei" w:hAnsi="Microsoft YaHei" w:eastAsia="Microsoft YaHei" w:cs="Microsoft YaHei"/>
          <w:sz w:val="22"/>
          <w:szCs w:val="22"/>
          <w:spacing w:val="-4"/>
        </w:rPr>
        <w:t>处罚决定书</w:t>
      </w:r>
      <w:r>
        <w:rPr>
          <w:rFonts w:ascii="Microsoft YaHei" w:hAnsi="Microsoft YaHei" w:eastAsia="Microsoft YaHei" w:cs="Microsoft YaHei"/>
          <w:sz w:val="22"/>
          <w:szCs w:val="22"/>
          <w:spacing w:val="-35"/>
        </w:rPr>
        <w:t xml:space="preserve"> </w:t>
      </w:r>
      <w:r>
        <w:rPr>
          <w:rFonts w:ascii="Microsoft YaHei" w:hAnsi="Microsoft YaHei" w:eastAsia="Microsoft YaHei" w:cs="Microsoft YaHei"/>
          <w:sz w:val="22"/>
          <w:szCs w:val="22"/>
          <w:spacing w:val="-4"/>
        </w:rPr>
        <w:t>，2份行政处罚决定事先告知书</w:t>
      </w:r>
      <w:r>
        <w:rPr>
          <w:rFonts w:ascii="Microsoft YaHei" w:hAnsi="Microsoft YaHei" w:eastAsia="Microsoft YaHei" w:cs="Microsoft YaHei"/>
          <w:sz w:val="22"/>
          <w:szCs w:val="22"/>
          <w:spacing w:val="-34"/>
        </w:rPr>
        <w:t xml:space="preserve"> </w:t>
      </w:r>
      <w:r>
        <w:rPr>
          <w:rFonts w:ascii="Microsoft YaHei" w:hAnsi="Microsoft YaHei" w:eastAsia="Microsoft YaHei" w:cs="Microsoft YaHei"/>
          <w:sz w:val="22"/>
          <w:szCs w:val="22"/>
          <w:spacing w:val="-4"/>
        </w:rPr>
        <w:t>，23份行政</w:t>
      </w:r>
      <w:r>
        <w:rPr>
          <w:rFonts w:ascii="Microsoft YaHei" w:hAnsi="Microsoft YaHei" w:eastAsia="Microsoft YaHei" w:cs="Microsoft YaHei"/>
          <w:sz w:val="22"/>
          <w:szCs w:val="22"/>
        </w:rPr>
        <w:t xml:space="preserve"> </w:t>
      </w:r>
      <w:r>
        <w:rPr>
          <w:rFonts w:ascii="Microsoft YaHei" w:hAnsi="Microsoft YaHei" w:eastAsia="Microsoft YaHei" w:cs="Microsoft YaHei"/>
          <w:sz w:val="22"/>
          <w:szCs w:val="22"/>
          <w:spacing w:val="-2"/>
        </w:rPr>
        <w:t>监管措施决定书。</w:t>
      </w:r>
    </w:p>
    <w:p>
      <w:pPr>
        <w:pStyle w:val="BodyText"/>
        <w:spacing w:line="277" w:lineRule="auto"/>
        <w:rPr/>
      </w:pPr>
      <w:r/>
    </w:p>
    <w:p>
      <w:pPr>
        <w:ind w:left="463" w:right="585" w:firstLine="429"/>
        <w:spacing w:before="94" w:line="198" w:lineRule="auto"/>
        <w:rPr>
          <w:rFonts w:ascii="Microsoft YaHei" w:hAnsi="Microsoft YaHei" w:eastAsia="Microsoft YaHei" w:cs="Microsoft YaHei"/>
          <w:sz w:val="22"/>
          <w:szCs w:val="22"/>
        </w:rPr>
      </w:pPr>
      <w:r>
        <w:rPr>
          <w:rFonts w:ascii="Microsoft YaHei" w:hAnsi="Microsoft YaHei" w:eastAsia="Microsoft YaHei" w:cs="Microsoft YaHei"/>
          <w:sz w:val="22"/>
          <w:szCs w:val="22"/>
          <w:spacing w:val="-3"/>
        </w:rPr>
        <w:t>上周  ，上交所公司监管部门作出3份监管警示函</w:t>
      </w:r>
      <w:r>
        <w:rPr>
          <w:rFonts w:ascii="Microsoft YaHei" w:hAnsi="Microsoft YaHei" w:eastAsia="Microsoft YaHei" w:cs="Microsoft YaHei"/>
          <w:sz w:val="22"/>
          <w:szCs w:val="22"/>
          <w:spacing w:val="-34"/>
        </w:rPr>
        <w:t xml:space="preserve"> </w:t>
      </w:r>
      <w:r>
        <w:rPr>
          <w:rFonts w:ascii="Microsoft YaHei" w:hAnsi="Microsoft YaHei" w:eastAsia="Microsoft YaHei" w:cs="Microsoft YaHei"/>
          <w:sz w:val="22"/>
          <w:szCs w:val="22"/>
          <w:spacing w:val="-3"/>
        </w:rPr>
        <w:t>，对3宗行为予以纪律处分。同时，加大信息披露和股价</w:t>
      </w:r>
      <w:r>
        <w:rPr>
          <w:rFonts w:ascii="Microsoft YaHei" w:hAnsi="Microsoft YaHei" w:eastAsia="Microsoft YaHei" w:cs="Microsoft YaHei"/>
          <w:sz w:val="22"/>
          <w:szCs w:val="22"/>
          <w:spacing w:val="-4"/>
        </w:rPr>
        <w:t>异常</w:t>
      </w:r>
      <w:r>
        <w:rPr>
          <w:rFonts w:ascii="Microsoft YaHei" w:hAnsi="Microsoft YaHei" w:eastAsia="Microsoft YaHei" w:cs="Microsoft YaHei"/>
          <w:sz w:val="22"/>
          <w:szCs w:val="22"/>
        </w:rPr>
        <w:t xml:space="preserve"> </w:t>
      </w:r>
      <w:r>
        <w:rPr>
          <w:rFonts w:ascii="Microsoft YaHei" w:hAnsi="Microsoft YaHei" w:eastAsia="Microsoft YaHei" w:cs="Microsoft YaHei"/>
          <w:sz w:val="22"/>
          <w:szCs w:val="22"/>
          <w:spacing w:val="-3"/>
        </w:rPr>
        <w:t>的联动监管</w:t>
      </w:r>
      <w:r>
        <w:rPr>
          <w:rFonts w:ascii="Microsoft YaHei" w:hAnsi="Microsoft YaHei" w:eastAsia="Microsoft YaHei" w:cs="Microsoft YaHei"/>
          <w:sz w:val="22"/>
          <w:szCs w:val="22"/>
          <w:spacing w:val="-25"/>
        </w:rPr>
        <w:t xml:space="preserve"> </w:t>
      </w:r>
      <w:r>
        <w:rPr>
          <w:rFonts w:ascii="Microsoft YaHei" w:hAnsi="Microsoft YaHei" w:eastAsia="Microsoft YaHei" w:cs="Microsoft YaHei"/>
          <w:sz w:val="22"/>
          <w:szCs w:val="22"/>
          <w:spacing w:val="-3"/>
        </w:rPr>
        <w:t>，针对公司披露敏感信息或股价发生明显异常的，提请启动内幕交易、异常交易核查57单。</w:t>
      </w:r>
    </w:p>
    <w:p>
      <w:pPr>
        <w:pStyle w:val="BodyText"/>
        <w:spacing w:line="276" w:lineRule="auto"/>
        <w:rPr/>
      </w:pPr>
      <w:r/>
    </w:p>
    <w:p>
      <w:pPr>
        <w:ind w:left="893"/>
        <w:spacing w:before="95" w:line="184" w:lineRule="auto"/>
        <w:rPr>
          <w:rFonts w:ascii="Microsoft YaHei" w:hAnsi="Microsoft YaHei" w:eastAsia="Microsoft YaHei" w:cs="Microsoft YaHei"/>
          <w:sz w:val="22"/>
          <w:szCs w:val="22"/>
        </w:rPr>
      </w:pPr>
      <w:r>
        <w:rPr>
          <w:rFonts w:ascii="Microsoft YaHei" w:hAnsi="Microsoft YaHei" w:eastAsia="Microsoft YaHei" w:cs="Microsoft YaHei"/>
          <w:sz w:val="22"/>
          <w:szCs w:val="22"/>
          <w:spacing w:val="-3"/>
        </w:rPr>
        <w:t>上周  ，深交所发出5份监管函</w:t>
      </w:r>
      <w:r>
        <w:rPr>
          <w:rFonts w:ascii="Microsoft YaHei" w:hAnsi="Microsoft YaHei" w:eastAsia="Microsoft YaHei" w:cs="Microsoft YaHei"/>
          <w:sz w:val="22"/>
          <w:szCs w:val="22"/>
          <w:spacing w:val="-34"/>
        </w:rPr>
        <w:t xml:space="preserve"> </w:t>
      </w:r>
      <w:r>
        <w:rPr>
          <w:rFonts w:ascii="Microsoft YaHei" w:hAnsi="Microsoft YaHei" w:eastAsia="Microsoft YaHei" w:cs="Microsoft YaHei"/>
          <w:sz w:val="22"/>
          <w:szCs w:val="22"/>
          <w:spacing w:val="-3"/>
        </w:rPr>
        <w:t>，对1宗行为予以纪律处分；</w:t>
      </w:r>
      <w:r>
        <w:rPr>
          <w:rFonts w:ascii="Microsoft YaHei" w:hAnsi="Microsoft YaHei" w:eastAsia="Microsoft YaHei" w:cs="Microsoft YaHei"/>
          <w:sz w:val="22"/>
          <w:szCs w:val="22"/>
          <w:spacing w:val="-4"/>
        </w:rPr>
        <w:t>共发出关注函10份。</w:t>
      </w:r>
    </w:p>
    <w:p>
      <w:pPr>
        <w:pStyle w:val="BodyText"/>
        <w:spacing w:line="318" w:lineRule="auto"/>
        <w:rPr/>
      </w:pPr>
      <w:r/>
    </w:p>
    <w:p>
      <w:pPr>
        <w:ind w:firstLine="1930"/>
        <w:spacing w:before="1" w:line="3315" w:lineRule="exact"/>
        <w:rPr/>
      </w:pPr>
      <w:r>
        <w:rPr>
          <w:position w:val="-66"/>
        </w:rPr>
        <w:drawing>
          <wp:inline distT="0" distB="0" distL="0" distR="0">
            <wp:extent cx="5137784" cy="2105025"/>
            <wp:effectExtent l="0" t="0" r="0" b="0"/>
            <wp:docPr id="8" name="IM 8"/>
            <wp:cNvGraphicFramePr/>
            <a:graphic>
              <a:graphicData uri="http://schemas.openxmlformats.org/drawingml/2006/picture">
                <pic:pic>
                  <pic:nvPicPr>
                    <pic:cNvPr id="8" name="IM 8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137784" cy="2105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244" w:lineRule="auto"/>
        <w:rPr/>
      </w:pPr>
      <w:r/>
    </w:p>
    <w:p>
      <w:pPr>
        <w:pStyle w:val="BodyText"/>
        <w:spacing w:line="244" w:lineRule="auto"/>
        <w:rPr/>
      </w:pPr>
      <w:r/>
    </w:p>
    <w:p>
      <w:pPr>
        <w:pStyle w:val="BodyText"/>
        <w:spacing w:line="244" w:lineRule="auto"/>
        <w:rPr/>
      </w:pPr>
      <w:r/>
    </w:p>
    <w:p>
      <w:pPr>
        <w:ind w:firstLine="1849"/>
        <w:spacing w:line="4141" w:lineRule="exact"/>
        <w:rPr/>
      </w:pPr>
      <w:r>
        <w:rPr>
          <w:position w:val="-82"/>
        </w:rPr>
        <w:drawing>
          <wp:inline distT="0" distB="0" distL="0" distR="0">
            <wp:extent cx="5393054" cy="2629534"/>
            <wp:effectExtent l="0" t="0" r="0" b="0"/>
            <wp:docPr id="10" name="IM 10"/>
            <wp:cNvGraphicFramePr/>
            <a:graphic>
              <a:graphicData uri="http://schemas.openxmlformats.org/drawingml/2006/picture">
                <pic:pic>
                  <pic:nvPicPr>
                    <pic:cNvPr id="10" name="IM 10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393054" cy="26295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4141" w:lineRule="exact"/>
        <w:sectPr>
          <w:pgSz w:w="11910" w:h="16840"/>
          <w:pgMar w:top="400" w:right="41" w:bottom="0" w:left="0" w:header="0" w:footer="0" w:gutter="0"/>
        </w:sectPr>
        <w:rPr/>
      </w:pPr>
    </w:p>
    <w:p>
      <w:pPr>
        <w:spacing w:line="924" w:lineRule="exact"/>
        <w:rPr/>
      </w:pPr>
      <w:r>
        <w:rPr>
          <w:position w:val="-18"/>
        </w:rPr>
        <w:pict>
          <v:group id="_x0000_s24" style="mso-position-vertical-relative:line;mso-position-horizontal-relative:char;width:188.3pt;height:46.25pt;" filled="false" stroked="false" coordsize="3766,925" coordorigin="0,0">
            <v:shape id="_x0000_s26" style="position:absolute;left:0;top:0;width:3766;height:925;" filled="false" stroked="false" type="#_x0000_t75">
              <v:imagedata o:title="" r:id="rId8"/>
            </v:shape>
            <v:shape id="_x0000_s28" style="position:absolute;left:-20;top:-20;width:3806;height:965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391"/>
                      <w:spacing w:before="299" w:line="184" w:lineRule="auto"/>
                      <w:rPr>
                        <w:rFonts w:ascii="Microsoft YaHei" w:hAnsi="Microsoft YaHei" w:eastAsia="Microsoft YaHei" w:cs="Microsoft YaHei"/>
                        <w:sz w:val="28"/>
                        <w:szCs w:val="28"/>
                      </w:rPr>
                    </w:pPr>
                    <w:r>
                      <w:rPr>
                        <w:rFonts w:ascii="Microsoft YaHei" w:hAnsi="Microsoft YaHei" w:eastAsia="Microsoft YaHei" w:cs="Microsoft YaHei"/>
                        <w:sz w:val="28"/>
                        <w:szCs w:val="28"/>
                        <w:color w:val="FFFFFF"/>
                        <w:spacing w:val="-2"/>
                      </w:rPr>
                      <w:t>证监会证监局监管动态</w:t>
                    </w:r>
                  </w:p>
                </w:txbxContent>
              </v:textbox>
            </v:shape>
          </v:group>
        </w:pict>
      </w:r>
    </w:p>
    <w:p>
      <w:pPr>
        <w:pStyle w:val="BodyText"/>
        <w:spacing w:line="318" w:lineRule="auto"/>
        <w:rPr/>
      </w:pPr>
      <w:r/>
    </w:p>
    <w:p>
      <w:pPr>
        <w:ind w:left="447" w:firstLine="436"/>
        <w:spacing w:before="95" w:line="198" w:lineRule="auto"/>
        <w:rPr>
          <w:rFonts w:ascii="Microsoft YaHei" w:hAnsi="Microsoft YaHei" w:eastAsia="Microsoft YaHei" w:cs="Microsoft YaHei"/>
          <w:sz w:val="22"/>
          <w:szCs w:val="22"/>
        </w:rPr>
      </w:pPr>
      <w:r>
        <w:rPr>
          <w:rFonts w:ascii="Microsoft YaHei" w:hAnsi="Microsoft YaHei" w:eastAsia="Microsoft YaHei" w:cs="Microsoft YaHei"/>
          <w:sz w:val="22"/>
          <w:szCs w:val="22"/>
          <w:spacing w:val="-4"/>
        </w:rPr>
        <w:t>2024年2月26日-3月3日</w:t>
      </w:r>
      <w:r>
        <w:rPr>
          <w:rFonts w:ascii="Microsoft YaHei" w:hAnsi="Microsoft YaHei" w:eastAsia="Microsoft YaHei" w:cs="Microsoft YaHei"/>
          <w:sz w:val="22"/>
          <w:szCs w:val="22"/>
          <w:spacing w:val="-20"/>
        </w:rPr>
        <w:t xml:space="preserve"> </w:t>
      </w:r>
      <w:r>
        <w:rPr>
          <w:rFonts w:ascii="Microsoft YaHei" w:hAnsi="Microsoft YaHei" w:eastAsia="Microsoft YaHei" w:cs="Microsoft YaHei"/>
          <w:sz w:val="22"/>
          <w:szCs w:val="22"/>
          <w:spacing w:val="-4"/>
        </w:rPr>
        <w:t>，证监会对5个对象立案调查；证监局作出2份行政处罚决定书，</w:t>
      </w:r>
      <w:r>
        <w:rPr>
          <w:rFonts w:ascii="Microsoft YaHei" w:hAnsi="Microsoft YaHei" w:eastAsia="Microsoft YaHei" w:cs="Microsoft YaHei"/>
          <w:sz w:val="22"/>
          <w:szCs w:val="22"/>
        </w:rPr>
        <w:t xml:space="preserve"> </w:t>
      </w:r>
      <w:r>
        <w:rPr>
          <w:rFonts w:ascii="Microsoft YaHei" w:hAnsi="Microsoft YaHei" w:eastAsia="Microsoft YaHei" w:cs="Microsoft YaHei"/>
          <w:sz w:val="22"/>
          <w:szCs w:val="22"/>
          <w:spacing w:val="-4"/>
        </w:rPr>
        <w:t>2份行政处罚决定事先告知书</w:t>
      </w:r>
      <w:r>
        <w:rPr>
          <w:rFonts w:ascii="Microsoft YaHei" w:hAnsi="Microsoft YaHei" w:eastAsia="Microsoft YaHei" w:cs="Microsoft YaHei"/>
          <w:sz w:val="22"/>
          <w:szCs w:val="22"/>
          <w:spacing w:val="-18"/>
        </w:rPr>
        <w:t xml:space="preserve"> </w:t>
      </w:r>
      <w:r>
        <w:rPr>
          <w:rFonts w:ascii="Microsoft YaHei" w:hAnsi="Microsoft YaHei" w:eastAsia="Microsoft YaHei" w:cs="Microsoft YaHei"/>
          <w:sz w:val="22"/>
          <w:szCs w:val="22"/>
          <w:spacing w:val="-4"/>
        </w:rPr>
        <w:t>，23份行政监管措施决定书。</w:t>
      </w:r>
    </w:p>
    <w:p>
      <w:pPr>
        <w:ind w:left="241"/>
        <w:spacing w:before="307" w:line="210" w:lineRule="auto"/>
        <w:rPr>
          <w:rFonts w:ascii="Microsoft YaHei" w:hAnsi="Microsoft YaHei" w:eastAsia="Microsoft YaHei" w:cs="Microsoft YaHei"/>
          <w:sz w:val="24"/>
          <w:szCs w:val="24"/>
        </w:rPr>
      </w:pPr>
      <w:r>
        <w:rPr>
          <w:rFonts w:ascii="Microsoft YaHei" w:hAnsi="Microsoft YaHei" w:eastAsia="Microsoft YaHei" w:cs="Microsoft YaHei"/>
          <w:sz w:val="24"/>
          <w:szCs w:val="24"/>
          <w:b/>
          <w:bCs/>
          <w:color w:val="333333"/>
          <w:spacing w:val="-14"/>
          <w:w w:val="98"/>
        </w:rPr>
        <w:t>（</w:t>
      </w:r>
      <w:r>
        <w:rPr>
          <w:rFonts w:ascii="Microsoft YaHei" w:hAnsi="Microsoft YaHei" w:eastAsia="Microsoft YaHei" w:cs="Microsoft YaHei"/>
          <w:sz w:val="24"/>
          <w:szCs w:val="24"/>
          <w:b/>
          <w:bCs/>
          <w:color w:val="333333"/>
          <w:spacing w:val="55"/>
        </w:rPr>
        <w:t xml:space="preserve"> </w:t>
      </w:r>
      <w:r>
        <w:rPr>
          <w:rFonts w:ascii="Microsoft YaHei" w:hAnsi="Microsoft YaHei" w:eastAsia="Microsoft YaHei" w:cs="Microsoft YaHei"/>
          <w:sz w:val="24"/>
          <w:szCs w:val="24"/>
          <w:b/>
          <w:bCs/>
          <w:color w:val="333333"/>
          <w:spacing w:val="-14"/>
          <w:w w:val="98"/>
        </w:rPr>
        <w:t>1</w:t>
      </w:r>
      <w:r>
        <w:rPr>
          <w:rFonts w:ascii="Microsoft YaHei" w:hAnsi="Microsoft YaHei" w:eastAsia="Microsoft YaHei" w:cs="Microsoft YaHei"/>
          <w:sz w:val="24"/>
          <w:szCs w:val="24"/>
          <w:b/>
          <w:bCs/>
          <w:color w:val="333333"/>
          <w:spacing w:val="39"/>
        </w:rPr>
        <w:t xml:space="preserve"> </w:t>
      </w:r>
      <w:r>
        <w:rPr>
          <w:rFonts w:ascii="Microsoft YaHei" w:hAnsi="Microsoft YaHei" w:eastAsia="Microsoft YaHei" w:cs="Microsoft YaHei"/>
          <w:sz w:val="24"/>
          <w:szCs w:val="24"/>
          <w:b/>
          <w:bCs/>
          <w:color w:val="333333"/>
          <w:spacing w:val="-14"/>
          <w:w w:val="98"/>
        </w:rPr>
        <w:t>）行政处罚决定书</w:t>
      </w:r>
    </w:p>
    <w:tbl>
      <w:tblPr>
        <w:tblStyle w:val="TableNormal"/>
        <w:tblW w:w="8742" w:type="dxa"/>
        <w:tblInd w:w="446" w:type="dxa"/>
        <w:tblLayout w:type="fixed"/>
        <w:tblBorders>
          <w:top w:val="single" w:color="4F81BD" w:sz="6" w:space="0"/>
          <w:left w:val="single" w:color="4F81BD" w:sz="6" w:space="0"/>
          <w:bottom w:val="single" w:color="4F81BD" w:sz="6" w:space="0"/>
          <w:right w:val="single" w:color="4F81BD" w:sz="6" w:space="0"/>
          <w:insideH w:val="single" w:color="4F81BD" w:sz="6" w:space="0"/>
          <w:insideV w:val="single" w:color="4F81BD" w:sz="6" w:space="0"/>
        </w:tblBorders>
      </w:tblPr>
      <w:tblGrid>
        <w:gridCol w:w="1607"/>
        <w:gridCol w:w="1385"/>
        <w:gridCol w:w="5750"/>
      </w:tblGrid>
      <w:tr>
        <w:trPr>
          <w:trHeight w:val="391" w:hRule="atLeast"/>
        </w:trPr>
        <w:tc>
          <w:tcPr>
            <w:shd w:val="clear" w:fill="4F81BD"/>
            <w:tcW w:w="1607" w:type="dxa"/>
            <w:vAlign w:val="top"/>
          </w:tcPr>
          <w:p>
            <w:pPr>
              <w:pStyle w:val="TableText"/>
              <w:ind w:left="377"/>
              <w:spacing w:before="109" w:line="189" w:lineRule="auto"/>
              <w:rPr/>
            </w:pPr>
            <w:r>
              <w:rPr>
                <w:b/>
                <w:bCs/>
                <w:color w:val="FFFFFF"/>
                <w:spacing w:val="8"/>
              </w:rPr>
              <w:t>公司代码</w:t>
            </w:r>
          </w:p>
        </w:tc>
        <w:tc>
          <w:tcPr>
            <w:shd w:val="clear" w:fill="4F81BD"/>
            <w:tcW w:w="1385" w:type="dxa"/>
            <w:vAlign w:val="top"/>
          </w:tcPr>
          <w:p>
            <w:pPr>
              <w:pStyle w:val="TableText"/>
              <w:ind w:left="265"/>
              <w:spacing w:before="109" w:line="189" w:lineRule="auto"/>
              <w:rPr/>
            </w:pPr>
            <w:r>
              <w:rPr>
                <w:b/>
                <w:bCs/>
                <w:color w:val="FFFFFF"/>
                <w:spacing w:val="8"/>
              </w:rPr>
              <w:t>公司简称</w:t>
            </w:r>
          </w:p>
        </w:tc>
        <w:tc>
          <w:tcPr>
            <w:shd w:val="clear" w:fill="4F81BD"/>
            <w:tcW w:w="5750" w:type="dxa"/>
            <w:vAlign w:val="top"/>
          </w:tcPr>
          <w:p>
            <w:pPr>
              <w:pStyle w:val="TableText"/>
              <w:ind w:left="2448"/>
              <w:spacing w:before="109" w:line="189" w:lineRule="auto"/>
              <w:rPr/>
            </w:pPr>
            <w:r>
              <w:rPr>
                <w:b/>
                <w:bCs/>
                <w:color w:val="FFFFFF"/>
                <w:spacing w:val="8"/>
              </w:rPr>
              <w:t>违规行为</w:t>
            </w:r>
          </w:p>
        </w:tc>
      </w:tr>
      <w:tr>
        <w:trPr>
          <w:trHeight w:val="722" w:hRule="atLeast"/>
        </w:trPr>
        <w:tc>
          <w:tcPr>
            <w:shd w:val="clear" w:fill="B8CCE4"/>
            <w:tcW w:w="1607" w:type="dxa"/>
            <w:vAlign w:val="top"/>
          </w:tcPr>
          <w:p>
            <w:pPr>
              <w:pStyle w:val="TableText"/>
              <w:ind w:left="436"/>
              <w:spacing w:before="277" w:line="178" w:lineRule="auto"/>
              <w:rPr/>
            </w:pPr>
            <w:r>
              <w:rPr>
                <w:spacing w:val="3"/>
              </w:rPr>
              <w:t>603023</w:t>
            </w:r>
          </w:p>
        </w:tc>
        <w:tc>
          <w:tcPr>
            <w:shd w:val="clear" w:fill="B8CCE4"/>
            <w:tcW w:w="1385" w:type="dxa"/>
            <w:vAlign w:val="top"/>
          </w:tcPr>
          <w:p>
            <w:pPr>
              <w:pStyle w:val="TableText"/>
              <w:ind w:left="264"/>
              <w:spacing w:before="262" w:line="189" w:lineRule="auto"/>
              <w:rPr/>
            </w:pPr>
            <w:r>
              <w:rPr>
                <w:spacing w:val="8"/>
              </w:rPr>
              <w:t>威帝股份</w:t>
            </w:r>
          </w:p>
        </w:tc>
        <w:tc>
          <w:tcPr>
            <w:shd w:val="clear" w:fill="B8CCE4"/>
            <w:tcW w:w="5750" w:type="dxa"/>
            <w:vAlign w:val="top"/>
          </w:tcPr>
          <w:p>
            <w:pPr>
              <w:pStyle w:val="TableText"/>
              <w:ind w:left="103" w:right="104" w:firstLine="6"/>
              <w:spacing w:before="82" w:line="220" w:lineRule="auto"/>
              <w:rPr/>
            </w:pPr>
            <w:r>
              <w:rPr>
                <w:spacing w:val="9"/>
              </w:rPr>
              <w:t>时任董事在威帝股份披露2023年</w:t>
            </w:r>
            <w:r>
              <w:rPr>
                <w:b/>
                <w:bCs/>
                <w:spacing w:val="9"/>
              </w:rPr>
              <w:t>半年度业绩预告的前十</w:t>
            </w:r>
            <w:r>
              <w:rPr>
                <w:b/>
                <w:bCs/>
                <w:spacing w:val="8"/>
              </w:rPr>
              <w:t>日内</w:t>
            </w:r>
            <w:r>
              <w:rPr>
                <w:b/>
                <w:bCs/>
              </w:rPr>
              <w:t xml:space="preserve"> </w:t>
            </w:r>
            <w:r>
              <w:rPr>
                <w:spacing w:val="7"/>
              </w:rPr>
              <w:t>交易公司股票。</w:t>
            </w:r>
          </w:p>
        </w:tc>
      </w:tr>
      <w:tr>
        <w:trPr>
          <w:trHeight w:val="723" w:hRule="atLeast"/>
        </w:trPr>
        <w:tc>
          <w:tcPr>
            <w:tcW w:w="8742" w:type="dxa"/>
            <w:vAlign w:val="top"/>
            <w:gridSpan w:val="3"/>
          </w:tcPr>
          <w:p>
            <w:pPr>
              <w:pStyle w:val="TableText"/>
              <w:ind w:left="133" w:right="104" w:hanging="11"/>
              <w:spacing w:before="43" w:line="234" w:lineRule="auto"/>
              <w:rPr/>
            </w:pPr>
            <w:r>
              <w:rPr>
                <w:b/>
                <w:bCs/>
                <w:spacing w:val="11"/>
              </w:rPr>
              <w:t>【行政处罚决定】</w:t>
            </w:r>
            <w:r>
              <w:rPr>
                <w:spacing w:val="11"/>
              </w:rPr>
              <w:t>中国证券监督管理委员会黑龙江监管局决定</w:t>
            </w:r>
            <w:r>
              <w:rPr>
                <w:spacing w:val="-1"/>
              </w:rPr>
              <w:t xml:space="preserve"> </w:t>
            </w:r>
            <w:r>
              <w:rPr>
                <w:spacing w:val="11"/>
              </w:rPr>
              <w:t>：对时任董事陈某华责令改正</w:t>
            </w:r>
            <w:r>
              <w:rPr/>
              <w:t xml:space="preserve"> </w:t>
            </w:r>
            <w:r>
              <w:rPr>
                <w:spacing w:val="6"/>
              </w:rPr>
              <w:t>,  给予警告</w:t>
            </w:r>
            <w:r>
              <w:rPr>
                <w:spacing w:val="-28"/>
              </w:rPr>
              <w:t xml:space="preserve"> </w:t>
            </w:r>
            <w:r>
              <w:rPr>
                <w:spacing w:val="6"/>
              </w:rPr>
              <w:t>，并处以795万元罚款。</w:t>
            </w:r>
          </w:p>
        </w:tc>
      </w:tr>
      <w:tr>
        <w:trPr>
          <w:trHeight w:val="1080" w:hRule="atLeast"/>
        </w:trPr>
        <w:tc>
          <w:tcPr>
            <w:shd w:val="clear" w:fill="B8CCE4"/>
            <w:tcW w:w="1607" w:type="dxa"/>
            <w:vAlign w:val="top"/>
          </w:tcPr>
          <w:p>
            <w:pPr>
              <w:spacing w:line="37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36"/>
              <w:spacing w:before="86" w:line="179" w:lineRule="auto"/>
              <w:rPr/>
            </w:pPr>
            <w:r>
              <w:rPr>
                <w:spacing w:val="3"/>
              </w:rPr>
              <w:t>601258</w:t>
            </w:r>
          </w:p>
        </w:tc>
        <w:tc>
          <w:tcPr>
            <w:shd w:val="clear" w:fill="B8CCE4"/>
            <w:tcW w:w="1385" w:type="dxa"/>
            <w:vAlign w:val="top"/>
          </w:tcPr>
          <w:p>
            <w:pPr>
              <w:spacing w:line="36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10"/>
              <w:spacing w:before="86" w:line="189" w:lineRule="auto"/>
              <w:rPr/>
            </w:pPr>
            <w:r>
              <w:rPr>
                <w:spacing w:val="8"/>
              </w:rPr>
              <w:t>*</w:t>
            </w:r>
            <w:r>
              <w:rPr/>
              <w:t>ST</w:t>
            </w:r>
            <w:r>
              <w:rPr>
                <w:spacing w:val="8"/>
              </w:rPr>
              <w:t>庞大</w:t>
            </w:r>
          </w:p>
        </w:tc>
        <w:tc>
          <w:tcPr>
            <w:shd w:val="clear" w:fill="B8CCE4"/>
            <w:tcW w:w="5750" w:type="dxa"/>
            <w:vAlign w:val="top"/>
          </w:tcPr>
          <w:p>
            <w:pPr>
              <w:pStyle w:val="TableText"/>
              <w:ind w:left="99" w:right="104" w:firstLine="1"/>
              <w:spacing w:before="87" w:line="229" w:lineRule="auto"/>
              <w:jc w:val="both"/>
              <w:rPr/>
            </w:pPr>
            <w:r>
              <w:rPr>
                <w:spacing w:val="9"/>
              </w:rPr>
              <w:t>未按规定披露</w:t>
            </w:r>
            <w:r>
              <w:rPr>
                <w:b/>
                <w:bCs/>
                <w:spacing w:val="9"/>
              </w:rPr>
              <w:t>重大诉讼、仲裁</w:t>
            </w:r>
            <w:r>
              <w:rPr>
                <w:spacing w:val="9"/>
              </w:rPr>
              <w:t>事项；公司披露的2022年半年</w:t>
            </w:r>
            <w:r>
              <w:rPr>
                <w:spacing w:val="7"/>
              </w:rPr>
              <w:t xml:space="preserve"> </w:t>
            </w:r>
            <w:r>
              <w:rPr>
                <w:spacing w:val="8"/>
              </w:rPr>
              <w:t>度报告存在</w:t>
            </w:r>
            <w:r>
              <w:rPr>
                <w:b/>
                <w:bCs/>
                <w:spacing w:val="8"/>
              </w:rPr>
              <w:t>重大遗漏</w:t>
            </w:r>
            <w:r>
              <w:rPr>
                <w:spacing w:val="8"/>
              </w:rPr>
              <w:t>；</w:t>
            </w:r>
            <w:r>
              <w:rPr>
                <w:spacing w:val="-31"/>
              </w:rPr>
              <w:t xml:space="preserve"> </w:t>
            </w:r>
            <w:r>
              <w:rPr>
                <w:spacing w:val="8"/>
              </w:rPr>
              <w:t>公司披露的2019年、</w:t>
            </w:r>
            <w:r>
              <w:rPr>
                <w:spacing w:val="-36"/>
              </w:rPr>
              <w:t xml:space="preserve"> </w:t>
            </w:r>
            <w:r>
              <w:rPr>
                <w:spacing w:val="8"/>
              </w:rPr>
              <w:t>2020年、</w:t>
            </w:r>
            <w:r>
              <w:rPr>
                <w:spacing w:val="-39"/>
              </w:rPr>
              <w:t xml:space="preserve"> </w:t>
            </w:r>
            <w:r>
              <w:rPr>
                <w:spacing w:val="8"/>
              </w:rPr>
              <w:t>2021</w:t>
            </w:r>
            <w:r>
              <w:rPr/>
              <w:t xml:space="preserve"> </w:t>
            </w:r>
            <w:r>
              <w:rPr>
                <w:spacing w:val="7"/>
              </w:rPr>
              <w:t>年、</w:t>
            </w:r>
            <w:r>
              <w:rPr>
                <w:spacing w:val="-36"/>
              </w:rPr>
              <w:t xml:space="preserve"> </w:t>
            </w:r>
            <w:r>
              <w:rPr>
                <w:spacing w:val="7"/>
              </w:rPr>
              <w:t>2022年年度报告存在</w:t>
            </w:r>
            <w:r>
              <w:rPr>
                <w:b/>
                <w:bCs/>
                <w:spacing w:val="7"/>
              </w:rPr>
              <w:t>虚假记载。</w:t>
            </w:r>
          </w:p>
        </w:tc>
      </w:tr>
      <w:tr>
        <w:trPr>
          <w:trHeight w:val="733" w:hRule="atLeast"/>
        </w:trPr>
        <w:tc>
          <w:tcPr>
            <w:tcW w:w="8742" w:type="dxa"/>
            <w:vAlign w:val="top"/>
            <w:gridSpan w:val="3"/>
          </w:tcPr>
          <w:p>
            <w:pPr>
              <w:pStyle w:val="TableText"/>
              <w:ind w:left="104" w:right="104" w:firstLine="17"/>
              <w:spacing w:before="50" w:line="235" w:lineRule="auto"/>
              <w:rPr/>
            </w:pPr>
            <w:r>
              <w:rPr>
                <w:b/>
                <w:bCs/>
                <w:spacing w:val="11"/>
              </w:rPr>
              <w:t>【行政处罚决定】</w:t>
            </w:r>
            <w:r>
              <w:rPr>
                <w:spacing w:val="11"/>
              </w:rPr>
              <w:t>中国证券监督管理委员会河北监管局决定:对庞大汽贸集团股份有限公司责</w:t>
            </w:r>
            <w:r>
              <w:rPr/>
              <w:t xml:space="preserve"> </w:t>
            </w:r>
            <w:r>
              <w:rPr>
                <w:spacing w:val="5"/>
              </w:rPr>
              <w:t>令改正</w:t>
            </w:r>
            <w:r>
              <w:rPr>
                <w:spacing w:val="-21"/>
              </w:rPr>
              <w:t xml:space="preserve"> </w:t>
            </w:r>
            <w:r>
              <w:rPr>
                <w:spacing w:val="5"/>
              </w:rPr>
              <w:t>，给予警告</w:t>
            </w:r>
            <w:r>
              <w:rPr>
                <w:spacing w:val="-26"/>
              </w:rPr>
              <w:t xml:space="preserve"> </w:t>
            </w:r>
            <w:r>
              <w:rPr>
                <w:spacing w:val="5"/>
              </w:rPr>
              <w:t>，并处以670万元罚款。</w:t>
            </w:r>
          </w:p>
        </w:tc>
      </w:tr>
    </w:tbl>
    <w:p>
      <w:pPr>
        <w:ind w:left="241"/>
        <w:spacing w:before="311" w:line="211" w:lineRule="auto"/>
        <w:rPr>
          <w:rFonts w:ascii="Microsoft YaHei" w:hAnsi="Microsoft YaHei" w:eastAsia="Microsoft YaHei" w:cs="Microsoft YaHei"/>
          <w:sz w:val="24"/>
          <w:szCs w:val="24"/>
        </w:rPr>
      </w:pPr>
      <w:r>
        <w:rPr>
          <w:rFonts w:ascii="Microsoft YaHei" w:hAnsi="Microsoft YaHei" w:eastAsia="Microsoft YaHei" w:cs="Microsoft YaHei"/>
          <w:sz w:val="24"/>
          <w:szCs w:val="24"/>
          <w:b/>
          <w:bCs/>
          <w:color w:val="333333"/>
          <w:spacing w:val="-10"/>
          <w:w w:val="97"/>
        </w:rPr>
        <w:t>（</w:t>
      </w:r>
      <w:r>
        <w:rPr>
          <w:rFonts w:ascii="Microsoft YaHei" w:hAnsi="Microsoft YaHei" w:eastAsia="Microsoft YaHei" w:cs="Microsoft YaHei"/>
          <w:sz w:val="24"/>
          <w:szCs w:val="24"/>
          <w:b/>
          <w:bCs/>
          <w:color w:val="333333"/>
          <w:spacing w:val="42"/>
        </w:rPr>
        <w:t xml:space="preserve"> </w:t>
      </w:r>
      <w:r>
        <w:rPr>
          <w:rFonts w:ascii="Microsoft YaHei" w:hAnsi="Microsoft YaHei" w:eastAsia="Microsoft YaHei" w:cs="Microsoft YaHei"/>
          <w:sz w:val="24"/>
          <w:szCs w:val="24"/>
          <w:b/>
          <w:bCs/>
          <w:color w:val="333333"/>
          <w:spacing w:val="-10"/>
          <w:w w:val="97"/>
        </w:rPr>
        <w:t>2</w:t>
      </w:r>
      <w:r>
        <w:rPr>
          <w:rFonts w:ascii="Microsoft YaHei" w:hAnsi="Microsoft YaHei" w:eastAsia="Microsoft YaHei" w:cs="Microsoft YaHei"/>
          <w:sz w:val="24"/>
          <w:szCs w:val="24"/>
          <w:b/>
          <w:bCs/>
          <w:color w:val="333333"/>
          <w:spacing w:val="39"/>
        </w:rPr>
        <w:t xml:space="preserve"> </w:t>
      </w:r>
      <w:r>
        <w:rPr>
          <w:rFonts w:ascii="Microsoft YaHei" w:hAnsi="Microsoft YaHei" w:eastAsia="Microsoft YaHei" w:cs="Microsoft YaHei"/>
          <w:sz w:val="24"/>
          <w:szCs w:val="24"/>
          <w:b/>
          <w:bCs/>
          <w:color w:val="333333"/>
          <w:spacing w:val="-10"/>
          <w:w w:val="97"/>
        </w:rPr>
        <w:t>）行政处罚决定事先告知书</w:t>
      </w:r>
    </w:p>
    <w:tbl>
      <w:tblPr>
        <w:tblStyle w:val="TableNormal"/>
        <w:tblW w:w="8769" w:type="dxa"/>
        <w:tblInd w:w="459" w:type="dxa"/>
        <w:tblLayout w:type="fixed"/>
        <w:tblBorders>
          <w:top w:val="single" w:color="4F81BD" w:sz="6" w:space="0"/>
          <w:left w:val="single" w:color="4F81BD" w:sz="6" w:space="0"/>
          <w:bottom w:val="single" w:color="4F81BD" w:sz="6" w:space="0"/>
          <w:right w:val="single" w:color="4F81BD" w:sz="6" w:space="0"/>
          <w:insideH w:val="single" w:color="4F81BD" w:sz="6" w:space="0"/>
          <w:insideV w:val="single" w:color="4F81BD" w:sz="6" w:space="0"/>
        </w:tblBorders>
      </w:tblPr>
      <w:tblGrid>
        <w:gridCol w:w="1594"/>
        <w:gridCol w:w="1385"/>
        <w:gridCol w:w="5790"/>
      </w:tblGrid>
      <w:tr>
        <w:trPr>
          <w:trHeight w:val="392" w:hRule="atLeast"/>
        </w:trPr>
        <w:tc>
          <w:tcPr>
            <w:shd w:val="clear" w:fill="4F81BD"/>
            <w:tcW w:w="1594" w:type="dxa"/>
            <w:vAlign w:val="top"/>
          </w:tcPr>
          <w:p>
            <w:pPr>
              <w:pStyle w:val="TableText"/>
              <w:ind w:left="371"/>
              <w:spacing w:before="107" w:line="189" w:lineRule="auto"/>
              <w:rPr/>
            </w:pPr>
            <w:r>
              <w:rPr>
                <w:b/>
                <w:bCs/>
                <w:color w:val="FFFFFF"/>
                <w:spacing w:val="8"/>
              </w:rPr>
              <w:t>公司代码</w:t>
            </w:r>
          </w:p>
        </w:tc>
        <w:tc>
          <w:tcPr>
            <w:shd w:val="clear" w:fill="4F81BD"/>
            <w:tcW w:w="1385" w:type="dxa"/>
            <w:vAlign w:val="top"/>
          </w:tcPr>
          <w:p>
            <w:pPr>
              <w:pStyle w:val="TableText"/>
              <w:ind w:left="265"/>
              <w:spacing w:before="107" w:line="189" w:lineRule="auto"/>
              <w:rPr/>
            </w:pPr>
            <w:r>
              <w:rPr>
                <w:b/>
                <w:bCs/>
                <w:color w:val="FFFFFF"/>
                <w:spacing w:val="8"/>
              </w:rPr>
              <w:t>公司简称</w:t>
            </w:r>
          </w:p>
        </w:tc>
        <w:tc>
          <w:tcPr>
            <w:shd w:val="clear" w:fill="4F81BD"/>
            <w:tcW w:w="5790" w:type="dxa"/>
            <w:vAlign w:val="top"/>
          </w:tcPr>
          <w:p>
            <w:pPr>
              <w:pStyle w:val="TableText"/>
              <w:ind w:left="2468"/>
              <w:spacing w:before="107" w:line="189" w:lineRule="auto"/>
              <w:rPr/>
            </w:pPr>
            <w:r>
              <w:rPr>
                <w:b/>
                <w:bCs/>
                <w:color w:val="FFFFFF"/>
                <w:spacing w:val="8"/>
              </w:rPr>
              <w:t>违规行为</w:t>
            </w:r>
          </w:p>
        </w:tc>
      </w:tr>
      <w:tr>
        <w:trPr>
          <w:trHeight w:val="1443" w:hRule="atLeast"/>
        </w:trPr>
        <w:tc>
          <w:tcPr>
            <w:shd w:val="clear" w:fill="B8CCE4"/>
            <w:tcW w:w="1594" w:type="dxa"/>
            <w:vAlign w:val="top"/>
          </w:tcPr>
          <w:p>
            <w:pPr>
              <w:spacing w:line="272" w:lineRule="auto"/>
              <w:rPr>
                <w:rFonts w:ascii="Arial"/>
                <w:sz w:val="21"/>
              </w:rPr>
            </w:pPr>
            <w:r/>
          </w:p>
          <w:p>
            <w:pPr>
              <w:spacing w:line="27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32"/>
              <w:spacing w:before="86" w:line="178" w:lineRule="auto"/>
              <w:rPr/>
            </w:pPr>
            <w:r>
              <w:rPr>
                <w:spacing w:val="3"/>
              </w:rPr>
              <w:t>300427</w:t>
            </w:r>
          </w:p>
        </w:tc>
        <w:tc>
          <w:tcPr>
            <w:shd w:val="clear" w:fill="B8CCE4"/>
            <w:tcW w:w="1385" w:type="dxa"/>
            <w:vAlign w:val="top"/>
          </w:tcPr>
          <w:p>
            <w:pPr>
              <w:spacing w:line="265" w:lineRule="auto"/>
              <w:rPr>
                <w:rFonts w:ascii="Arial"/>
                <w:sz w:val="21"/>
              </w:rPr>
            </w:pPr>
            <w:r/>
          </w:p>
          <w:p>
            <w:pPr>
              <w:spacing w:line="26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10"/>
              <w:spacing w:before="86" w:line="189" w:lineRule="auto"/>
              <w:rPr/>
            </w:pPr>
            <w:r>
              <w:rPr>
                <w:spacing w:val="8"/>
              </w:rPr>
              <w:t>*</w:t>
            </w:r>
            <w:r>
              <w:rPr/>
              <w:t>ST</w:t>
            </w:r>
            <w:r>
              <w:rPr>
                <w:spacing w:val="8"/>
              </w:rPr>
              <w:t>红相</w:t>
            </w:r>
          </w:p>
        </w:tc>
        <w:tc>
          <w:tcPr>
            <w:shd w:val="clear" w:fill="B8CCE4"/>
            <w:tcW w:w="5790" w:type="dxa"/>
            <w:vAlign w:val="top"/>
          </w:tcPr>
          <w:p>
            <w:pPr>
              <w:pStyle w:val="TableText"/>
              <w:ind w:left="99" w:right="103" w:firstLine="10"/>
              <w:spacing w:before="82" w:line="236" w:lineRule="auto"/>
              <w:jc w:val="both"/>
              <w:rPr/>
            </w:pPr>
            <w:r>
              <w:rPr>
                <w:spacing w:val="7"/>
              </w:rPr>
              <w:t>2017年-2022年年度报告涉嫌存在</w:t>
            </w:r>
            <w:r>
              <w:rPr>
                <w:b/>
                <w:bCs/>
                <w:spacing w:val="7"/>
              </w:rPr>
              <w:t>虚假记载</w:t>
            </w:r>
            <w:r>
              <w:rPr>
                <w:spacing w:val="7"/>
              </w:rPr>
              <w:t>；</w:t>
            </w:r>
            <w:r>
              <w:rPr>
                <w:spacing w:val="-20"/>
              </w:rPr>
              <w:t xml:space="preserve"> </w:t>
            </w:r>
            <w:r>
              <w:rPr>
                <w:spacing w:val="7"/>
              </w:rPr>
              <w:t>2019年非公开</w:t>
            </w:r>
            <w:r>
              <w:rPr/>
              <w:t xml:space="preserve"> </w:t>
            </w:r>
            <w:r>
              <w:rPr>
                <w:spacing w:val="10"/>
              </w:rPr>
              <w:t>发行股票涉嫌</w:t>
            </w:r>
            <w:r>
              <w:rPr>
                <w:b/>
                <w:bCs/>
                <w:spacing w:val="10"/>
              </w:rPr>
              <w:t>欺诈发行</w:t>
            </w:r>
            <w:r>
              <w:rPr>
                <w:spacing w:val="10"/>
              </w:rPr>
              <w:t>；</w:t>
            </w:r>
            <w:r>
              <w:rPr>
                <w:spacing w:val="-33"/>
              </w:rPr>
              <w:t xml:space="preserve"> </w:t>
            </w:r>
            <w:r>
              <w:rPr>
                <w:spacing w:val="10"/>
              </w:rPr>
              <w:t>2020年公开发行可转换</w:t>
            </w:r>
            <w:r>
              <w:rPr>
                <w:spacing w:val="9"/>
              </w:rPr>
              <w:t>公司债券涉</w:t>
            </w:r>
            <w:r>
              <w:rPr/>
              <w:t xml:space="preserve"> </w:t>
            </w:r>
            <w:r>
              <w:rPr>
                <w:spacing w:val="10"/>
              </w:rPr>
              <w:t>嫌</w:t>
            </w:r>
            <w:r>
              <w:rPr>
                <w:b/>
                <w:bCs/>
                <w:spacing w:val="10"/>
              </w:rPr>
              <w:t>欺诈发行</w:t>
            </w:r>
            <w:r>
              <w:rPr>
                <w:spacing w:val="10"/>
              </w:rPr>
              <w:t>；</w:t>
            </w:r>
            <w:r>
              <w:rPr>
                <w:spacing w:val="-33"/>
              </w:rPr>
              <w:t xml:space="preserve"> </w:t>
            </w:r>
            <w:r>
              <w:rPr>
                <w:spacing w:val="10"/>
              </w:rPr>
              <w:t>2020年申请发行股份及支付现金购</w:t>
            </w:r>
            <w:r>
              <w:rPr>
                <w:spacing w:val="9"/>
              </w:rPr>
              <w:t>买资产并募</w:t>
            </w:r>
            <w:r>
              <w:rPr/>
              <w:t xml:space="preserve"> </w:t>
            </w:r>
            <w:r>
              <w:rPr>
                <w:spacing w:val="8"/>
              </w:rPr>
              <w:t>集配套资金涉嫌</w:t>
            </w:r>
            <w:r>
              <w:rPr>
                <w:b/>
                <w:bCs/>
                <w:spacing w:val="8"/>
              </w:rPr>
              <w:t>欺诈发行</w:t>
            </w:r>
            <w:r>
              <w:rPr>
                <w:spacing w:val="8"/>
              </w:rPr>
              <w:t>。</w:t>
            </w:r>
          </w:p>
        </w:tc>
      </w:tr>
      <w:tr>
        <w:trPr>
          <w:trHeight w:val="7205" w:hRule="atLeast"/>
        </w:trPr>
        <w:tc>
          <w:tcPr>
            <w:tcW w:w="8769" w:type="dxa"/>
            <w:vAlign w:val="top"/>
            <w:gridSpan w:val="3"/>
          </w:tcPr>
          <w:p>
            <w:pPr>
              <w:pStyle w:val="TableText"/>
              <w:ind w:left="121"/>
              <w:spacing w:before="40" w:line="233" w:lineRule="auto"/>
              <w:rPr/>
            </w:pPr>
            <w:r>
              <w:rPr>
                <w:b/>
                <w:bCs/>
                <w:spacing w:val="9"/>
              </w:rPr>
              <w:t>【行政处罚决定（拟）】</w:t>
            </w:r>
            <w:r>
              <w:rPr>
                <w:spacing w:val="9"/>
              </w:rPr>
              <w:t>中国证券监督管理委员会厦门监管局拟决定:</w:t>
            </w:r>
          </w:p>
          <w:p>
            <w:pPr>
              <w:pStyle w:val="TableText"/>
              <w:ind w:left="123"/>
              <w:spacing w:before="70" w:line="189" w:lineRule="auto"/>
              <w:rPr/>
            </w:pPr>
            <w:r>
              <w:rPr>
                <w:spacing w:val="6"/>
              </w:rPr>
              <w:t>1、对红相股份责令改正</w:t>
            </w:r>
            <w:r>
              <w:rPr>
                <w:spacing w:val="-26"/>
              </w:rPr>
              <w:t xml:space="preserve"> </w:t>
            </w:r>
            <w:r>
              <w:rPr>
                <w:spacing w:val="6"/>
              </w:rPr>
              <w:t>，给予警告</w:t>
            </w:r>
            <w:r>
              <w:rPr>
                <w:spacing w:val="-27"/>
              </w:rPr>
              <w:t xml:space="preserve"> </w:t>
            </w:r>
            <w:r>
              <w:rPr>
                <w:spacing w:val="6"/>
              </w:rPr>
              <w:t>，并处以2</w:t>
            </w:r>
            <w:r>
              <w:rPr>
                <w:spacing w:val="5"/>
              </w:rPr>
              <w:t>,513万元罚款；</w:t>
            </w:r>
          </w:p>
          <w:p>
            <w:pPr>
              <w:pStyle w:val="TableText"/>
              <w:ind w:left="115" w:right="1207" w:hanging="2"/>
              <w:spacing w:before="87" w:line="221" w:lineRule="auto"/>
              <w:rPr/>
            </w:pPr>
            <w:r>
              <w:rPr>
                <w:spacing w:val="7"/>
              </w:rPr>
              <w:t>2、对实际控制人,时任董事长,时任总经理杨某给予警告</w:t>
            </w:r>
            <w:r>
              <w:rPr>
                <w:spacing w:val="-28"/>
              </w:rPr>
              <w:t xml:space="preserve"> </w:t>
            </w:r>
            <w:r>
              <w:rPr>
                <w:spacing w:val="7"/>
              </w:rPr>
              <w:t>，并处</w:t>
            </w:r>
            <w:r>
              <w:rPr>
                <w:spacing w:val="6"/>
              </w:rPr>
              <w:t>以2,288万元罚款；</w:t>
            </w:r>
            <w:r>
              <w:rPr/>
              <w:t xml:space="preserve"> </w:t>
            </w:r>
            <w:r>
              <w:rPr>
                <w:spacing w:val="7"/>
              </w:rPr>
              <w:t>3、对时任高管何某武给予警告</w:t>
            </w:r>
            <w:r>
              <w:rPr>
                <w:spacing w:val="-25"/>
              </w:rPr>
              <w:t xml:space="preserve"> </w:t>
            </w:r>
            <w:r>
              <w:rPr>
                <w:spacing w:val="7"/>
              </w:rPr>
              <w:t>，并处以365万元罚款；</w:t>
            </w:r>
          </w:p>
          <w:p>
            <w:pPr>
              <w:pStyle w:val="TableText"/>
              <w:ind w:left="103"/>
              <w:spacing w:before="89" w:line="189" w:lineRule="auto"/>
              <w:rPr/>
            </w:pPr>
            <w:r>
              <w:rPr>
                <w:spacing w:val="7"/>
              </w:rPr>
              <w:t>4、对时任监事吴某坤给予警告</w:t>
            </w:r>
            <w:r>
              <w:rPr>
                <w:spacing w:val="-13"/>
              </w:rPr>
              <w:t xml:space="preserve"> </w:t>
            </w:r>
            <w:r>
              <w:rPr>
                <w:spacing w:val="7"/>
              </w:rPr>
              <w:t>，并处以330万元罚款；</w:t>
            </w:r>
          </w:p>
          <w:p>
            <w:pPr>
              <w:pStyle w:val="TableText"/>
              <w:ind w:left="113" w:right="1063" w:firstLine="5"/>
              <w:spacing w:before="90" w:line="221" w:lineRule="auto"/>
              <w:rPr/>
            </w:pPr>
            <w:r>
              <w:rPr>
                <w:spacing w:val="7"/>
              </w:rPr>
              <w:t>5、对时任财务总监廖某林、</w:t>
            </w:r>
            <w:r>
              <w:rPr>
                <w:spacing w:val="-37"/>
              </w:rPr>
              <w:t xml:space="preserve"> </w:t>
            </w:r>
            <w:r>
              <w:rPr>
                <w:spacing w:val="7"/>
              </w:rPr>
              <w:t>时任高管马某</w:t>
            </w:r>
            <w:r>
              <w:rPr>
                <w:spacing w:val="6"/>
              </w:rPr>
              <w:t>萍给予警告</w:t>
            </w:r>
            <w:r>
              <w:rPr>
                <w:spacing w:val="-28"/>
              </w:rPr>
              <w:t xml:space="preserve"> </w:t>
            </w:r>
            <w:r>
              <w:rPr>
                <w:spacing w:val="6"/>
              </w:rPr>
              <w:t>，并分别处以305万元罚款；</w:t>
            </w:r>
            <w:r>
              <w:rPr/>
              <w:t xml:space="preserve"> </w:t>
            </w:r>
            <w:r>
              <w:rPr>
                <w:spacing w:val="7"/>
              </w:rPr>
              <w:t>6、对时任董秘李某娇给予警告</w:t>
            </w:r>
            <w:r>
              <w:rPr>
                <w:spacing w:val="-23"/>
              </w:rPr>
              <w:t xml:space="preserve"> </w:t>
            </w:r>
            <w:r>
              <w:rPr>
                <w:spacing w:val="7"/>
              </w:rPr>
              <w:t>，并处以250万元罚款；</w:t>
            </w:r>
          </w:p>
          <w:p>
            <w:pPr>
              <w:pStyle w:val="TableText"/>
              <w:ind w:left="112"/>
              <w:spacing w:before="88" w:line="362" w:lineRule="exact"/>
              <w:rPr/>
            </w:pPr>
            <w:r>
              <w:rPr>
                <w:spacing w:val="8"/>
                <w:position w:val="12"/>
              </w:rPr>
              <w:t>7、对时任董事张某、时任高管陈某明给予警告</w:t>
            </w:r>
            <w:r>
              <w:rPr>
                <w:spacing w:val="-25"/>
                <w:position w:val="12"/>
              </w:rPr>
              <w:t xml:space="preserve"> </w:t>
            </w:r>
            <w:r>
              <w:rPr>
                <w:spacing w:val="8"/>
                <w:position w:val="12"/>
              </w:rPr>
              <w:t>，并分别处以75万元</w:t>
            </w:r>
            <w:r>
              <w:rPr>
                <w:spacing w:val="7"/>
                <w:position w:val="12"/>
              </w:rPr>
              <w:t>罚款；</w:t>
            </w:r>
          </w:p>
          <w:p>
            <w:pPr>
              <w:pStyle w:val="TableText"/>
              <w:ind w:left="111"/>
              <w:spacing w:before="1" w:line="188" w:lineRule="auto"/>
              <w:rPr/>
            </w:pPr>
            <w:r>
              <w:rPr>
                <w:spacing w:val="7"/>
              </w:rPr>
              <w:t>8、对其他关系方吕某给予警告</w:t>
            </w:r>
            <w:r>
              <w:rPr>
                <w:spacing w:val="-19"/>
              </w:rPr>
              <w:t xml:space="preserve"> </w:t>
            </w:r>
            <w:r>
              <w:rPr>
                <w:spacing w:val="7"/>
              </w:rPr>
              <w:t>，并处以50万元罚款。</w:t>
            </w:r>
          </w:p>
          <w:p>
            <w:pPr>
              <w:pStyle w:val="TableText"/>
              <w:ind w:left="102" w:right="103" w:firstLine="2"/>
              <w:spacing w:before="59" w:line="248" w:lineRule="auto"/>
              <w:jc w:val="both"/>
              <w:rPr/>
            </w:pPr>
            <w:r>
              <w:rPr>
                <w:spacing w:val="9"/>
              </w:rPr>
              <w:t>红相股份实际控制人杨某</w:t>
            </w:r>
            <w:r>
              <w:rPr>
                <w:spacing w:val="-23"/>
              </w:rPr>
              <w:t xml:space="preserve"> </w:t>
            </w:r>
            <w:r>
              <w:rPr>
                <w:spacing w:val="9"/>
              </w:rPr>
              <w:t>，时任董事长兼总经理</w:t>
            </w:r>
            <w:r>
              <w:rPr>
                <w:spacing w:val="-25"/>
              </w:rPr>
              <w:t xml:space="preserve"> </w:t>
            </w:r>
            <w:r>
              <w:rPr>
                <w:spacing w:val="9"/>
              </w:rPr>
              <w:t>，涉嫌违法情节特别严重</w:t>
            </w:r>
            <w:r>
              <w:rPr>
                <w:spacing w:val="-23"/>
              </w:rPr>
              <w:t xml:space="preserve"> </w:t>
            </w:r>
            <w:r>
              <w:rPr>
                <w:spacing w:val="8"/>
              </w:rPr>
              <w:t>，根据2005年《证</w:t>
            </w:r>
            <w:r>
              <w:rPr/>
              <w:t xml:space="preserve"> </w:t>
            </w:r>
            <w:r>
              <w:rPr>
                <w:spacing w:val="10"/>
              </w:rPr>
              <w:t>券法》第二百三十三条、《证券法》第二百二十一条</w:t>
            </w:r>
            <w:r>
              <w:rPr>
                <w:spacing w:val="9"/>
              </w:rPr>
              <w:t>和2015年修订的《证券市场禁入规定》(</w:t>
            </w:r>
            <w:r>
              <w:rPr/>
              <w:t xml:space="preserve"> </w:t>
            </w:r>
            <w:r>
              <w:rPr>
                <w:spacing w:val="10"/>
              </w:rPr>
              <w:t>证监会令第115号)第三条第一项、第二项</w:t>
            </w:r>
            <w:r>
              <w:rPr>
                <w:spacing w:val="-25"/>
              </w:rPr>
              <w:t xml:space="preserve"> </w:t>
            </w:r>
            <w:r>
              <w:rPr>
                <w:spacing w:val="10"/>
              </w:rPr>
              <w:t>，第四条、第五条</w:t>
            </w:r>
            <w:r>
              <w:rPr>
                <w:spacing w:val="9"/>
              </w:rPr>
              <w:t>的规定和2021年修订的《证券市</w:t>
            </w:r>
            <w:r>
              <w:rPr/>
              <w:t xml:space="preserve"> </w:t>
            </w:r>
            <w:r>
              <w:rPr>
                <w:spacing w:val="13"/>
              </w:rPr>
              <w:t>场禁入规定》(证监会令第185号）第三条第一项</w:t>
            </w:r>
            <w:r>
              <w:rPr>
                <w:spacing w:val="12"/>
              </w:rPr>
              <w:t>、第四条、第五条第一款、第七条第一款的</w:t>
            </w:r>
            <w:r>
              <w:rPr/>
              <w:t xml:space="preserve"> </w:t>
            </w:r>
            <w:r>
              <w:rPr>
                <w:spacing w:val="10"/>
              </w:rPr>
              <w:t>规定,中国证券监督管理委员会厦门监管局拟决定</w:t>
            </w:r>
            <w:r>
              <w:rPr>
                <w:spacing w:val="-8"/>
              </w:rPr>
              <w:t xml:space="preserve"> </w:t>
            </w:r>
            <w:r>
              <w:rPr>
                <w:spacing w:val="10"/>
              </w:rPr>
              <w:t>：对杨某采取终身市场禁入措施</w:t>
            </w:r>
            <w:r>
              <w:rPr>
                <w:spacing w:val="-25"/>
              </w:rPr>
              <w:t xml:space="preserve"> </w:t>
            </w:r>
            <w:r>
              <w:rPr>
                <w:spacing w:val="10"/>
              </w:rPr>
              <w:t>，不得担任</w:t>
            </w:r>
            <w:r>
              <w:rPr/>
              <w:t xml:space="preserve"> </w:t>
            </w:r>
            <w:r>
              <w:rPr>
                <w:spacing w:val="14"/>
              </w:rPr>
              <w:t>证券发行人的董事、监事、高级管理人员。红相股份时任副</w:t>
            </w:r>
            <w:r>
              <w:rPr>
                <w:spacing w:val="13"/>
              </w:rPr>
              <w:t>总经理、银川卧龙董事长兼总经</w:t>
            </w:r>
            <w:r>
              <w:rPr/>
              <w:t xml:space="preserve"> </w:t>
            </w:r>
            <w:r>
              <w:rPr>
                <w:spacing w:val="10"/>
              </w:rPr>
              <w:t>理何某武</w:t>
            </w:r>
            <w:r>
              <w:rPr>
                <w:spacing w:val="-26"/>
              </w:rPr>
              <w:t xml:space="preserve"> </w:t>
            </w:r>
            <w:r>
              <w:rPr>
                <w:spacing w:val="10"/>
              </w:rPr>
              <w:t>，违法情节严重</w:t>
            </w:r>
            <w:r>
              <w:rPr>
                <w:spacing w:val="-23"/>
              </w:rPr>
              <w:t xml:space="preserve"> </w:t>
            </w:r>
            <w:r>
              <w:rPr>
                <w:spacing w:val="10"/>
              </w:rPr>
              <w:t>，根据2005年《证券法》第二百三十</w:t>
            </w:r>
            <w:r>
              <w:rPr>
                <w:spacing w:val="9"/>
              </w:rPr>
              <w:t>三条、《证券法》第二百二十</w:t>
            </w:r>
            <w:r>
              <w:rPr/>
              <w:t xml:space="preserve"> </w:t>
            </w:r>
            <w:r>
              <w:rPr>
                <w:spacing w:val="14"/>
              </w:rPr>
              <w:t>一条和2015年修订的《证券市场禁入规</w:t>
            </w:r>
            <w:r>
              <w:rPr>
                <w:spacing w:val="13"/>
              </w:rPr>
              <w:t>定》(证监会令第115号)第三条第一项、第四条、第</w:t>
            </w:r>
            <w:r>
              <w:rPr/>
              <w:t xml:space="preserve"> </w:t>
            </w:r>
            <w:r>
              <w:rPr>
                <w:spacing w:val="14"/>
              </w:rPr>
              <w:t>五条的规定和2021年修订的《证券市场</w:t>
            </w:r>
            <w:r>
              <w:rPr>
                <w:spacing w:val="13"/>
              </w:rPr>
              <w:t>禁入规定》(证监会令第185号)第三条第一项、第四</w:t>
            </w:r>
            <w:r>
              <w:rPr/>
              <w:t xml:space="preserve"> </w:t>
            </w:r>
            <w:r>
              <w:rPr>
                <w:spacing w:val="11"/>
              </w:rPr>
              <w:t>条、第五条第一款、第七条第一款的规定</w:t>
            </w:r>
            <w:r>
              <w:rPr>
                <w:spacing w:val="-23"/>
              </w:rPr>
              <w:t xml:space="preserve"> </w:t>
            </w:r>
            <w:r>
              <w:rPr>
                <w:spacing w:val="11"/>
              </w:rPr>
              <w:t>，</w:t>
            </w:r>
            <w:r>
              <w:rPr>
                <w:spacing w:val="-31"/>
              </w:rPr>
              <w:t xml:space="preserve"> </w:t>
            </w:r>
            <w:r>
              <w:rPr>
                <w:spacing w:val="11"/>
              </w:rPr>
              <w:t>中国证券监督管理委员会厦门监管局拟决定</w:t>
            </w:r>
            <w:r>
              <w:rPr>
                <w:spacing w:val="-16"/>
              </w:rPr>
              <w:t xml:space="preserve"> </w:t>
            </w:r>
            <w:r>
              <w:rPr>
                <w:spacing w:val="10"/>
              </w:rPr>
              <w:t>：对</w:t>
            </w:r>
            <w:r>
              <w:rPr/>
              <w:t xml:space="preserve"> </w:t>
            </w:r>
            <w:r>
              <w:rPr>
                <w:spacing w:val="9"/>
              </w:rPr>
              <w:t>何某武采取5年市场禁入措施</w:t>
            </w:r>
            <w:r>
              <w:rPr>
                <w:spacing w:val="-28"/>
              </w:rPr>
              <w:t xml:space="preserve"> </w:t>
            </w:r>
            <w:r>
              <w:rPr>
                <w:spacing w:val="9"/>
              </w:rPr>
              <w:t>，不得担任证券发行人的</w:t>
            </w:r>
            <w:r>
              <w:rPr>
                <w:spacing w:val="8"/>
              </w:rPr>
              <w:t>董事、监事、高级管理人员。</w:t>
            </w:r>
          </w:p>
        </w:tc>
      </w:tr>
    </w:tbl>
    <w:p>
      <w:pPr>
        <w:pStyle w:val="BodyText"/>
        <w:rPr/>
      </w:pPr>
      <w:r/>
    </w:p>
    <w:p>
      <w:pPr>
        <w:sectPr>
          <w:pgSz w:w="11910" w:h="16840"/>
          <w:pgMar w:top="374" w:right="1725" w:bottom="0" w:left="875" w:header="0" w:footer="0" w:gutter="0"/>
        </w:sectPr>
        <w:rPr/>
      </w:pPr>
    </w:p>
    <w:tbl>
      <w:tblPr>
        <w:tblStyle w:val="TableNormal"/>
        <w:tblW w:w="8769" w:type="dxa"/>
        <w:tblInd w:w="225" w:type="dxa"/>
        <w:tblLayout w:type="fixed"/>
        <w:tblBorders>
          <w:top w:val="single" w:color="4F81BD" w:sz="6" w:space="0"/>
          <w:left w:val="single" w:color="4F81BD" w:sz="6" w:space="0"/>
          <w:bottom w:val="single" w:color="4F81BD" w:sz="6" w:space="0"/>
          <w:right w:val="single" w:color="4F81BD" w:sz="6" w:space="0"/>
          <w:insideH w:val="single" w:color="4F81BD" w:sz="6" w:space="0"/>
          <w:insideV w:val="single" w:color="4F81BD" w:sz="6" w:space="0"/>
        </w:tblBorders>
      </w:tblPr>
      <w:tblGrid>
        <w:gridCol w:w="1594"/>
        <w:gridCol w:w="1385"/>
        <w:gridCol w:w="5790"/>
      </w:tblGrid>
      <w:tr>
        <w:trPr>
          <w:trHeight w:val="731" w:hRule="atLeast"/>
        </w:trPr>
        <w:tc>
          <w:tcPr>
            <w:shd w:val="clear" w:fill="B8CCE4"/>
            <w:tcW w:w="1594" w:type="dxa"/>
            <w:vAlign w:val="top"/>
          </w:tcPr>
          <w:p>
            <w:pPr>
              <w:pStyle w:val="TableText"/>
              <w:ind w:left="427"/>
              <w:spacing w:before="284" w:line="178" w:lineRule="auto"/>
              <w:rPr/>
            </w:pPr>
            <w:r>
              <w:rPr>
                <w:spacing w:val="3"/>
              </w:rPr>
              <w:t>002656</w:t>
            </w:r>
          </w:p>
        </w:tc>
        <w:tc>
          <w:tcPr>
            <w:shd w:val="clear" w:fill="B8CCE4"/>
            <w:tcW w:w="1385" w:type="dxa"/>
            <w:vAlign w:val="top"/>
          </w:tcPr>
          <w:p>
            <w:pPr>
              <w:pStyle w:val="TableText"/>
              <w:ind w:left="363"/>
              <w:spacing w:before="270" w:line="189" w:lineRule="auto"/>
              <w:rPr/>
            </w:pPr>
            <w:r>
              <w:rPr/>
              <w:t>ST</w:t>
            </w:r>
            <w:r>
              <w:rPr>
                <w:spacing w:val="7"/>
              </w:rPr>
              <w:t>摩登</w:t>
            </w:r>
          </w:p>
        </w:tc>
        <w:tc>
          <w:tcPr>
            <w:shd w:val="clear" w:fill="B8CCE4"/>
            <w:tcW w:w="5790" w:type="dxa"/>
            <w:vAlign w:val="top"/>
          </w:tcPr>
          <w:p>
            <w:pPr>
              <w:pStyle w:val="TableText"/>
              <w:ind w:left="103" w:right="106" w:firstLine="6"/>
              <w:spacing w:before="91" w:line="220" w:lineRule="auto"/>
              <w:rPr/>
            </w:pPr>
            <w:r>
              <w:rPr>
                <w:spacing w:val="10"/>
              </w:rPr>
              <w:t>2021年年度报告存在</w:t>
            </w:r>
            <w:r>
              <w:rPr>
                <w:b/>
                <w:bCs/>
                <w:spacing w:val="10"/>
              </w:rPr>
              <w:t>虚假记载</w:t>
            </w:r>
            <w:r>
              <w:rPr>
                <w:spacing w:val="10"/>
              </w:rPr>
              <w:t>；未及时披露</w:t>
            </w:r>
            <w:r>
              <w:rPr>
                <w:b/>
                <w:bCs/>
                <w:spacing w:val="10"/>
              </w:rPr>
              <w:t>股权投资重大损</w:t>
            </w:r>
            <w:r>
              <w:rPr>
                <w:b/>
                <w:bCs/>
                <w:spacing w:val="8"/>
              </w:rPr>
              <w:t xml:space="preserve"> </w:t>
            </w:r>
            <w:r>
              <w:rPr>
                <w:b/>
                <w:bCs/>
                <w:spacing w:val="7"/>
              </w:rPr>
              <w:t>失</w:t>
            </w:r>
            <w:r>
              <w:rPr>
                <w:spacing w:val="7"/>
              </w:rPr>
              <w:t>；未按期披露2022年</w:t>
            </w:r>
            <w:r>
              <w:rPr>
                <w:b/>
                <w:bCs/>
                <w:spacing w:val="7"/>
              </w:rPr>
              <w:t>年度报告。</w:t>
            </w:r>
          </w:p>
        </w:tc>
      </w:tr>
      <w:tr>
        <w:trPr>
          <w:trHeight w:val="2165" w:hRule="atLeast"/>
        </w:trPr>
        <w:tc>
          <w:tcPr>
            <w:tcW w:w="8769" w:type="dxa"/>
            <w:vAlign w:val="top"/>
            <w:gridSpan w:val="3"/>
          </w:tcPr>
          <w:p>
            <w:pPr>
              <w:pStyle w:val="TableText"/>
              <w:ind w:left="121"/>
              <w:spacing w:before="42" w:line="233" w:lineRule="auto"/>
              <w:rPr/>
            </w:pPr>
            <w:r>
              <w:rPr>
                <w:b/>
                <w:bCs/>
                <w:spacing w:val="9"/>
              </w:rPr>
              <w:t>【行政处罚决定（拟）】</w:t>
            </w:r>
            <w:r>
              <w:rPr>
                <w:spacing w:val="9"/>
              </w:rPr>
              <w:t>中国证券监督管理委员会广东监管局拟决定:</w:t>
            </w:r>
          </w:p>
          <w:p>
            <w:pPr>
              <w:pStyle w:val="TableText"/>
              <w:ind w:left="123"/>
              <w:spacing w:before="70" w:line="189" w:lineRule="auto"/>
              <w:rPr/>
            </w:pPr>
            <w:r>
              <w:rPr>
                <w:spacing w:val="7"/>
              </w:rPr>
              <w:t>1、对摩登大道时尚集团股份有限公司给予警告</w:t>
            </w:r>
            <w:r>
              <w:rPr>
                <w:spacing w:val="-13"/>
              </w:rPr>
              <w:t xml:space="preserve"> </w:t>
            </w:r>
            <w:r>
              <w:rPr>
                <w:spacing w:val="7"/>
              </w:rPr>
              <w:t>，并处以580万元罚款；</w:t>
            </w:r>
          </w:p>
          <w:p>
            <w:pPr>
              <w:pStyle w:val="TableText"/>
              <w:ind w:left="115" w:right="963" w:hanging="2"/>
              <w:spacing w:before="88" w:line="221" w:lineRule="auto"/>
              <w:rPr/>
            </w:pPr>
            <w:r>
              <w:rPr>
                <w:spacing w:val="7"/>
              </w:rPr>
              <w:t>2、对时任董事长,时任总经理,时任财务总监林某超给予警告</w:t>
            </w:r>
            <w:r>
              <w:rPr>
                <w:spacing w:val="-28"/>
              </w:rPr>
              <w:t xml:space="preserve"> </w:t>
            </w:r>
            <w:r>
              <w:rPr>
                <w:spacing w:val="7"/>
              </w:rPr>
              <w:t>，并处以260万元罚款；</w:t>
            </w:r>
            <w:r>
              <w:rPr/>
              <w:t xml:space="preserve"> </w:t>
            </w:r>
            <w:r>
              <w:rPr>
                <w:spacing w:val="7"/>
              </w:rPr>
              <w:t>3、对时任高管,时任董事魏某给予警告</w:t>
            </w:r>
            <w:r>
              <w:rPr>
                <w:spacing w:val="-20"/>
              </w:rPr>
              <w:t xml:space="preserve"> </w:t>
            </w:r>
            <w:r>
              <w:rPr>
                <w:spacing w:val="7"/>
              </w:rPr>
              <w:t>，并处以130万元罚款；</w:t>
            </w:r>
          </w:p>
          <w:p>
            <w:pPr>
              <w:pStyle w:val="TableText"/>
              <w:ind w:left="103"/>
              <w:spacing w:before="87" w:line="362" w:lineRule="exact"/>
              <w:rPr/>
            </w:pPr>
            <w:r>
              <w:rPr>
                <w:spacing w:val="8"/>
                <w:position w:val="11"/>
              </w:rPr>
              <w:t>4、对时任高管,时任董事,时任董秘翁某芳给予警告</w:t>
            </w:r>
            <w:r>
              <w:rPr>
                <w:spacing w:val="-28"/>
                <w:position w:val="11"/>
              </w:rPr>
              <w:t xml:space="preserve"> </w:t>
            </w:r>
            <w:r>
              <w:rPr>
                <w:spacing w:val="8"/>
                <w:position w:val="11"/>
              </w:rPr>
              <w:t>，并处以10</w:t>
            </w:r>
            <w:r>
              <w:rPr>
                <w:spacing w:val="7"/>
                <w:position w:val="11"/>
              </w:rPr>
              <w:t>0万元罚款；</w:t>
            </w:r>
          </w:p>
          <w:p>
            <w:pPr>
              <w:pStyle w:val="TableText"/>
              <w:ind w:left="119"/>
              <w:spacing w:line="188" w:lineRule="auto"/>
              <w:rPr/>
            </w:pPr>
            <w:r>
              <w:rPr>
                <w:spacing w:val="7"/>
              </w:rPr>
              <w:t>5、对时任独董陈某敏给予警告</w:t>
            </w:r>
            <w:r>
              <w:rPr>
                <w:spacing w:val="-27"/>
              </w:rPr>
              <w:t xml:space="preserve"> </w:t>
            </w:r>
            <w:r>
              <w:rPr>
                <w:spacing w:val="7"/>
              </w:rPr>
              <w:t>，并处以50万元罚款。</w:t>
            </w:r>
          </w:p>
        </w:tc>
      </w:tr>
    </w:tbl>
    <w:p>
      <w:pPr>
        <w:spacing w:before="147" w:line="225" w:lineRule="auto"/>
        <w:rPr>
          <w:rFonts w:ascii="Microsoft YaHei" w:hAnsi="Microsoft YaHei" w:eastAsia="Microsoft YaHei" w:cs="Microsoft YaHei"/>
          <w:sz w:val="24"/>
          <w:szCs w:val="24"/>
        </w:rPr>
      </w:pPr>
      <w:r>
        <w:rPr>
          <w:rFonts w:ascii="Microsoft YaHei" w:hAnsi="Microsoft YaHei" w:eastAsia="Microsoft YaHei" w:cs="Microsoft YaHei"/>
          <w:sz w:val="24"/>
          <w:szCs w:val="24"/>
          <w:b/>
          <w:bCs/>
          <w:color w:val="333333"/>
          <w:spacing w:val="-12"/>
          <w:w w:val="96"/>
        </w:rPr>
        <w:t>（</w:t>
      </w:r>
      <w:r>
        <w:rPr>
          <w:rFonts w:ascii="Microsoft YaHei" w:hAnsi="Microsoft YaHei" w:eastAsia="Microsoft YaHei" w:cs="Microsoft YaHei"/>
          <w:sz w:val="24"/>
          <w:szCs w:val="24"/>
          <w:b/>
          <w:bCs/>
          <w:color w:val="333333"/>
          <w:spacing w:val="19"/>
        </w:rPr>
        <w:t xml:space="preserve"> </w:t>
      </w:r>
      <w:r>
        <w:rPr>
          <w:rFonts w:ascii="Microsoft YaHei" w:hAnsi="Microsoft YaHei" w:eastAsia="Microsoft YaHei" w:cs="Microsoft YaHei"/>
          <w:sz w:val="24"/>
          <w:szCs w:val="24"/>
          <w:b/>
          <w:bCs/>
          <w:color w:val="333333"/>
          <w:spacing w:val="-12"/>
          <w:w w:val="96"/>
        </w:rPr>
        <w:t>3</w:t>
      </w:r>
      <w:r>
        <w:rPr>
          <w:rFonts w:ascii="Microsoft YaHei" w:hAnsi="Microsoft YaHei" w:eastAsia="Microsoft YaHei" w:cs="Microsoft YaHei"/>
          <w:sz w:val="24"/>
          <w:szCs w:val="24"/>
          <w:b/>
          <w:bCs/>
          <w:color w:val="333333"/>
          <w:spacing w:val="27"/>
        </w:rPr>
        <w:t xml:space="preserve"> </w:t>
      </w:r>
      <w:r>
        <w:rPr>
          <w:rFonts w:ascii="Microsoft YaHei" w:hAnsi="Microsoft YaHei" w:eastAsia="Microsoft YaHei" w:cs="Microsoft YaHei"/>
          <w:sz w:val="24"/>
          <w:szCs w:val="24"/>
          <w:b/>
          <w:bCs/>
          <w:color w:val="333333"/>
          <w:spacing w:val="-12"/>
          <w:w w:val="96"/>
        </w:rPr>
        <w:t>）</w:t>
      </w:r>
      <w:r>
        <w:rPr>
          <w:rFonts w:ascii="Microsoft YaHei" w:hAnsi="Microsoft YaHei" w:eastAsia="Microsoft YaHei" w:cs="Microsoft YaHei"/>
          <w:sz w:val="24"/>
          <w:szCs w:val="24"/>
          <w:b/>
          <w:bCs/>
          <w:spacing w:val="-12"/>
          <w:w w:val="96"/>
        </w:rPr>
        <w:t>行政监管措施</w:t>
      </w:r>
    </w:p>
    <w:p>
      <w:pPr>
        <w:spacing w:line="94" w:lineRule="exact"/>
        <w:rPr/>
      </w:pPr>
      <w:r/>
    </w:p>
    <w:tbl>
      <w:tblPr>
        <w:tblStyle w:val="TableNormal"/>
        <w:tblW w:w="8967" w:type="dxa"/>
        <w:tblInd w:w="212" w:type="dxa"/>
        <w:tblLayout w:type="fixed"/>
        <w:tblBorders>
          <w:top w:val="single" w:color="4F81BD" w:sz="6" w:space="0"/>
          <w:left w:val="single" w:color="4F81BD" w:sz="6" w:space="0"/>
          <w:bottom w:val="single" w:color="4F81BD" w:sz="6" w:space="0"/>
          <w:right w:val="single" w:color="4F81BD" w:sz="6" w:space="0"/>
          <w:insideH w:val="single" w:color="4F81BD" w:sz="6" w:space="0"/>
          <w:insideV w:val="single" w:color="4F81BD" w:sz="6" w:space="0"/>
        </w:tblBorders>
      </w:tblPr>
      <w:tblGrid>
        <w:gridCol w:w="1607"/>
        <w:gridCol w:w="1560"/>
        <w:gridCol w:w="5800"/>
      </w:tblGrid>
      <w:tr>
        <w:trPr>
          <w:trHeight w:val="392" w:hRule="atLeast"/>
        </w:trPr>
        <w:tc>
          <w:tcPr>
            <w:shd w:val="clear" w:fill="4F81BD"/>
            <w:tcW w:w="1607" w:type="dxa"/>
            <w:vAlign w:val="top"/>
          </w:tcPr>
          <w:p>
            <w:pPr>
              <w:pStyle w:val="TableText"/>
              <w:ind w:left="377"/>
              <w:spacing w:before="109" w:line="189" w:lineRule="auto"/>
              <w:rPr/>
            </w:pPr>
            <w:r>
              <w:rPr>
                <w:b/>
                <w:bCs/>
                <w:color w:val="FFFFFF"/>
                <w:spacing w:val="8"/>
              </w:rPr>
              <w:t>公司代码</w:t>
            </w:r>
          </w:p>
        </w:tc>
        <w:tc>
          <w:tcPr>
            <w:shd w:val="clear" w:fill="4F81BD"/>
            <w:tcW w:w="1560" w:type="dxa"/>
            <w:vAlign w:val="top"/>
          </w:tcPr>
          <w:p>
            <w:pPr>
              <w:pStyle w:val="TableText"/>
              <w:ind w:left="352"/>
              <w:spacing w:before="109" w:line="189" w:lineRule="auto"/>
              <w:rPr/>
            </w:pPr>
            <w:r>
              <w:rPr>
                <w:b/>
                <w:bCs/>
                <w:color w:val="FFFFFF"/>
                <w:spacing w:val="8"/>
              </w:rPr>
              <w:t>公司简称</w:t>
            </w:r>
          </w:p>
        </w:tc>
        <w:tc>
          <w:tcPr>
            <w:shd w:val="clear" w:fill="4F81BD"/>
            <w:tcW w:w="5800" w:type="dxa"/>
            <w:vAlign w:val="top"/>
          </w:tcPr>
          <w:p>
            <w:pPr>
              <w:pStyle w:val="TableText"/>
              <w:ind w:left="2473"/>
              <w:spacing w:before="109" w:line="189" w:lineRule="auto"/>
              <w:rPr/>
            </w:pPr>
            <w:r>
              <w:rPr>
                <w:b/>
                <w:bCs/>
                <w:color w:val="FFFFFF"/>
                <w:spacing w:val="8"/>
              </w:rPr>
              <w:t>违规行为</w:t>
            </w:r>
          </w:p>
        </w:tc>
      </w:tr>
      <w:tr>
        <w:trPr>
          <w:trHeight w:val="3604" w:hRule="atLeast"/>
        </w:trPr>
        <w:tc>
          <w:tcPr>
            <w:shd w:val="clear" w:fill="B8CCE4"/>
            <w:tcW w:w="1607" w:type="dxa"/>
            <w:vAlign w:val="top"/>
          </w:tcPr>
          <w:p>
            <w:pPr>
              <w:spacing w:line="270" w:lineRule="auto"/>
              <w:rPr>
                <w:rFonts w:ascii="Arial"/>
                <w:sz w:val="21"/>
              </w:rPr>
            </w:pPr>
            <w:r/>
          </w:p>
          <w:p>
            <w:pPr>
              <w:spacing w:line="270" w:lineRule="auto"/>
              <w:rPr>
                <w:rFonts w:ascii="Arial"/>
                <w:sz w:val="21"/>
              </w:rPr>
            </w:pPr>
            <w:r/>
          </w:p>
          <w:p>
            <w:pPr>
              <w:spacing w:line="270" w:lineRule="auto"/>
              <w:rPr>
                <w:rFonts w:ascii="Arial"/>
                <w:sz w:val="21"/>
              </w:rPr>
            </w:pPr>
            <w:r/>
          </w:p>
          <w:p>
            <w:pPr>
              <w:spacing w:line="270" w:lineRule="auto"/>
              <w:rPr>
                <w:rFonts w:ascii="Arial"/>
                <w:sz w:val="21"/>
              </w:rPr>
            </w:pPr>
            <w:r/>
          </w:p>
          <w:p>
            <w:pPr>
              <w:spacing w:line="270" w:lineRule="auto"/>
              <w:rPr>
                <w:rFonts w:ascii="Arial"/>
                <w:sz w:val="21"/>
              </w:rPr>
            </w:pPr>
            <w:r/>
          </w:p>
          <w:p>
            <w:pPr>
              <w:spacing w:line="27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33"/>
              <w:spacing w:before="86" w:line="178" w:lineRule="auto"/>
              <w:rPr/>
            </w:pPr>
            <w:r>
              <w:rPr>
                <w:spacing w:val="3"/>
              </w:rPr>
              <w:t>000767</w:t>
            </w:r>
          </w:p>
        </w:tc>
        <w:tc>
          <w:tcPr>
            <w:shd w:val="clear" w:fill="B8CCE4"/>
            <w:tcW w:w="1560" w:type="dxa"/>
            <w:vAlign w:val="top"/>
          </w:tcPr>
          <w:p>
            <w:pPr>
              <w:spacing w:line="267" w:lineRule="auto"/>
              <w:rPr>
                <w:rFonts w:ascii="Arial"/>
                <w:sz w:val="21"/>
              </w:rPr>
            </w:pPr>
            <w:r/>
          </w:p>
          <w:p>
            <w:pPr>
              <w:spacing w:line="267" w:lineRule="auto"/>
              <w:rPr>
                <w:rFonts w:ascii="Arial"/>
                <w:sz w:val="21"/>
              </w:rPr>
            </w:pPr>
            <w:r/>
          </w:p>
          <w:p>
            <w:pPr>
              <w:spacing w:line="267" w:lineRule="auto"/>
              <w:rPr>
                <w:rFonts w:ascii="Arial"/>
                <w:sz w:val="21"/>
              </w:rPr>
            </w:pPr>
            <w:r/>
          </w:p>
          <w:p>
            <w:pPr>
              <w:spacing w:line="268" w:lineRule="auto"/>
              <w:rPr>
                <w:rFonts w:ascii="Arial"/>
                <w:sz w:val="21"/>
              </w:rPr>
            </w:pPr>
            <w:r/>
          </w:p>
          <w:p>
            <w:pPr>
              <w:spacing w:line="268" w:lineRule="auto"/>
              <w:rPr>
                <w:rFonts w:ascii="Arial"/>
                <w:sz w:val="21"/>
              </w:rPr>
            </w:pPr>
            <w:r/>
          </w:p>
          <w:p>
            <w:pPr>
              <w:spacing w:line="26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55"/>
              <w:spacing w:before="86" w:line="189" w:lineRule="auto"/>
              <w:rPr/>
            </w:pPr>
            <w:r>
              <w:rPr>
                <w:spacing w:val="7"/>
              </w:rPr>
              <w:t>晋控电力</w:t>
            </w:r>
          </w:p>
        </w:tc>
        <w:tc>
          <w:tcPr>
            <w:shd w:val="clear" w:fill="B8CCE4"/>
            <w:tcW w:w="5800" w:type="dxa"/>
            <w:vAlign w:val="top"/>
          </w:tcPr>
          <w:p>
            <w:pPr>
              <w:pStyle w:val="TableText"/>
              <w:ind w:left="99" w:right="103" w:firstLine="1"/>
              <w:spacing w:before="76" w:line="246" w:lineRule="auto"/>
              <w:rPr/>
            </w:pPr>
            <w:r>
              <w:rPr>
                <w:spacing w:val="13"/>
              </w:rPr>
              <w:t>公司内幕信息知情人登记管理制度中</w:t>
            </w:r>
            <w:r>
              <w:rPr>
                <w:spacing w:val="-19"/>
              </w:rPr>
              <w:t xml:space="preserve"> </w:t>
            </w:r>
            <w:r>
              <w:rPr>
                <w:spacing w:val="13"/>
              </w:rPr>
              <w:t>，关于内幕信息范围、</w:t>
            </w:r>
            <w:r>
              <w:rPr/>
              <w:t xml:space="preserve"> </w:t>
            </w:r>
            <w:r>
              <w:rPr>
                <w:spacing w:val="14"/>
              </w:rPr>
              <w:t>主要责任人、档案保存年限、能够实施重大影响的参股公司</w:t>
            </w:r>
            <w:r>
              <w:rPr>
                <w:spacing w:val="16"/>
                <w:w w:val="101"/>
              </w:rPr>
              <w:t xml:space="preserve"> </w:t>
            </w:r>
            <w:r>
              <w:rPr>
                <w:spacing w:val="14"/>
              </w:rPr>
              <w:t>内幕信息管理、对内幕信息知情人买卖本公司股票进行自查</w:t>
            </w:r>
            <w:r>
              <w:rPr>
                <w:spacing w:val="16"/>
                <w:w w:val="101"/>
              </w:rPr>
              <w:t xml:space="preserve"> </w:t>
            </w:r>
            <w:r>
              <w:rPr>
                <w:spacing w:val="13"/>
              </w:rPr>
              <w:t>及责任追究机制相关内容不规范</w:t>
            </w:r>
            <w:r>
              <w:rPr>
                <w:spacing w:val="-17"/>
              </w:rPr>
              <w:t xml:space="preserve"> </w:t>
            </w:r>
            <w:r>
              <w:rPr>
                <w:spacing w:val="13"/>
              </w:rPr>
              <w:t>，且内幕信息知情人登记事</w:t>
            </w:r>
            <w:r>
              <w:rPr/>
              <w:t xml:space="preserve"> </w:t>
            </w:r>
            <w:r>
              <w:rPr>
                <w:spacing w:val="14"/>
              </w:rPr>
              <w:t>项未经知情人确认、未登记董事及经理层人员变动情况、未</w:t>
            </w:r>
            <w:r>
              <w:rPr>
                <w:spacing w:val="16"/>
                <w:w w:val="101"/>
              </w:rPr>
              <w:t xml:space="preserve"> </w:t>
            </w:r>
            <w:r>
              <w:rPr>
                <w:spacing w:val="13"/>
              </w:rPr>
              <w:t>对内幕信息知情人买卖本公司股票进行过自查</w:t>
            </w:r>
            <w:r>
              <w:rPr>
                <w:spacing w:val="-17"/>
              </w:rPr>
              <w:t xml:space="preserve"> </w:t>
            </w:r>
            <w:r>
              <w:rPr>
                <w:spacing w:val="13"/>
              </w:rPr>
              <w:t>，反映出公司</w:t>
            </w:r>
            <w:r>
              <w:rPr/>
              <w:t xml:space="preserve"> </w:t>
            </w:r>
            <w:r>
              <w:rPr>
                <w:b/>
                <w:bCs/>
                <w:spacing w:val="13"/>
              </w:rPr>
              <w:t>未严格执行证监会内幕信息知情人登记管理制度</w:t>
            </w:r>
            <w:r>
              <w:rPr>
                <w:spacing w:val="13"/>
              </w:rPr>
              <w:t>；</w:t>
            </w:r>
            <w:r>
              <w:rPr>
                <w:spacing w:val="-17"/>
              </w:rPr>
              <w:t xml:space="preserve"> </w:t>
            </w:r>
            <w:r>
              <w:rPr>
                <w:spacing w:val="13"/>
              </w:rPr>
              <w:t>未及时</w:t>
            </w:r>
            <w:r>
              <w:rPr>
                <w:b/>
                <w:bCs/>
                <w:spacing w:val="13"/>
              </w:rPr>
              <w:t>对</w:t>
            </w:r>
            <w:r>
              <w:rPr>
                <w:b/>
                <w:bCs/>
              </w:rPr>
              <w:t xml:space="preserve"> </w:t>
            </w:r>
            <w:r>
              <w:rPr>
                <w:b/>
                <w:bCs/>
                <w:spacing w:val="14"/>
              </w:rPr>
              <w:t>新增和超出预计额度的部分关联交易</w:t>
            </w:r>
            <w:r>
              <w:rPr>
                <w:spacing w:val="14"/>
              </w:rPr>
              <w:t>履行审议程序和披露义</w:t>
            </w:r>
            <w:r>
              <w:rPr>
                <w:spacing w:val="16"/>
                <w:w w:val="101"/>
              </w:rPr>
              <w:t xml:space="preserve"> </w:t>
            </w:r>
            <w:r>
              <w:rPr>
                <w:spacing w:val="13"/>
              </w:rPr>
              <w:t>务；</w:t>
            </w:r>
            <w:r>
              <w:rPr>
                <w:spacing w:val="-19"/>
              </w:rPr>
              <w:t xml:space="preserve"> </w:t>
            </w:r>
            <w:r>
              <w:rPr>
                <w:spacing w:val="13"/>
              </w:rPr>
              <w:t>2022年年报、</w:t>
            </w:r>
            <w:r>
              <w:rPr>
                <w:spacing w:val="-31"/>
              </w:rPr>
              <w:t xml:space="preserve"> </w:t>
            </w:r>
            <w:r>
              <w:rPr>
                <w:spacing w:val="13"/>
              </w:rPr>
              <w:t>2023年半年报对</w:t>
            </w:r>
            <w:r>
              <w:rPr>
                <w:b/>
                <w:bCs/>
                <w:spacing w:val="13"/>
              </w:rPr>
              <w:t>部分担保事项的</w:t>
            </w:r>
            <w:r>
              <w:rPr>
                <w:b/>
                <w:bCs/>
                <w:spacing w:val="12"/>
              </w:rPr>
              <w:t>担保对</w:t>
            </w:r>
            <w:r>
              <w:rPr>
                <w:b/>
                <w:bCs/>
              </w:rPr>
              <w:t xml:space="preserve"> </w:t>
            </w:r>
            <w:r>
              <w:rPr>
                <w:b/>
                <w:bCs/>
                <w:spacing w:val="9"/>
              </w:rPr>
              <w:t>象或担保日期</w:t>
            </w:r>
            <w:r>
              <w:rPr>
                <w:spacing w:val="9"/>
              </w:rPr>
              <w:t>相关信息披露不准确。</w:t>
            </w:r>
          </w:p>
        </w:tc>
      </w:tr>
      <w:tr>
        <w:trPr>
          <w:trHeight w:val="991" w:hRule="atLeast"/>
        </w:trPr>
        <w:tc>
          <w:tcPr>
            <w:tcW w:w="8967" w:type="dxa"/>
            <w:vAlign w:val="top"/>
            <w:gridSpan w:val="3"/>
          </w:tcPr>
          <w:p>
            <w:pPr>
              <w:pStyle w:val="TableText"/>
              <w:ind w:left="108" w:right="104" w:firstLine="14"/>
              <w:spacing w:before="174" w:line="242" w:lineRule="auto"/>
              <w:rPr/>
            </w:pPr>
            <w:r>
              <w:rPr>
                <w:b/>
                <w:bCs/>
                <w:spacing w:val="13"/>
              </w:rPr>
              <w:t>【行政监管措施】</w:t>
            </w:r>
            <w:r>
              <w:rPr>
                <w:spacing w:val="13"/>
              </w:rPr>
              <w:t>中国证券监督管理委员会山西监管局决定对时任董事长</w:t>
            </w:r>
            <w:r>
              <w:rPr>
                <w:spacing w:val="12"/>
              </w:rPr>
              <w:t>、总经理、董事会秘</w:t>
            </w:r>
            <w:r>
              <w:rPr/>
              <w:t xml:space="preserve"> </w:t>
            </w:r>
            <w:r>
              <w:rPr>
                <w:spacing w:val="8"/>
              </w:rPr>
              <w:t>书（代）</w:t>
            </w:r>
            <w:r>
              <w:rPr>
                <w:spacing w:val="-35"/>
              </w:rPr>
              <w:t xml:space="preserve"> </w:t>
            </w:r>
            <w:r>
              <w:rPr>
                <w:spacing w:val="8"/>
              </w:rPr>
              <w:t>师某军采取监管谈话的监督管理措施</w:t>
            </w:r>
            <w:r>
              <w:rPr>
                <w:spacing w:val="-25"/>
              </w:rPr>
              <w:t xml:space="preserve"> </w:t>
            </w:r>
            <w:r>
              <w:rPr>
                <w:spacing w:val="8"/>
              </w:rPr>
              <w:t>，并记入证券期</w:t>
            </w:r>
            <w:r>
              <w:rPr>
                <w:spacing w:val="7"/>
              </w:rPr>
              <w:t>货市场诚信档案。</w:t>
            </w:r>
          </w:p>
        </w:tc>
      </w:tr>
      <w:tr>
        <w:trPr>
          <w:trHeight w:val="1443" w:hRule="atLeast"/>
        </w:trPr>
        <w:tc>
          <w:tcPr>
            <w:shd w:val="clear" w:fill="B8CCE4"/>
            <w:tcW w:w="1607" w:type="dxa"/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  <w:r/>
          </w:p>
          <w:p>
            <w:pPr>
              <w:spacing w:line="27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36"/>
              <w:spacing w:before="85" w:line="179" w:lineRule="auto"/>
              <w:rPr/>
            </w:pPr>
            <w:r>
              <w:rPr>
                <w:spacing w:val="3"/>
              </w:rPr>
              <w:t>601377</w:t>
            </w:r>
          </w:p>
        </w:tc>
        <w:tc>
          <w:tcPr>
            <w:shd w:val="clear" w:fill="B8CCE4"/>
            <w:tcW w:w="1560" w:type="dxa"/>
            <w:vAlign w:val="top"/>
          </w:tcPr>
          <w:p>
            <w:pPr>
              <w:spacing w:line="269" w:lineRule="auto"/>
              <w:rPr>
                <w:rFonts w:ascii="Arial"/>
                <w:sz w:val="21"/>
              </w:rPr>
            </w:pPr>
            <w:r/>
          </w:p>
          <w:p>
            <w:pPr>
              <w:spacing w:line="26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52"/>
              <w:spacing w:before="86" w:line="188" w:lineRule="auto"/>
              <w:rPr/>
            </w:pPr>
            <w:r>
              <w:rPr>
                <w:spacing w:val="8"/>
              </w:rPr>
              <w:t>兴业证券</w:t>
            </w:r>
          </w:p>
        </w:tc>
        <w:tc>
          <w:tcPr>
            <w:shd w:val="clear" w:fill="B8CCE4"/>
            <w:tcW w:w="5800" w:type="dxa"/>
            <w:vAlign w:val="top"/>
          </w:tcPr>
          <w:p>
            <w:pPr>
              <w:pStyle w:val="TableText"/>
              <w:ind w:left="101" w:right="103" w:firstLine="2"/>
              <w:spacing w:before="83" w:line="236" w:lineRule="auto"/>
              <w:rPr/>
            </w:pPr>
            <w:r>
              <w:rPr>
                <w:spacing w:val="13"/>
              </w:rPr>
              <w:t>兴业证券股份有限公司深圳分公司从业人员在任职期间</w:t>
            </w:r>
            <w:r>
              <w:rPr>
                <w:spacing w:val="-21"/>
              </w:rPr>
              <w:t xml:space="preserve"> </w:t>
            </w:r>
            <w:r>
              <w:rPr>
                <w:spacing w:val="13"/>
              </w:rPr>
              <w:t>，存</w:t>
            </w:r>
            <w:r>
              <w:rPr/>
              <w:t xml:space="preserve"> </w:t>
            </w:r>
            <w:r>
              <w:rPr>
                <w:spacing w:val="14"/>
              </w:rPr>
              <w:t>在向他人推介非兴业证券代销的私募基金产品、组织他人合</w:t>
            </w:r>
            <w:r>
              <w:rPr>
                <w:spacing w:val="15"/>
              </w:rPr>
              <w:t xml:space="preserve"> </w:t>
            </w:r>
            <w:r>
              <w:rPr>
                <w:spacing w:val="14"/>
              </w:rPr>
              <w:t>资购买该基金、知晓客户证券账户非本人操作未有效处理、</w:t>
            </w:r>
            <w:r>
              <w:rPr>
                <w:spacing w:val="15"/>
              </w:rPr>
              <w:t xml:space="preserve"> </w:t>
            </w:r>
            <w:r>
              <w:rPr>
                <w:spacing w:val="9"/>
              </w:rPr>
              <w:t>泄露客户账户持仓及收益等情况。</w:t>
            </w:r>
          </w:p>
        </w:tc>
      </w:tr>
      <w:tr>
        <w:trPr>
          <w:trHeight w:val="725" w:hRule="atLeast"/>
        </w:trPr>
        <w:tc>
          <w:tcPr>
            <w:tcW w:w="8967" w:type="dxa"/>
            <w:vAlign w:val="top"/>
            <w:gridSpan w:val="3"/>
          </w:tcPr>
          <w:p>
            <w:pPr>
              <w:pStyle w:val="TableText"/>
              <w:ind w:left="105" w:right="104" w:firstLine="16"/>
              <w:spacing w:before="45" w:line="234" w:lineRule="auto"/>
              <w:rPr/>
            </w:pPr>
            <w:r>
              <w:rPr>
                <w:b/>
                <w:bCs/>
                <w:spacing w:val="13"/>
              </w:rPr>
              <w:t>【行政监管措施】</w:t>
            </w:r>
            <w:r>
              <w:rPr>
                <w:spacing w:val="13"/>
              </w:rPr>
              <w:t>中国证券监督管理委员会深圳监管局决定对从业人员叶</w:t>
            </w:r>
            <w:r>
              <w:rPr>
                <w:spacing w:val="12"/>
              </w:rPr>
              <w:t>某采取出具警示函的</w:t>
            </w:r>
            <w:r>
              <w:rPr/>
              <w:t xml:space="preserve"> </w:t>
            </w:r>
            <w:r>
              <w:rPr>
                <w:spacing w:val="7"/>
              </w:rPr>
              <w:t>行政监管措施。</w:t>
            </w:r>
          </w:p>
        </w:tc>
      </w:tr>
      <w:tr>
        <w:trPr>
          <w:trHeight w:val="607" w:hRule="atLeast"/>
        </w:trPr>
        <w:tc>
          <w:tcPr>
            <w:shd w:val="clear" w:fill="B8CCE4"/>
            <w:tcW w:w="1607" w:type="dxa"/>
            <w:vAlign w:val="top"/>
          </w:tcPr>
          <w:p>
            <w:pPr>
              <w:pStyle w:val="TableText"/>
              <w:ind w:left="438"/>
              <w:spacing w:before="226" w:line="178" w:lineRule="auto"/>
              <w:rPr/>
            </w:pPr>
            <w:r>
              <w:rPr>
                <w:spacing w:val="3"/>
              </w:rPr>
              <w:t>300307</w:t>
            </w:r>
          </w:p>
        </w:tc>
        <w:tc>
          <w:tcPr>
            <w:shd w:val="clear" w:fill="B8CCE4"/>
            <w:tcW w:w="1560" w:type="dxa"/>
            <w:vAlign w:val="top"/>
          </w:tcPr>
          <w:p>
            <w:pPr>
              <w:pStyle w:val="TableText"/>
              <w:ind w:left="351"/>
              <w:spacing w:before="211" w:line="189" w:lineRule="auto"/>
              <w:rPr/>
            </w:pPr>
            <w:r>
              <w:rPr>
                <w:spacing w:val="8"/>
              </w:rPr>
              <w:t>慈星股份</w:t>
            </w:r>
          </w:p>
        </w:tc>
        <w:tc>
          <w:tcPr>
            <w:shd w:val="clear" w:fill="B8CCE4"/>
            <w:tcW w:w="5800" w:type="dxa"/>
            <w:vAlign w:val="top"/>
          </w:tcPr>
          <w:p>
            <w:pPr>
              <w:pStyle w:val="TableText"/>
              <w:ind w:left="109"/>
              <w:spacing w:before="211" w:line="189" w:lineRule="auto"/>
              <w:rPr/>
            </w:pPr>
            <w:r>
              <w:rPr>
                <w:spacing w:val="7"/>
              </w:rPr>
              <w:t>时任董事配偶</w:t>
            </w:r>
            <w:r>
              <w:rPr>
                <w:b/>
                <w:bCs/>
                <w:spacing w:val="7"/>
              </w:rPr>
              <w:t>短线交易。</w:t>
            </w:r>
          </w:p>
        </w:tc>
      </w:tr>
      <w:tr>
        <w:trPr>
          <w:trHeight w:val="724" w:hRule="atLeast"/>
        </w:trPr>
        <w:tc>
          <w:tcPr>
            <w:tcW w:w="8967" w:type="dxa"/>
            <w:vAlign w:val="top"/>
            <w:gridSpan w:val="3"/>
          </w:tcPr>
          <w:p>
            <w:pPr>
              <w:pStyle w:val="TableText"/>
              <w:ind w:left="114" w:right="104" w:firstLine="8"/>
              <w:spacing w:before="47" w:line="233" w:lineRule="auto"/>
              <w:rPr/>
            </w:pPr>
            <w:r>
              <w:rPr>
                <w:b/>
                <w:bCs/>
                <w:spacing w:val="13"/>
              </w:rPr>
              <w:t>【行政监管措施】</w:t>
            </w:r>
            <w:r>
              <w:rPr>
                <w:spacing w:val="13"/>
              </w:rPr>
              <w:t>中国证券监督管理委员会宁波监管局决定对时任董事宋</w:t>
            </w:r>
            <w:r>
              <w:rPr>
                <w:spacing w:val="12"/>
              </w:rPr>
              <w:t>某甲采取出具警示函</w:t>
            </w:r>
            <w:r>
              <w:rPr/>
              <w:t xml:space="preserve"> </w:t>
            </w:r>
            <w:r>
              <w:rPr>
                <w:spacing w:val="7"/>
              </w:rPr>
              <w:t>的行政监管措施。</w:t>
            </w:r>
          </w:p>
        </w:tc>
      </w:tr>
      <w:tr>
        <w:trPr>
          <w:trHeight w:val="2883" w:hRule="atLeast"/>
        </w:trPr>
        <w:tc>
          <w:tcPr>
            <w:shd w:val="clear" w:fill="B8CCE4"/>
            <w:tcW w:w="1607" w:type="dxa"/>
            <w:vAlign w:val="top"/>
          </w:tcPr>
          <w:p>
            <w:pPr>
              <w:spacing w:line="254" w:lineRule="auto"/>
              <w:rPr>
                <w:rFonts w:ascii="Arial"/>
                <w:sz w:val="21"/>
              </w:rPr>
            </w:pPr>
            <w:r/>
          </w:p>
          <w:p>
            <w:pPr>
              <w:spacing w:line="254" w:lineRule="auto"/>
              <w:rPr>
                <w:rFonts w:ascii="Arial"/>
                <w:sz w:val="21"/>
              </w:rPr>
            </w:pPr>
            <w:r/>
          </w:p>
          <w:p>
            <w:pPr>
              <w:spacing w:line="255" w:lineRule="auto"/>
              <w:rPr>
                <w:rFonts w:ascii="Arial"/>
                <w:sz w:val="21"/>
              </w:rPr>
            </w:pPr>
            <w:r/>
          </w:p>
          <w:p>
            <w:pPr>
              <w:spacing w:line="255" w:lineRule="auto"/>
              <w:rPr>
                <w:rFonts w:ascii="Arial"/>
                <w:sz w:val="21"/>
              </w:rPr>
            </w:pPr>
            <w:r/>
          </w:p>
          <w:p>
            <w:pPr>
              <w:spacing w:line="25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38"/>
              <w:spacing w:before="85" w:line="179" w:lineRule="auto"/>
              <w:rPr/>
            </w:pPr>
            <w:r>
              <w:rPr>
                <w:spacing w:val="3"/>
              </w:rPr>
              <w:t>301038</w:t>
            </w:r>
          </w:p>
        </w:tc>
        <w:tc>
          <w:tcPr>
            <w:shd w:val="clear" w:fill="B8CCE4"/>
            <w:tcW w:w="1560" w:type="dxa"/>
            <w:vAlign w:val="top"/>
          </w:tcPr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spacing w:line="252" w:lineRule="auto"/>
              <w:rPr>
                <w:rFonts w:ascii="Arial"/>
                <w:sz w:val="21"/>
              </w:rPr>
            </w:pPr>
            <w:r/>
          </w:p>
          <w:p>
            <w:pPr>
              <w:spacing w:line="252" w:lineRule="auto"/>
              <w:rPr>
                <w:rFonts w:ascii="Arial"/>
                <w:sz w:val="21"/>
              </w:rPr>
            </w:pPr>
            <w:r/>
          </w:p>
          <w:p>
            <w:pPr>
              <w:spacing w:line="252" w:lineRule="auto"/>
              <w:rPr>
                <w:rFonts w:ascii="Arial"/>
                <w:sz w:val="21"/>
              </w:rPr>
            </w:pPr>
            <w:r/>
          </w:p>
          <w:p>
            <w:pPr>
              <w:spacing w:line="25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51"/>
              <w:spacing w:before="86" w:line="189" w:lineRule="auto"/>
              <w:rPr/>
            </w:pPr>
            <w:r>
              <w:rPr>
                <w:spacing w:val="8"/>
              </w:rPr>
              <w:t>深水规院</w:t>
            </w:r>
          </w:p>
        </w:tc>
        <w:tc>
          <w:tcPr>
            <w:shd w:val="clear" w:fill="B8CCE4"/>
            <w:tcW w:w="5800" w:type="dxa"/>
            <w:vAlign w:val="top"/>
          </w:tcPr>
          <w:p>
            <w:pPr>
              <w:pStyle w:val="TableText"/>
              <w:ind w:left="101" w:right="103"/>
              <w:spacing w:before="93" w:line="243" w:lineRule="auto"/>
              <w:jc w:val="both"/>
              <w:rPr/>
            </w:pPr>
            <w:r>
              <w:rPr>
                <w:spacing w:val="14"/>
              </w:rPr>
              <w:t>郭某龙在拟担任深圳市水务规划设计院股份有限公司独立董</w:t>
            </w:r>
            <w:r>
              <w:rPr>
                <w:spacing w:val="13"/>
              </w:rPr>
              <w:t xml:space="preserve"> </w:t>
            </w:r>
            <w:r>
              <w:rPr>
                <w:spacing w:val="13"/>
              </w:rPr>
              <w:t>事时</w:t>
            </w:r>
            <w:r>
              <w:rPr>
                <w:spacing w:val="-19"/>
              </w:rPr>
              <w:t xml:space="preserve"> </w:t>
            </w:r>
            <w:r>
              <w:rPr>
                <w:spacing w:val="13"/>
              </w:rPr>
              <w:t>，深圳市水务规划设计院股份有限公司、郭某龙分别于</w:t>
            </w:r>
            <w:r>
              <w:rPr/>
              <w:t xml:space="preserve"> </w:t>
            </w:r>
            <w:r>
              <w:rPr>
                <w:spacing w:val="11"/>
              </w:rPr>
              <w:t>2022年6月8日、</w:t>
            </w:r>
            <w:r>
              <w:rPr>
                <w:spacing w:val="-30"/>
              </w:rPr>
              <w:t xml:space="preserve"> </w:t>
            </w:r>
            <w:r>
              <w:rPr>
                <w:spacing w:val="11"/>
              </w:rPr>
              <w:t>2023年3月2日作出《独立董事提名人声明</w:t>
            </w:r>
            <w:r>
              <w:rPr/>
              <w:t xml:space="preserve"> </w:t>
            </w:r>
            <w:r>
              <w:rPr>
                <w:spacing w:val="12"/>
              </w:rPr>
              <w:t>》《独立董事候选人声明》</w:t>
            </w:r>
            <w:r>
              <w:rPr>
                <w:spacing w:val="7"/>
              </w:rPr>
              <w:t xml:space="preserve"> </w:t>
            </w:r>
            <w:r>
              <w:rPr>
                <w:spacing w:val="12"/>
              </w:rPr>
              <w:t>，称郭某龙不存在同时在超过五</w:t>
            </w:r>
            <w:r>
              <w:rPr/>
              <w:t xml:space="preserve"> </w:t>
            </w:r>
            <w:r>
              <w:rPr>
                <w:spacing w:val="13"/>
              </w:rPr>
              <w:t>家以上的公司担任董事、监事或高级管理人员的情形</w:t>
            </w:r>
            <w:r>
              <w:rPr>
                <w:spacing w:val="-19"/>
              </w:rPr>
              <w:t xml:space="preserve"> </w:t>
            </w:r>
            <w:r>
              <w:rPr>
                <w:spacing w:val="13"/>
              </w:rPr>
              <w:t>，并保</w:t>
            </w:r>
            <w:r>
              <w:rPr/>
              <w:t xml:space="preserve"> </w:t>
            </w:r>
            <w:r>
              <w:rPr>
                <w:spacing w:val="13"/>
              </w:rPr>
              <w:t>证上述声明真实、准确、完整</w:t>
            </w:r>
            <w:r>
              <w:rPr>
                <w:spacing w:val="-19"/>
              </w:rPr>
              <w:t xml:space="preserve"> </w:t>
            </w:r>
            <w:r>
              <w:rPr>
                <w:spacing w:val="13"/>
              </w:rPr>
              <w:t>，没有虚假记载、误导性陈述</w:t>
            </w:r>
            <w:r>
              <w:rPr/>
              <w:t xml:space="preserve"> </w:t>
            </w:r>
            <w:r>
              <w:rPr>
                <w:spacing w:val="12"/>
              </w:rPr>
              <w:t>或重大遗漏。经查</w:t>
            </w:r>
            <w:r>
              <w:rPr>
                <w:spacing w:val="-17"/>
              </w:rPr>
              <w:t xml:space="preserve"> </w:t>
            </w:r>
            <w:r>
              <w:rPr>
                <w:spacing w:val="12"/>
              </w:rPr>
              <w:t>，郭某龙当时</w:t>
            </w:r>
            <w:r>
              <w:rPr>
                <w:b/>
                <w:bCs/>
                <w:spacing w:val="12"/>
              </w:rPr>
              <w:t>同时担任董事、</w:t>
            </w:r>
            <w:r>
              <w:rPr>
                <w:b/>
                <w:bCs/>
                <w:spacing w:val="-36"/>
              </w:rPr>
              <w:t xml:space="preserve"> </w:t>
            </w:r>
            <w:r>
              <w:rPr>
                <w:b/>
                <w:bCs/>
                <w:spacing w:val="12"/>
              </w:rPr>
              <w:t>监事或高级</w:t>
            </w:r>
            <w:r>
              <w:rPr>
                <w:b/>
                <w:bCs/>
              </w:rPr>
              <w:t xml:space="preserve"> </w:t>
            </w:r>
            <w:r>
              <w:rPr>
                <w:b/>
                <w:bCs/>
                <w:spacing w:val="8"/>
              </w:rPr>
              <w:t>管理人员的公司家数超过五家</w:t>
            </w:r>
            <w:r>
              <w:rPr>
                <w:b/>
                <w:bCs/>
                <w:spacing w:val="-26"/>
              </w:rPr>
              <w:t xml:space="preserve"> </w:t>
            </w:r>
            <w:r>
              <w:rPr>
                <w:spacing w:val="8"/>
              </w:rPr>
              <w:t>，上述声明内容与事实不符。</w:t>
            </w:r>
          </w:p>
        </w:tc>
      </w:tr>
      <w:tr>
        <w:trPr>
          <w:trHeight w:val="812" w:hRule="atLeast"/>
        </w:trPr>
        <w:tc>
          <w:tcPr>
            <w:tcW w:w="8967" w:type="dxa"/>
            <w:vAlign w:val="top"/>
            <w:gridSpan w:val="3"/>
          </w:tcPr>
          <w:p>
            <w:pPr>
              <w:pStyle w:val="TableText"/>
              <w:ind w:left="104" w:right="104" w:firstLine="17"/>
              <w:spacing w:before="90" w:line="236" w:lineRule="auto"/>
              <w:rPr/>
            </w:pPr>
            <w:r>
              <w:rPr>
                <w:b/>
                <w:bCs/>
                <w:spacing w:val="13"/>
              </w:rPr>
              <w:t>【行政监管措施】</w:t>
            </w:r>
            <w:r>
              <w:rPr>
                <w:spacing w:val="13"/>
              </w:rPr>
              <w:t>中国证券监督管理委员会深圳监管局决定对深圳市水务</w:t>
            </w:r>
            <w:r>
              <w:rPr>
                <w:spacing w:val="12"/>
              </w:rPr>
              <w:t>规划设计院股份有限</w:t>
            </w:r>
            <w:r>
              <w:rPr/>
              <w:t xml:space="preserve"> </w:t>
            </w:r>
            <w:r>
              <w:rPr>
                <w:spacing w:val="9"/>
              </w:rPr>
              <w:t>公司、独立董事郭某龙采取出具警示函的行政监管措施。</w:t>
            </w:r>
          </w:p>
        </w:tc>
      </w:tr>
    </w:tbl>
    <w:p>
      <w:pPr>
        <w:pStyle w:val="BodyText"/>
        <w:rPr/>
      </w:pPr>
      <w:r/>
    </w:p>
    <w:p>
      <w:pPr>
        <w:sectPr>
          <w:pgSz w:w="11910" w:h="16840"/>
          <w:pgMar w:top="400" w:right="1612" w:bottom="0" w:left="1109" w:header="0" w:footer="0" w:gutter="0"/>
        </w:sectPr>
        <w:rPr/>
      </w:pPr>
    </w:p>
    <w:tbl>
      <w:tblPr>
        <w:tblStyle w:val="TableNormal"/>
        <w:tblW w:w="8967" w:type="dxa"/>
        <w:tblInd w:w="7" w:type="dxa"/>
        <w:tblLayout w:type="fixed"/>
        <w:tblBorders>
          <w:top w:val="single" w:color="4F81BD" w:sz="6" w:space="0"/>
          <w:left w:val="single" w:color="4F81BD" w:sz="6" w:space="0"/>
          <w:bottom w:val="single" w:color="4F81BD" w:sz="6" w:space="0"/>
          <w:right w:val="single" w:color="4F81BD" w:sz="6" w:space="0"/>
          <w:insideH w:val="single" w:color="4F81BD" w:sz="6" w:space="0"/>
          <w:insideV w:val="single" w:color="4F81BD" w:sz="6" w:space="0"/>
        </w:tblBorders>
      </w:tblPr>
      <w:tblGrid>
        <w:gridCol w:w="1607"/>
        <w:gridCol w:w="1560"/>
        <w:gridCol w:w="5800"/>
      </w:tblGrid>
      <w:tr>
        <w:trPr>
          <w:trHeight w:val="3038" w:hRule="atLeast"/>
        </w:trPr>
        <w:tc>
          <w:tcPr>
            <w:shd w:val="clear" w:fill="B8CCE4"/>
            <w:tcW w:w="1607" w:type="dxa"/>
            <w:vAlign w:val="top"/>
          </w:tcPr>
          <w:p>
            <w:pPr>
              <w:spacing w:line="269" w:lineRule="auto"/>
              <w:rPr>
                <w:rFonts w:ascii="Arial"/>
                <w:sz w:val="21"/>
              </w:rPr>
            </w:pPr>
            <w:r/>
          </w:p>
          <w:p>
            <w:pPr>
              <w:spacing w:line="269" w:lineRule="auto"/>
              <w:rPr>
                <w:rFonts w:ascii="Arial"/>
                <w:sz w:val="21"/>
              </w:rPr>
            </w:pPr>
            <w:r/>
          </w:p>
          <w:p>
            <w:pPr>
              <w:spacing w:line="269" w:lineRule="auto"/>
              <w:rPr>
                <w:rFonts w:ascii="Arial"/>
                <w:sz w:val="21"/>
              </w:rPr>
            </w:pPr>
            <w:r/>
          </w:p>
          <w:p>
            <w:pPr>
              <w:spacing w:line="269" w:lineRule="auto"/>
              <w:rPr>
                <w:rFonts w:ascii="Arial"/>
                <w:sz w:val="21"/>
              </w:rPr>
            </w:pPr>
            <w:r/>
          </w:p>
          <w:p>
            <w:pPr>
              <w:spacing w:line="26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33"/>
              <w:spacing w:before="86" w:line="178" w:lineRule="auto"/>
              <w:rPr/>
            </w:pPr>
            <w:r>
              <w:rPr>
                <w:spacing w:val="3"/>
              </w:rPr>
              <w:t>000039</w:t>
            </w:r>
          </w:p>
        </w:tc>
        <w:tc>
          <w:tcPr>
            <w:shd w:val="clear" w:fill="B8CCE4"/>
            <w:tcW w:w="1560" w:type="dxa"/>
            <w:vAlign w:val="top"/>
          </w:tcPr>
          <w:p>
            <w:pPr>
              <w:spacing w:line="266" w:lineRule="auto"/>
              <w:rPr>
                <w:rFonts w:ascii="Arial"/>
                <w:sz w:val="21"/>
              </w:rPr>
            </w:pPr>
            <w:r/>
          </w:p>
          <w:p>
            <w:pPr>
              <w:spacing w:line="266" w:lineRule="auto"/>
              <w:rPr>
                <w:rFonts w:ascii="Arial"/>
                <w:sz w:val="21"/>
              </w:rPr>
            </w:pPr>
            <w:r/>
          </w:p>
          <w:p>
            <w:pPr>
              <w:spacing w:line="266" w:lineRule="auto"/>
              <w:rPr>
                <w:rFonts w:ascii="Arial"/>
                <w:sz w:val="21"/>
              </w:rPr>
            </w:pPr>
            <w:r/>
          </w:p>
          <w:p>
            <w:pPr>
              <w:spacing w:line="266" w:lineRule="auto"/>
              <w:rPr>
                <w:rFonts w:ascii="Arial"/>
                <w:sz w:val="21"/>
              </w:rPr>
            </w:pPr>
            <w:r/>
          </w:p>
          <w:p>
            <w:pPr>
              <w:spacing w:line="26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65"/>
              <w:spacing w:before="86" w:line="189" w:lineRule="auto"/>
              <w:rPr/>
            </w:pPr>
            <w:r>
              <w:rPr>
                <w:spacing w:val="5"/>
              </w:rPr>
              <w:t>中集集团</w:t>
            </w:r>
          </w:p>
        </w:tc>
        <w:tc>
          <w:tcPr>
            <w:shd w:val="clear" w:fill="B8CCE4"/>
            <w:tcW w:w="5800" w:type="dxa"/>
            <w:vAlign w:val="top"/>
          </w:tcPr>
          <w:p>
            <w:pPr>
              <w:pStyle w:val="TableText"/>
              <w:ind w:left="100" w:right="103" w:firstLine="1"/>
              <w:spacing w:before="129" w:line="247" w:lineRule="auto"/>
              <w:jc w:val="both"/>
              <w:rPr/>
            </w:pPr>
            <w:r>
              <w:rPr>
                <w:spacing w:val="13"/>
              </w:rPr>
              <w:t>杨某在拟担任中国国际海运集装箱（集团）</w:t>
            </w:r>
            <w:r>
              <w:rPr>
                <w:spacing w:val="-19"/>
              </w:rPr>
              <w:t xml:space="preserve"> </w:t>
            </w:r>
            <w:r>
              <w:rPr>
                <w:spacing w:val="13"/>
              </w:rPr>
              <w:t>股份有限公司独</w:t>
            </w:r>
            <w:r>
              <w:rPr/>
              <w:t xml:space="preserve"> </w:t>
            </w:r>
            <w:r>
              <w:rPr>
                <w:spacing w:val="11"/>
              </w:rPr>
              <w:t>立董事时</w:t>
            </w:r>
            <w:r>
              <w:rPr>
                <w:spacing w:val="-19"/>
              </w:rPr>
              <w:t xml:space="preserve"> </w:t>
            </w:r>
            <w:r>
              <w:rPr>
                <w:spacing w:val="11"/>
              </w:rPr>
              <w:t>，</w:t>
            </w:r>
            <w:r>
              <w:rPr>
                <w:spacing w:val="-29"/>
              </w:rPr>
              <w:t xml:space="preserve"> </w:t>
            </w:r>
            <w:r>
              <w:rPr>
                <w:spacing w:val="11"/>
              </w:rPr>
              <w:t>中国国际海运集装箱（集团）</w:t>
            </w:r>
            <w:r>
              <w:rPr>
                <w:spacing w:val="-36"/>
              </w:rPr>
              <w:t xml:space="preserve"> </w:t>
            </w:r>
            <w:r>
              <w:rPr>
                <w:spacing w:val="11"/>
              </w:rPr>
              <w:t>股份有限公司、杨</w:t>
            </w:r>
            <w:r>
              <w:rPr/>
              <w:t xml:space="preserve"> </w:t>
            </w:r>
            <w:r>
              <w:rPr>
                <w:spacing w:val="12"/>
              </w:rPr>
              <w:t>某于2022年5月20日分别作出《独立董事提名人声明》《独</w:t>
            </w:r>
            <w:r>
              <w:rPr>
                <w:spacing w:val="11"/>
              </w:rPr>
              <w:t xml:space="preserve"> </w:t>
            </w:r>
            <w:r>
              <w:rPr>
                <w:spacing w:val="12"/>
              </w:rPr>
              <w:t>立董事候选人声明》</w:t>
            </w:r>
            <w:r>
              <w:rPr>
                <w:spacing w:val="8"/>
              </w:rPr>
              <w:t xml:space="preserve"> </w:t>
            </w:r>
            <w:r>
              <w:rPr>
                <w:spacing w:val="12"/>
              </w:rPr>
              <w:t>，称杨某不存在同时在超过五家以上的</w:t>
            </w:r>
            <w:r>
              <w:rPr/>
              <w:t xml:space="preserve"> </w:t>
            </w:r>
            <w:r>
              <w:rPr>
                <w:spacing w:val="13"/>
              </w:rPr>
              <w:t>公司担任董事、监事或高级管理人员的情形</w:t>
            </w:r>
            <w:r>
              <w:rPr>
                <w:spacing w:val="-18"/>
              </w:rPr>
              <w:t xml:space="preserve"> </w:t>
            </w:r>
            <w:r>
              <w:rPr>
                <w:spacing w:val="13"/>
              </w:rPr>
              <w:t>，并保证上述声</w:t>
            </w:r>
            <w:r>
              <w:rPr/>
              <w:t xml:space="preserve"> </w:t>
            </w:r>
            <w:r>
              <w:rPr>
                <w:spacing w:val="13"/>
              </w:rPr>
              <w:t>明真实、准确、完整</w:t>
            </w:r>
            <w:r>
              <w:rPr>
                <w:spacing w:val="-18"/>
              </w:rPr>
              <w:t xml:space="preserve"> </w:t>
            </w:r>
            <w:r>
              <w:rPr>
                <w:spacing w:val="13"/>
              </w:rPr>
              <w:t>，没有虚假记载、误导性陈述或重大遗</w:t>
            </w:r>
            <w:r>
              <w:rPr/>
              <w:t xml:space="preserve"> </w:t>
            </w:r>
            <w:r>
              <w:rPr>
                <w:spacing w:val="12"/>
              </w:rPr>
              <w:t>漏。经查</w:t>
            </w:r>
            <w:r>
              <w:rPr>
                <w:spacing w:val="-15"/>
              </w:rPr>
              <w:t xml:space="preserve"> </w:t>
            </w:r>
            <w:r>
              <w:rPr>
                <w:spacing w:val="12"/>
              </w:rPr>
              <w:t>，杨某当时</w:t>
            </w:r>
            <w:r>
              <w:rPr>
                <w:b/>
                <w:bCs/>
                <w:spacing w:val="12"/>
              </w:rPr>
              <w:t>同时担任董事、</w:t>
            </w:r>
            <w:r>
              <w:rPr>
                <w:b/>
                <w:bCs/>
                <w:spacing w:val="-36"/>
              </w:rPr>
              <w:t xml:space="preserve"> </w:t>
            </w:r>
            <w:r>
              <w:rPr>
                <w:b/>
                <w:bCs/>
                <w:spacing w:val="12"/>
              </w:rPr>
              <w:t>监事或高级管理人员的</w:t>
            </w:r>
            <w:r>
              <w:rPr>
                <w:b/>
                <w:bCs/>
              </w:rPr>
              <w:t xml:space="preserve"> </w:t>
            </w:r>
            <w:r>
              <w:rPr>
                <w:b/>
                <w:bCs/>
                <w:spacing w:val="7"/>
              </w:rPr>
              <w:t>公司家数超过五家</w:t>
            </w:r>
            <w:r>
              <w:rPr>
                <w:b/>
                <w:bCs/>
                <w:spacing w:val="-12"/>
              </w:rPr>
              <w:t xml:space="preserve"> </w:t>
            </w:r>
            <w:r>
              <w:rPr>
                <w:spacing w:val="7"/>
              </w:rPr>
              <w:t>，上述声明内容与事实不符。</w:t>
            </w:r>
          </w:p>
        </w:tc>
      </w:tr>
      <w:tr>
        <w:trPr>
          <w:trHeight w:val="724" w:hRule="atLeast"/>
        </w:trPr>
        <w:tc>
          <w:tcPr>
            <w:tcW w:w="8967" w:type="dxa"/>
            <w:vAlign w:val="top"/>
            <w:gridSpan w:val="3"/>
          </w:tcPr>
          <w:p>
            <w:pPr>
              <w:pStyle w:val="TableText"/>
              <w:ind w:left="104" w:right="104" w:firstLine="17"/>
              <w:spacing w:before="41" w:line="235" w:lineRule="auto"/>
              <w:rPr/>
            </w:pPr>
            <w:r>
              <w:rPr>
                <w:b/>
                <w:bCs/>
                <w:spacing w:val="12"/>
              </w:rPr>
              <w:t>【行政监管措施】</w:t>
            </w:r>
            <w:r>
              <w:rPr>
                <w:spacing w:val="12"/>
              </w:rPr>
              <w:t>中国证券监督管理委员会深圳监管局决定对中国国际海运集装箱（集团）</w:t>
            </w:r>
            <w:r>
              <w:rPr>
                <w:spacing w:val="-27"/>
              </w:rPr>
              <w:t xml:space="preserve"> </w:t>
            </w:r>
            <w:r>
              <w:rPr>
                <w:spacing w:val="12"/>
              </w:rPr>
              <w:t>股</w:t>
            </w:r>
            <w:r>
              <w:rPr/>
              <w:t xml:space="preserve"> </w:t>
            </w:r>
            <w:r>
              <w:rPr>
                <w:spacing w:val="10"/>
              </w:rPr>
              <w:t>份有限公司、董事会秘书吴某强、独立董事杨某</w:t>
            </w:r>
            <w:r>
              <w:rPr>
                <w:spacing w:val="9"/>
              </w:rPr>
              <w:t>采取出具警示函的行政监管措施。</w:t>
            </w:r>
          </w:p>
        </w:tc>
      </w:tr>
      <w:tr>
        <w:trPr>
          <w:trHeight w:val="2941" w:hRule="atLeast"/>
        </w:trPr>
        <w:tc>
          <w:tcPr>
            <w:shd w:val="clear" w:fill="B8CCE4"/>
            <w:tcW w:w="1607" w:type="dxa"/>
            <w:vAlign w:val="top"/>
          </w:tcPr>
          <w:p>
            <w:pPr>
              <w:spacing w:line="259" w:lineRule="auto"/>
              <w:rPr>
                <w:rFonts w:ascii="Arial"/>
                <w:sz w:val="21"/>
              </w:rPr>
            </w:pPr>
            <w:r/>
          </w:p>
          <w:p>
            <w:pPr>
              <w:spacing w:line="259" w:lineRule="auto"/>
              <w:rPr>
                <w:rFonts w:ascii="Arial"/>
                <w:sz w:val="21"/>
              </w:rPr>
            </w:pPr>
            <w:r/>
          </w:p>
          <w:p>
            <w:pPr>
              <w:spacing w:line="259" w:lineRule="auto"/>
              <w:rPr>
                <w:rFonts w:ascii="Arial"/>
                <w:sz w:val="21"/>
              </w:rPr>
            </w:pPr>
            <w:r/>
          </w:p>
          <w:p>
            <w:pPr>
              <w:spacing w:line="259" w:lineRule="auto"/>
              <w:rPr>
                <w:rFonts w:ascii="Arial"/>
                <w:sz w:val="21"/>
              </w:rPr>
            </w:pPr>
            <w:r/>
          </w:p>
          <w:p>
            <w:pPr>
              <w:spacing w:line="25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33"/>
              <w:spacing w:before="86" w:line="178" w:lineRule="auto"/>
              <w:rPr/>
            </w:pPr>
            <w:r>
              <w:rPr>
                <w:spacing w:val="3"/>
              </w:rPr>
              <w:t>000027</w:t>
            </w:r>
          </w:p>
        </w:tc>
        <w:tc>
          <w:tcPr>
            <w:shd w:val="clear" w:fill="B8CCE4"/>
            <w:tcW w:w="1560" w:type="dxa"/>
            <w:vAlign w:val="top"/>
          </w:tcPr>
          <w:p>
            <w:pPr>
              <w:spacing w:line="255" w:lineRule="auto"/>
              <w:rPr>
                <w:rFonts w:ascii="Arial"/>
                <w:sz w:val="21"/>
              </w:rPr>
            </w:pPr>
            <w:r/>
          </w:p>
          <w:p>
            <w:pPr>
              <w:spacing w:line="256" w:lineRule="auto"/>
              <w:rPr>
                <w:rFonts w:ascii="Arial"/>
                <w:sz w:val="21"/>
              </w:rPr>
            </w:pPr>
            <w:r/>
          </w:p>
          <w:p>
            <w:pPr>
              <w:spacing w:line="256" w:lineRule="auto"/>
              <w:rPr>
                <w:rFonts w:ascii="Arial"/>
                <w:sz w:val="21"/>
              </w:rPr>
            </w:pPr>
            <w:r/>
          </w:p>
          <w:p>
            <w:pPr>
              <w:spacing w:line="256" w:lineRule="auto"/>
              <w:rPr>
                <w:rFonts w:ascii="Arial"/>
                <w:sz w:val="21"/>
              </w:rPr>
            </w:pPr>
            <w:r/>
          </w:p>
          <w:p>
            <w:pPr>
              <w:spacing w:line="25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51"/>
              <w:spacing w:before="85" w:line="190" w:lineRule="auto"/>
              <w:rPr/>
            </w:pPr>
            <w:r>
              <w:rPr>
                <w:spacing w:val="8"/>
              </w:rPr>
              <w:t>深圳能源</w:t>
            </w:r>
          </w:p>
        </w:tc>
        <w:tc>
          <w:tcPr>
            <w:shd w:val="clear" w:fill="B8CCE4"/>
            <w:tcW w:w="5800" w:type="dxa"/>
            <w:vAlign w:val="top"/>
          </w:tcPr>
          <w:p>
            <w:pPr>
              <w:pStyle w:val="TableText"/>
              <w:ind w:left="100" w:right="101" w:firstLine="2"/>
              <w:spacing w:before="113" w:line="244" w:lineRule="auto"/>
              <w:jc w:val="both"/>
              <w:rPr/>
            </w:pPr>
            <w:r>
              <w:rPr>
                <w:spacing w:val="13"/>
              </w:rPr>
              <w:t>章某文在拟担任深圳能源集团股份有限公司独立董事时</w:t>
            </w:r>
            <w:r>
              <w:rPr>
                <w:spacing w:val="-21"/>
              </w:rPr>
              <w:t xml:space="preserve"> </w:t>
            </w:r>
            <w:r>
              <w:rPr>
                <w:spacing w:val="13"/>
              </w:rPr>
              <w:t>，深</w:t>
            </w:r>
            <w:r>
              <w:rPr/>
              <w:t xml:space="preserve"> </w:t>
            </w:r>
            <w:r>
              <w:rPr>
                <w:spacing w:val="12"/>
              </w:rPr>
              <w:t>圳能源集团股份有限公司、章某文于2022年9月14日分别作</w:t>
            </w:r>
            <w:r>
              <w:rPr>
                <w:spacing w:val="10"/>
              </w:rPr>
              <w:t xml:space="preserve"> </w:t>
            </w:r>
            <w:r>
              <w:rPr>
                <w:spacing w:val="11"/>
              </w:rPr>
              <w:t>出《独立董事提名人声明》</w:t>
            </w:r>
            <w:r>
              <w:rPr>
                <w:spacing w:val="-34"/>
              </w:rPr>
              <w:t xml:space="preserve"> </w:t>
            </w:r>
            <w:r>
              <w:rPr>
                <w:spacing w:val="11"/>
              </w:rPr>
              <w:t>《独立董事候选人声明》 ，</w:t>
            </w:r>
            <w:r>
              <w:rPr>
                <w:spacing w:val="10"/>
              </w:rPr>
              <w:t>称章</w:t>
            </w:r>
            <w:r>
              <w:rPr/>
              <w:t xml:space="preserve"> </w:t>
            </w:r>
            <w:r>
              <w:rPr>
                <w:spacing w:val="14"/>
              </w:rPr>
              <w:t>某文不存在同时在超过五家以上的公司担任董事、监事或高</w:t>
            </w:r>
            <w:r>
              <w:rPr>
                <w:spacing w:val="15"/>
              </w:rPr>
              <w:t xml:space="preserve"> </w:t>
            </w:r>
            <w:r>
              <w:rPr>
                <w:spacing w:val="11"/>
              </w:rPr>
              <w:t>级管理人员的情形</w:t>
            </w:r>
            <w:r>
              <w:rPr>
                <w:spacing w:val="-5"/>
              </w:rPr>
              <w:t xml:space="preserve"> </w:t>
            </w:r>
            <w:r>
              <w:rPr>
                <w:spacing w:val="11"/>
              </w:rPr>
              <w:t>，并保证上述声明真实、准确、完整</w:t>
            </w:r>
            <w:r>
              <w:rPr>
                <w:spacing w:val="-20"/>
              </w:rPr>
              <w:t xml:space="preserve"> </w:t>
            </w:r>
            <w:r>
              <w:rPr>
                <w:spacing w:val="11"/>
              </w:rPr>
              <w:t>，没</w:t>
            </w:r>
            <w:r>
              <w:rPr/>
              <w:t xml:space="preserve"> </w:t>
            </w:r>
            <w:r>
              <w:rPr>
                <w:spacing w:val="13"/>
              </w:rPr>
              <w:t>有虚假记载、误导性陈述或重大遗漏。经查</w:t>
            </w:r>
            <w:r>
              <w:rPr>
                <w:spacing w:val="-18"/>
              </w:rPr>
              <w:t xml:space="preserve"> </w:t>
            </w:r>
            <w:r>
              <w:rPr>
                <w:spacing w:val="13"/>
              </w:rPr>
              <w:t>，章某文当时</w:t>
            </w:r>
            <w:r>
              <w:rPr>
                <w:b/>
                <w:bCs/>
                <w:spacing w:val="13"/>
              </w:rPr>
              <w:t>同</w:t>
            </w:r>
            <w:r>
              <w:rPr>
                <w:b/>
                <w:bCs/>
              </w:rPr>
              <w:t xml:space="preserve"> </w:t>
            </w:r>
            <w:r>
              <w:rPr>
                <w:b/>
                <w:bCs/>
                <w:spacing w:val="12"/>
              </w:rPr>
              <w:t>时担任董事、</w:t>
            </w:r>
            <w:r>
              <w:rPr>
                <w:b/>
                <w:bCs/>
                <w:spacing w:val="-29"/>
              </w:rPr>
              <w:t xml:space="preserve"> </w:t>
            </w:r>
            <w:r>
              <w:rPr>
                <w:b/>
                <w:bCs/>
                <w:spacing w:val="12"/>
              </w:rPr>
              <w:t>监事或高级管理人员的公司家数超过五家</w:t>
            </w:r>
            <w:r>
              <w:rPr>
                <w:b/>
                <w:bCs/>
                <w:spacing w:val="-21"/>
              </w:rPr>
              <w:t xml:space="preserve"> </w:t>
            </w:r>
            <w:r>
              <w:rPr>
                <w:spacing w:val="12"/>
              </w:rPr>
              <w:t>，上</w:t>
            </w:r>
            <w:r>
              <w:rPr/>
              <w:t xml:space="preserve"> </w:t>
            </w:r>
            <w:r>
              <w:rPr>
                <w:spacing w:val="8"/>
              </w:rPr>
              <w:t>述声明内容与事实不符。</w:t>
            </w:r>
          </w:p>
        </w:tc>
      </w:tr>
      <w:tr>
        <w:trPr>
          <w:trHeight w:val="771" w:hRule="atLeast"/>
        </w:trPr>
        <w:tc>
          <w:tcPr>
            <w:tcW w:w="8967" w:type="dxa"/>
            <w:vAlign w:val="top"/>
            <w:gridSpan w:val="3"/>
          </w:tcPr>
          <w:p>
            <w:pPr>
              <w:pStyle w:val="TableText"/>
              <w:ind w:left="106" w:right="104" w:firstLine="15"/>
              <w:spacing w:before="68" w:line="236" w:lineRule="auto"/>
              <w:rPr/>
            </w:pPr>
            <w:r>
              <w:rPr>
                <w:b/>
                <w:bCs/>
                <w:spacing w:val="13"/>
              </w:rPr>
              <w:t>【行政监管措施】</w:t>
            </w:r>
            <w:r>
              <w:rPr>
                <w:spacing w:val="13"/>
              </w:rPr>
              <w:t>中国证券监督管理委员会深圳监管局决定对深圳能源集</w:t>
            </w:r>
            <w:r>
              <w:rPr>
                <w:spacing w:val="12"/>
              </w:rPr>
              <w:t>团股份有限公司、董</w:t>
            </w:r>
            <w:r>
              <w:rPr/>
              <w:t xml:space="preserve"> </w:t>
            </w:r>
            <w:r>
              <w:rPr>
                <w:spacing w:val="9"/>
              </w:rPr>
              <w:t>事会秘书周某晖、独立董事章某文采取出具警示函的行政监管措施。</w:t>
            </w:r>
          </w:p>
        </w:tc>
      </w:tr>
      <w:tr>
        <w:trPr>
          <w:trHeight w:val="725" w:hRule="atLeast"/>
        </w:trPr>
        <w:tc>
          <w:tcPr>
            <w:shd w:val="clear" w:fill="B8CCE4"/>
            <w:tcW w:w="1607" w:type="dxa"/>
            <w:vAlign w:val="top"/>
          </w:tcPr>
          <w:p>
            <w:pPr>
              <w:pStyle w:val="TableText"/>
              <w:ind w:left="436"/>
              <w:spacing w:before="282" w:line="178" w:lineRule="auto"/>
              <w:rPr/>
            </w:pPr>
            <w:r>
              <w:rPr>
                <w:spacing w:val="3"/>
              </w:rPr>
              <w:t>600369</w:t>
            </w:r>
          </w:p>
        </w:tc>
        <w:tc>
          <w:tcPr>
            <w:shd w:val="clear" w:fill="B8CCE4"/>
            <w:tcW w:w="1560" w:type="dxa"/>
            <w:vAlign w:val="top"/>
          </w:tcPr>
          <w:p>
            <w:pPr>
              <w:pStyle w:val="TableText"/>
              <w:ind w:left="353"/>
              <w:spacing w:before="268" w:line="188" w:lineRule="auto"/>
              <w:rPr/>
            </w:pPr>
            <w:r>
              <w:rPr>
                <w:spacing w:val="8"/>
              </w:rPr>
              <w:t>西南证券</w:t>
            </w:r>
          </w:p>
        </w:tc>
        <w:tc>
          <w:tcPr>
            <w:shd w:val="clear" w:fill="B8CCE4"/>
            <w:tcW w:w="5800" w:type="dxa"/>
            <w:vAlign w:val="top"/>
          </w:tcPr>
          <w:p>
            <w:pPr>
              <w:pStyle w:val="TableText"/>
              <w:ind w:left="101" w:right="103" w:firstLine="2"/>
              <w:spacing w:before="88" w:line="219" w:lineRule="auto"/>
              <w:rPr/>
            </w:pPr>
            <w:r>
              <w:rPr>
                <w:spacing w:val="13"/>
              </w:rPr>
              <w:t>西南证券从业人员在任职期间</w:t>
            </w:r>
            <w:r>
              <w:rPr>
                <w:spacing w:val="-22"/>
              </w:rPr>
              <w:t xml:space="preserve"> </w:t>
            </w:r>
            <w:r>
              <w:rPr>
                <w:spacing w:val="13"/>
              </w:rPr>
              <w:t>，存在</w:t>
            </w:r>
            <w:r>
              <w:rPr>
                <w:b/>
                <w:bCs/>
                <w:spacing w:val="13"/>
              </w:rPr>
              <w:t>未取得基金从业资格</w:t>
            </w:r>
            <w:r>
              <w:rPr>
                <w:spacing w:val="13"/>
              </w:rPr>
              <w:t>的</w:t>
            </w:r>
            <w:r>
              <w:rPr/>
              <w:t xml:space="preserve"> </w:t>
            </w:r>
            <w:r>
              <w:rPr>
                <w:spacing w:val="8"/>
              </w:rPr>
              <w:t>情况下从事基金业务的问题。</w:t>
            </w:r>
          </w:p>
        </w:tc>
      </w:tr>
      <w:tr>
        <w:trPr>
          <w:trHeight w:val="725" w:hRule="atLeast"/>
        </w:trPr>
        <w:tc>
          <w:tcPr>
            <w:tcW w:w="8967" w:type="dxa"/>
            <w:vAlign w:val="top"/>
            <w:gridSpan w:val="3"/>
          </w:tcPr>
          <w:p>
            <w:pPr>
              <w:pStyle w:val="TableText"/>
              <w:ind w:left="105" w:right="104" w:firstLine="16"/>
              <w:spacing w:before="45" w:line="234" w:lineRule="auto"/>
              <w:rPr/>
            </w:pPr>
            <w:r>
              <w:rPr>
                <w:b/>
                <w:bCs/>
                <w:spacing w:val="13"/>
              </w:rPr>
              <w:t>【行政监管措施】</w:t>
            </w:r>
            <w:r>
              <w:rPr>
                <w:spacing w:val="13"/>
              </w:rPr>
              <w:t>中国证券监督管理委员会重庆监管局决定对从业人员刘</w:t>
            </w:r>
            <w:r>
              <w:rPr>
                <w:spacing w:val="12"/>
              </w:rPr>
              <w:t>某采取出具警示函的</w:t>
            </w:r>
            <w:r>
              <w:rPr/>
              <w:t xml:space="preserve"> </w:t>
            </w:r>
            <w:r>
              <w:rPr>
                <w:spacing w:val="7"/>
              </w:rPr>
              <w:t>行政监管措施。</w:t>
            </w:r>
          </w:p>
        </w:tc>
      </w:tr>
      <w:tr>
        <w:trPr>
          <w:trHeight w:val="3080" w:hRule="atLeast"/>
        </w:trPr>
        <w:tc>
          <w:tcPr>
            <w:shd w:val="clear" w:fill="B8CCE4"/>
            <w:tcW w:w="1607" w:type="dxa"/>
            <w:vAlign w:val="top"/>
          </w:tcPr>
          <w:p>
            <w:pPr>
              <w:spacing w:line="273" w:lineRule="auto"/>
              <w:rPr>
                <w:rFonts w:ascii="Arial"/>
                <w:sz w:val="21"/>
              </w:rPr>
            </w:pPr>
            <w:r/>
          </w:p>
          <w:p>
            <w:pPr>
              <w:spacing w:line="274" w:lineRule="auto"/>
              <w:rPr>
                <w:rFonts w:ascii="Arial"/>
                <w:sz w:val="21"/>
              </w:rPr>
            </w:pPr>
            <w:r/>
          </w:p>
          <w:p>
            <w:pPr>
              <w:spacing w:line="274" w:lineRule="auto"/>
              <w:rPr>
                <w:rFonts w:ascii="Arial"/>
                <w:sz w:val="21"/>
              </w:rPr>
            </w:pPr>
            <w:r/>
          </w:p>
          <w:p>
            <w:pPr>
              <w:spacing w:line="274" w:lineRule="auto"/>
              <w:rPr>
                <w:rFonts w:ascii="Arial"/>
                <w:sz w:val="21"/>
              </w:rPr>
            </w:pPr>
            <w:r/>
          </w:p>
          <w:p>
            <w:pPr>
              <w:spacing w:line="27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33"/>
              <w:spacing w:before="86" w:line="178" w:lineRule="auto"/>
              <w:rPr/>
            </w:pPr>
            <w:r>
              <w:rPr>
                <w:spacing w:val="3"/>
              </w:rPr>
              <w:t>002725</w:t>
            </w:r>
          </w:p>
        </w:tc>
        <w:tc>
          <w:tcPr>
            <w:shd w:val="clear" w:fill="B8CCE4"/>
            <w:tcW w:w="1560" w:type="dxa"/>
            <w:vAlign w:val="top"/>
          </w:tcPr>
          <w:p>
            <w:pPr>
              <w:spacing w:line="271" w:lineRule="auto"/>
              <w:rPr>
                <w:rFonts w:ascii="Arial"/>
                <w:sz w:val="21"/>
              </w:rPr>
            </w:pPr>
            <w:r/>
          </w:p>
          <w:p>
            <w:pPr>
              <w:spacing w:line="271" w:lineRule="auto"/>
              <w:rPr>
                <w:rFonts w:ascii="Arial"/>
                <w:sz w:val="21"/>
              </w:rPr>
            </w:pPr>
            <w:r/>
          </w:p>
          <w:p>
            <w:pPr>
              <w:spacing w:line="271" w:lineRule="auto"/>
              <w:rPr>
                <w:rFonts w:ascii="Arial"/>
                <w:sz w:val="21"/>
              </w:rPr>
            </w:pPr>
            <w:r/>
          </w:p>
          <w:p>
            <w:pPr>
              <w:spacing w:line="271" w:lineRule="auto"/>
              <w:rPr>
                <w:rFonts w:ascii="Arial"/>
                <w:sz w:val="21"/>
              </w:rPr>
            </w:pPr>
            <w:r/>
          </w:p>
          <w:p>
            <w:pPr>
              <w:spacing w:line="27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50"/>
              <w:spacing w:before="86" w:line="188" w:lineRule="auto"/>
              <w:rPr/>
            </w:pPr>
            <w:r>
              <w:rPr>
                <w:spacing w:val="8"/>
              </w:rPr>
              <w:t>跃岭股份</w:t>
            </w:r>
          </w:p>
        </w:tc>
        <w:tc>
          <w:tcPr>
            <w:shd w:val="clear" w:fill="B8CCE4"/>
            <w:tcW w:w="5800" w:type="dxa"/>
            <w:vAlign w:val="top"/>
          </w:tcPr>
          <w:p>
            <w:pPr>
              <w:pStyle w:val="TableText"/>
              <w:ind w:left="100" w:right="103"/>
              <w:spacing w:before="144" w:line="250" w:lineRule="auto"/>
              <w:jc w:val="both"/>
              <w:rPr/>
            </w:pPr>
            <w:r>
              <w:rPr>
                <w:spacing w:val="15"/>
              </w:rPr>
              <w:t>浙江跃岭股份有限公司于2022年10月21日披露《独立董事</w:t>
            </w:r>
            <w:r>
              <w:rPr>
                <w:spacing w:val="3"/>
              </w:rPr>
              <w:t xml:space="preserve"> </w:t>
            </w:r>
            <w:r>
              <w:rPr>
                <w:spacing w:val="12"/>
              </w:rPr>
              <w:t>提名人声明》</w:t>
            </w:r>
            <w:r>
              <w:rPr>
                <w:spacing w:val="8"/>
              </w:rPr>
              <w:t xml:space="preserve"> </w:t>
            </w:r>
            <w:r>
              <w:rPr>
                <w:spacing w:val="12"/>
              </w:rPr>
              <w:t>，其中第三十五项为“被提名人不存在同时在</w:t>
            </w:r>
            <w:r>
              <w:rPr/>
              <w:t xml:space="preserve"> </w:t>
            </w:r>
            <w:r>
              <w:rPr>
                <w:spacing w:val="14"/>
              </w:rPr>
              <w:t>超过五家以上的公司担任董事、监事或高级管理人员的情形</w:t>
            </w:r>
            <w:r>
              <w:rPr>
                <w:spacing w:val="15"/>
                <w:w w:val="101"/>
              </w:rPr>
              <w:t xml:space="preserve"> </w:t>
            </w:r>
            <w:r>
              <w:rPr>
                <w:spacing w:val="12"/>
              </w:rPr>
              <w:t>”</w:t>
            </w:r>
            <w:r>
              <w:rPr>
                <w:spacing w:val="-21"/>
              </w:rPr>
              <w:t xml:space="preserve"> </w:t>
            </w:r>
            <w:r>
              <w:rPr>
                <w:spacing w:val="12"/>
              </w:rPr>
              <w:t>,  并保证声明真实、准确、完整</w:t>
            </w:r>
            <w:r>
              <w:rPr>
                <w:spacing w:val="-20"/>
              </w:rPr>
              <w:t xml:space="preserve"> </w:t>
            </w:r>
            <w:r>
              <w:rPr>
                <w:spacing w:val="12"/>
              </w:rPr>
              <w:t>，没有虚假记载、误导性</w:t>
            </w:r>
            <w:r>
              <w:rPr/>
              <w:t xml:space="preserve"> </w:t>
            </w:r>
            <w:r>
              <w:rPr>
                <w:spacing w:val="13"/>
              </w:rPr>
              <w:t>陈述或重大遗漏。经查</w:t>
            </w:r>
            <w:r>
              <w:rPr>
                <w:spacing w:val="-18"/>
              </w:rPr>
              <w:t xml:space="preserve"> </w:t>
            </w:r>
            <w:r>
              <w:rPr>
                <w:spacing w:val="13"/>
              </w:rPr>
              <w:t>，独立董事金某兴当时</w:t>
            </w:r>
            <w:r>
              <w:rPr>
                <w:b/>
                <w:bCs/>
                <w:spacing w:val="13"/>
              </w:rPr>
              <w:t>同时担任董事</w:t>
            </w:r>
            <w:r>
              <w:rPr>
                <w:b/>
                <w:bCs/>
              </w:rPr>
              <w:t xml:space="preserve"> </w:t>
            </w:r>
            <w:r>
              <w:rPr>
                <w:b/>
                <w:bCs/>
                <w:spacing w:val="13"/>
              </w:rPr>
              <w:t>、监事或高级管理人员的公司家数超过五家</w:t>
            </w:r>
            <w:r>
              <w:rPr>
                <w:b/>
                <w:bCs/>
                <w:spacing w:val="-18"/>
              </w:rPr>
              <w:t xml:space="preserve"> </w:t>
            </w:r>
            <w:r>
              <w:rPr>
                <w:b/>
                <w:bCs/>
                <w:spacing w:val="13"/>
              </w:rPr>
              <w:t>，</w:t>
            </w:r>
            <w:r>
              <w:rPr>
                <w:spacing w:val="13"/>
              </w:rPr>
              <w:t>跃岭股份未充</w:t>
            </w:r>
            <w:r>
              <w:rPr/>
              <w:t xml:space="preserve"> </w:t>
            </w:r>
            <w:r>
              <w:rPr>
                <w:spacing w:val="13"/>
              </w:rPr>
              <w:t>分核查独立董事相关任职情况</w:t>
            </w:r>
            <w:r>
              <w:rPr>
                <w:spacing w:val="-18"/>
              </w:rPr>
              <w:t xml:space="preserve"> </w:t>
            </w:r>
            <w:r>
              <w:rPr>
                <w:spacing w:val="13"/>
              </w:rPr>
              <w:t>，对外公告的《独立董事提名</w:t>
            </w:r>
            <w:r>
              <w:rPr/>
              <w:t xml:space="preserve"> </w:t>
            </w:r>
            <w:r>
              <w:rPr>
                <w:spacing w:val="8"/>
              </w:rPr>
              <w:t>人声明》内容与事实不符。</w:t>
            </w:r>
          </w:p>
        </w:tc>
      </w:tr>
      <w:tr>
        <w:trPr>
          <w:trHeight w:val="725" w:hRule="atLeast"/>
        </w:trPr>
        <w:tc>
          <w:tcPr>
            <w:tcW w:w="8967" w:type="dxa"/>
            <w:vAlign w:val="top"/>
            <w:gridSpan w:val="3"/>
          </w:tcPr>
          <w:p>
            <w:pPr>
              <w:pStyle w:val="TableText"/>
              <w:ind w:left="105" w:right="104" w:firstLine="16"/>
              <w:spacing w:before="51" w:line="232" w:lineRule="auto"/>
              <w:rPr/>
            </w:pPr>
            <w:r>
              <w:rPr>
                <w:b/>
                <w:bCs/>
                <w:spacing w:val="13"/>
              </w:rPr>
              <w:t>【行政监管措施】</w:t>
            </w:r>
            <w:r>
              <w:rPr>
                <w:spacing w:val="13"/>
              </w:rPr>
              <w:t>中国证券监督管理委员会浙江监管局决定对浙江跃岭股</w:t>
            </w:r>
            <w:r>
              <w:rPr>
                <w:spacing w:val="12"/>
              </w:rPr>
              <w:t>份有限公司、董事会</w:t>
            </w:r>
            <w:r>
              <w:rPr/>
              <w:t xml:space="preserve"> </w:t>
            </w:r>
            <w:r>
              <w:rPr>
                <w:spacing w:val="9"/>
              </w:rPr>
              <w:t>秘书陈某均采取出具警示函的行政监管措施</w:t>
            </w:r>
            <w:r>
              <w:rPr>
                <w:spacing w:val="-27"/>
              </w:rPr>
              <w:t xml:space="preserve"> </w:t>
            </w:r>
            <w:r>
              <w:rPr>
                <w:spacing w:val="9"/>
              </w:rPr>
              <w:t>，</w:t>
            </w:r>
            <w:r>
              <w:rPr>
                <w:spacing w:val="8"/>
              </w:rPr>
              <w:t>并记入证券期货市场诚信档案。</w:t>
            </w:r>
          </w:p>
        </w:tc>
      </w:tr>
      <w:tr>
        <w:trPr>
          <w:trHeight w:val="2524" w:hRule="atLeast"/>
        </w:trPr>
        <w:tc>
          <w:tcPr>
            <w:shd w:val="clear" w:fill="B8CCE4"/>
            <w:tcW w:w="1607" w:type="dxa"/>
            <w:vAlign w:val="top"/>
          </w:tcPr>
          <w:p>
            <w:pPr>
              <w:spacing w:line="273" w:lineRule="auto"/>
              <w:rPr>
                <w:rFonts w:ascii="Arial"/>
                <w:sz w:val="21"/>
              </w:rPr>
            </w:pPr>
            <w:r/>
          </w:p>
          <w:p>
            <w:pPr>
              <w:spacing w:line="274" w:lineRule="auto"/>
              <w:rPr>
                <w:rFonts w:ascii="Arial"/>
                <w:sz w:val="21"/>
              </w:rPr>
            </w:pPr>
            <w:r/>
          </w:p>
          <w:p>
            <w:pPr>
              <w:spacing w:line="274" w:lineRule="auto"/>
              <w:rPr>
                <w:rFonts w:ascii="Arial"/>
                <w:sz w:val="21"/>
              </w:rPr>
            </w:pPr>
            <w:r/>
          </w:p>
          <w:p>
            <w:pPr>
              <w:spacing w:line="27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33"/>
              <w:spacing w:before="86" w:line="178" w:lineRule="auto"/>
              <w:rPr/>
            </w:pPr>
            <w:r>
              <w:rPr>
                <w:spacing w:val="3"/>
              </w:rPr>
              <w:t>002725</w:t>
            </w:r>
          </w:p>
        </w:tc>
        <w:tc>
          <w:tcPr>
            <w:shd w:val="clear" w:fill="B8CCE4"/>
            <w:tcW w:w="1560" w:type="dxa"/>
            <w:vAlign w:val="top"/>
          </w:tcPr>
          <w:p>
            <w:pPr>
              <w:spacing w:line="270" w:lineRule="auto"/>
              <w:rPr>
                <w:rFonts w:ascii="Arial"/>
                <w:sz w:val="21"/>
              </w:rPr>
            </w:pPr>
            <w:r/>
          </w:p>
          <w:p>
            <w:pPr>
              <w:spacing w:line="270" w:lineRule="auto"/>
              <w:rPr>
                <w:rFonts w:ascii="Arial"/>
                <w:sz w:val="21"/>
              </w:rPr>
            </w:pPr>
            <w:r/>
          </w:p>
          <w:p>
            <w:pPr>
              <w:spacing w:line="271" w:lineRule="auto"/>
              <w:rPr>
                <w:rFonts w:ascii="Arial"/>
                <w:sz w:val="21"/>
              </w:rPr>
            </w:pPr>
            <w:r/>
          </w:p>
          <w:p>
            <w:pPr>
              <w:spacing w:line="27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50"/>
              <w:spacing w:before="86" w:line="188" w:lineRule="auto"/>
              <w:rPr/>
            </w:pPr>
            <w:r>
              <w:rPr>
                <w:spacing w:val="8"/>
              </w:rPr>
              <w:t>跃岭股份</w:t>
            </w:r>
          </w:p>
        </w:tc>
        <w:tc>
          <w:tcPr>
            <w:shd w:val="clear" w:fill="B8CCE4"/>
            <w:tcW w:w="5800" w:type="dxa"/>
            <w:vAlign w:val="top"/>
          </w:tcPr>
          <w:p>
            <w:pPr>
              <w:pStyle w:val="TableText"/>
              <w:ind w:left="101" w:right="103" w:hanging="1"/>
              <w:spacing w:before="91" w:line="242" w:lineRule="auto"/>
              <w:rPr/>
            </w:pPr>
            <w:r>
              <w:rPr>
                <w:spacing w:val="10"/>
              </w:rPr>
              <w:t>金某兴在拟担任浙江跃岭股份有限公司独立董事时</w:t>
            </w:r>
            <w:r>
              <w:rPr>
                <w:spacing w:val="-25"/>
              </w:rPr>
              <w:t xml:space="preserve"> </w:t>
            </w:r>
            <w:r>
              <w:rPr>
                <w:spacing w:val="9"/>
              </w:rPr>
              <w:t>，于2022</w:t>
            </w:r>
            <w:r>
              <w:rPr/>
              <w:t xml:space="preserve"> </w:t>
            </w:r>
            <w:r>
              <w:rPr>
                <w:spacing w:val="8"/>
              </w:rPr>
              <w:t>年10月20日作出《独立董事候选人声明》</w:t>
            </w:r>
            <w:r>
              <w:rPr>
                <w:spacing w:val="-8"/>
              </w:rPr>
              <w:t xml:space="preserve"> </w:t>
            </w:r>
            <w:r>
              <w:rPr>
                <w:spacing w:val="8"/>
              </w:rPr>
              <w:t>，并经公司披露</w:t>
            </w:r>
            <w:r>
              <w:rPr>
                <w:spacing w:val="-26"/>
              </w:rPr>
              <w:t xml:space="preserve"> </w:t>
            </w:r>
            <w:r>
              <w:rPr>
                <w:spacing w:val="8"/>
              </w:rPr>
              <w:t>，</w:t>
            </w:r>
            <w:r>
              <w:rPr/>
              <w:t xml:space="preserve"> </w:t>
            </w:r>
            <w:r>
              <w:rPr>
                <w:spacing w:val="14"/>
              </w:rPr>
              <w:t>其中第三十五项为“本人不存在同时在超过五家以上的公司 </w:t>
            </w:r>
            <w:r>
              <w:rPr>
                <w:spacing w:val="12"/>
              </w:rPr>
              <w:t>担任董事、监事或高级管理人员的情形</w:t>
            </w:r>
            <w:r>
              <w:rPr>
                <w:spacing w:val="-29"/>
              </w:rPr>
              <w:t xml:space="preserve"> </w:t>
            </w:r>
            <w:r>
              <w:rPr>
                <w:spacing w:val="12"/>
              </w:rPr>
              <w:t>”</w:t>
            </w:r>
            <w:r>
              <w:rPr>
                <w:spacing w:val="-23"/>
              </w:rPr>
              <w:t xml:space="preserve"> </w:t>
            </w:r>
            <w:r>
              <w:rPr>
                <w:spacing w:val="12"/>
              </w:rPr>
              <w:t>，并保证声明的真</w:t>
            </w:r>
            <w:r>
              <w:rPr/>
              <w:t xml:space="preserve"> </w:t>
            </w:r>
            <w:r>
              <w:rPr>
                <w:spacing w:val="13"/>
              </w:rPr>
              <w:t>实、准确、完整</w:t>
            </w:r>
            <w:r>
              <w:rPr>
                <w:spacing w:val="-19"/>
              </w:rPr>
              <w:t xml:space="preserve"> </w:t>
            </w:r>
            <w:r>
              <w:rPr>
                <w:spacing w:val="13"/>
              </w:rPr>
              <w:t>，没有虚假记载、误导性陈述或重大遗漏。</w:t>
            </w:r>
            <w:r>
              <w:rPr/>
              <w:t xml:space="preserve"> </w:t>
            </w:r>
            <w:r>
              <w:rPr>
                <w:spacing w:val="12"/>
              </w:rPr>
              <w:t>经查</w:t>
            </w:r>
            <w:r>
              <w:rPr>
                <w:spacing w:val="-17"/>
              </w:rPr>
              <w:t xml:space="preserve"> </w:t>
            </w:r>
            <w:r>
              <w:rPr>
                <w:spacing w:val="12"/>
              </w:rPr>
              <w:t>，金某兴当时</w:t>
            </w:r>
            <w:r>
              <w:rPr>
                <w:b/>
                <w:bCs/>
                <w:spacing w:val="12"/>
              </w:rPr>
              <w:t>同时担任董事、</w:t>
            </w:r>
            <w:r>
              <w:rPr>
                <w:b/>
                <w:bCs/>
                <w:spacing w:val="-36"/>
              </w:rPr>
              <w:t xml:space="preserve"> </w:t>
            </w:r>
            <w:r>
              <w:rPr>
                <w:b/>
                <w:bCs/>
                <w:spacing w:val="12"/>
              </w:rPr>
              <w:t>监事或高级管理人员的公</w:t>
            </w:r>
            <w:r>
              <w:rPr>
                <w:b/>
                <w:bCs/>
              </w:rPr>
              <w:t xml:space="preserve"> </w:t>
            </w:r>
            <w:r>
              <w:rPr>
                <w:b/>
                <w:bCs/>
                <w:spacing w:val="7"/>
              </w:rPr>
              <w:t>司家数超过五家</w:t>
            </w:r>
            <w:r>
              <w:rPr>
                <w:b/>
                <w:bCs/>
                <w:spacing w:val="-29"/>
              </w:rPr>
              <w:t xml:space="preserve"> </w:t>
            </w:r>
            <w:r>
              <w:rPr>
                <w:spacing w:val="7"/>
              </w:rPr>
              <w:t>，与声明事实不符。</w:t>
            </w:r>
          </w:p>
        </w:tc>
      </w:tr>
      <w:tr>
        <w:trPr>
          <w:trHeight w:val="975" w:hRule="atLeast"/>
        </w:trPr>
        <w:tc>
          <w:tcPr>
            <w:tcW w:w="8967" w:type="dxa"/>
            <w:vAlign w:val="top"/>
            <w:gridSpan w:val="3"/>
          </w:tcPr>
          <w:p>
            <w:pPr>
              <w:pStyle w:val="TableText"/>
              <w:ind w:left="114" w:right="104" w:firstLine="8"/>
              <w:spacing w:before="173" w:line="236" w:lineRule="auto"/>
              <w:rPr/>
            </w:pPr>
            <w:r>
              <w:rPr>
                <w:b/>
                <w:bCs/>
                <w:spacing w:val="13"/>
              </w:rPr>
              <w:t>【行政监管措施】</w:t>
            </w:r>
            <w:r>
              <w:rPr>
                <w:spacing w:val="13"/>
              </w:rPr>
              <w:t>中国证券监督管理委员会浙江监管局决定对独立董事金</w:t>
            </w:r>
            <w:r>
              <w:rPr>
                <w:spacing w:val="12"/>
              </w:rPr>
              <w:t>某兴采取出具警示函</w:t>
            </w:r>
            <w:r>
              <w:rPr/>
              <w:t xml:space="preserve"> </w:t>
            </w:r>
            <w:r>
              <w:rPr>
                <w:spacing w:val="7"/>
              </w:rPr>
              <w:t>的行政监管措施</w:t>
            </w:r>
            <w:r>
              <w:rPr>
                <w:spacing w:val="-18"/>
              </w:rPr>
              <w:t xml:space="preserve"> </w:t>
            </w:r>
            <w:r>
              <w:rPr>
                <w:spacing w:val="7"/>
              </w:rPr>
              <w:t>，并记入证券期货市场诚信档案。</w:t>
            </w:r>
          </w:p>
        </w:tc>
      </w:tr>
    </w:tbl>
    <w:p>
      <w:pPr>
        <w:pStyle w:val="BodyText"/>
        <w:spacing w:line="35" w:lineRule="exact"/>
        <w:rPr>
          <w:sz w:val="3"/>
        </w:rPr>
      </w:pPr>
      <w:r/>
    </w:p>
    <w:p>
      <w:pPr>
        <w:spacing w:line="35" w:lineRule="exact"/>
        <w:sectPr>
          <w:footerReference w:type="default" r:id="rId9"/>
          <w:pgSz w:w="11910" w:h="16840"/>
          <w:pgMar w:top="400" w:right="1612" w:bottom="1" w:left="1315" w:header="0" w:footer="0" w:gutter="0"/>
        </w:sectPr>
        <w:rPr>
          <w:sz w:val="3"/>
          <w:szCs w:val="3"/>
        </w:rPr>
      </w:pPr>
    </w:p>
    <w:tbl>
      <w:tblPr>
        <w:tblStyle w:val="TableNormal"/>
        <w:tblW w:w="8967" w:type="dxa"/>
        <w:tblInd w:w="7" w:type="dxa"/>
        <w:tblLayout w:type="fixed"/>
        <w:tblBorders>
          <w:top w:val="single" w:color="4F81BD" w:sz="6" w:space="0"/>
          <w:left w:val="single" w:color="4F81BD" w:sz="6" w:space="0"/>
          <w:bottom w:val="single" w:color="4F81BD" w:sz="6" w:space="0"/>
          <w:right w:val="single" w:color="4F81BD" w:sz="6" w:space="0"/>
          <w:insideH w:val="single" w:color="4F81BD" w:sz="6" w:space="0"/>
          <w:insideV w:val="single" w:color="4F81BD" w:sz="6" w:space="0"/>
        </w:tblBorders>
      </w:tblPr>
      <w:tblGrid>
        <w:gridCol w:w="1607"/>
        <w:gridCol w:w="1560"/>
        <w:gridCol w:w="5800"/>
      </w:tblGrid>
      <w:tr>
        <w:trPr>
          <w:trHeight w:val="1310" w:hRule="atLeast"/>
        </w:trPr>
        <w:tc>
          <w:tcPr>
            <w:shd w:val="clear" w:fill="B8CCE4"/>
            <w:tcW w:w="1607" w:type="dxa"/>
            <w:vAlign w:val="top"/>
          </w:tcPr>
          <w:p>
            <w:pPr>
              <w:spacing w:line="243" w:lineRule="auto"/>
              <w:rPr>
                <w:rFonts w:ascii="Arial"/>
                <w:sz w:val="21"/>
              </w:rPr>
            </w:pPr>
            <w:r/>
          </w:p>
          <w:p>
            <w:pPr>
              <w:spacing w:line="24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33"/>
              <w:spacing w:before="86" w:line="178" w:lineRule="auto"/>
              <w:rPr/>
            </w:pPr>
            <w:r>
              <w:rPr>
                <w:spacing w:val="3"/>
              </w:rPr>
              <w:t>000046</w:t>
            </w:r>
          </w:p>
        </w:tc>
        <w:tc>
          <w:tcPr>
            <w:shd w:val="clear" w:fill="B8CCE4"/>
            <w:tcW w:w="1560" w:type="dxa"/>
            <w:vAlign w:val="top"/>
          </w:tcPr>
          <w:p>
            <w:pPr>
              <w:spacing w:line="47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99"/>
              <w:spacing w:before="86" w:line="189" w:lineRule="auto"/>
              <w:rPr/>
            </w:pPr>
            <w:r>
              <w:rPr>
                <w:spacing w:val="8"/>
              </w:rPr>
              <w:t>*</w:t>
            </w:r>
            <w:r>
              <w:rPr/>
              <w:t>ST</w:t>
            </w:r>
            <w:r>
              <w:rPr>
                <w:spacing w:val="8"/>
              </w:rPr>
              <w:t>泛海</w:t>
            </w:r>
          </w:p>
        </w:tc>
        <w:tc>
          <w:tcPr>
            <w:shd w:val="clear" w:fill="B8CCE4"/>
            <w:tcW w:w="5800" w:type="dxa"/>
            <w:vAlign w:val="top"/>
          </w:tcPr>
          <w:p>
            <w:pPr>
              <w:pStyle w:val="TableText"/>
              <w:ind w:left="102" w:right="103" w:hanging="1"/>
              <w:spacing w:before="200" w:line="231" w:lineRule="auto"/>
              <w:jc w:val="both"/>
              <w:rPr/>
            </w:pPr>
            <w:r>
              <w:rPr>
                <w:spacing w:val="14"/>
              </w:rPr>
              <w:t>通海投资集团有限公司等在承诺期限内增持金额未能达到</w:t>
            </w:r>
            <w:r>
              <w:rPr>
                <w:b/>
                <w:bCs/>
                <w:spacing w:val="14"/>
              </w:rPr>
              <w:t>增</w:t>
            </w:r>
            <w:r>
              <w:rPr>
                <w:b/>
                <w:bCs/>
                <w:spacing w:val="15"/>
              </w:rPr>
              <w:t xml:space="preserve"> </w:t>
            </w:r>
            <w:r>
              <w:rPr>
                <w:b/>
                <w:bCs/>
                <w:spacing w:val="10"/>
              </w:rPr>
              <w:t>持计划</w:t>
            </w:r>
            <w:r>
              <w:rPr>
                <w:spacing w:val="10"/>
              </w:rPr>
              <w:t>的金额下限,增持计划未能按期完成,上述公司控股股东</w:t>
            </w:r>
            <w:r>
              <w:rPr>
                <w:spacing w:val="1"/>
              </w:rPr>
              <w:t xml:space="preserve"> </w:t>
            </w:r>
            <w:r>
              <w:rPr>
                <w:spacing w:val="8"/>
              </w:rPr>
              <w:t>的一致行动人</w:t>
            </w:r>
            <w:r>
              <w:rPr>
                <w:b/>
                <w:bCs/>
                <w:spacing w:val="8"/>
              </w:rPr>
              <w:t>未能履行承诺。</w:t>
            </w:r>
          </w:p>
        </w:tc>
      </w:tr>
      <w:tr>
        <w:trPr>
          <w:trHeight w:val="2045" w:hRule="atLeast"/>
        </w:trPr>
        <w:tc>
          <w:tcPr>
            <w:tcW w:w="8967" w:type="dxa"/>
            <w:vAlign w:val="top"/>
            <w:gridSpan w:val="3"/>
          </w:tcPr>
          <w:p>
            <w:pPr>
              <w:pStyle w:val="TableText"/>
              <w:ind w:left="105" w:right="103" w:firstLine="17"/>
              <w:spacing w:before="164" w:line="245" w:lineRule="auto"/>
              <w:jc w:val="both"/>
              <w:rPr/>
            </w:pPr>
            <w:r>
              <w:rPr>
                <w:b/>
                <w:bCs/>
                <w:spacing w:val="13"/>
              </w:rPr>
              <w:t>【行政监管措施】</w:t>
            </w:r>
            <w:r>
              <w:rPr>
                <w:spacing w:val="13"/>
              </w:rPr>
              <w:t>中国证券监督管理委员会北京监管局决定对通海投资集</w:t>
            </w:r>
            <w:r>
              <w:rPr>
                <w:spacing w:val="12"/>
              </w:rPr>
              <w:t>团有限公司、华馨资</w:t>
            </w:r>
            <w:r>
              <w:rPr/>
              <w:t xml:space="preserve"> </w:t>
            </w:r>
            <w:r>
              <w:rPr>
                <w:spacing w:val="11"/>
              </w:rPr>
              <w:t>本投资管理有限公司、通海置业投资管理有限公司、通海股权</w:t>
            </w:r>
            <w:r>
              <w:rPr>
                <w:spacing w:val="10"/>
              </w:rPr>
              <w:t>投资股份有限公司、</w:t>
            </w:r>
            <w:r>
              <w:rPr>
                <w:spacing w:val="-31"/>
              </w:rPr>
              <w:t xml:space="preserve"> </w:t>
            </w:r>
            <w:r>
              <w:rPr>
                <w:spacing w:val="10"/>
              </w:rPr>
              <w:t>同和睿海(北</w:t>
            </w:r>
            <w:r>
              <w:rPr/>
              <w:t xml:space="preserve"> </w:t>
            </w:r>
            <w:r>
              <w:rPr>
                <w:spacing w:val="13"/>
              </w:rPr>
              <w:t>京)企业管理有限公司、</w:t>
            </w:r>
            <w:r>
              <w:rPr>
                <w:spacing w:val="-31"/>
              </w:rPr>
              <w:t xml:space="preserve"> </w:t>
            </w:r>
            <w:r>
              <w:rPr>
                <w:spacing w:val="13"/>
              </w:rPr>
              <w:t>同和悦海(天津)企业</w:t>
            </w:r>
            <w:r>
              <w:rPr>
                <w:spacing w:val="12"/>
              </w:rPr>
              <w:t>管理有限公司、</w:t>
            </w:r>
            <w:r>
              <w:rPr>
                <w:spacing w:val="-31"/>
              </w:rPr>
              <w:t xml:space="preserve"> </w:t>
            </w:r>
            <w:r>
              <w:rPr>
                <w:spacing w:val="12"/>
              </w:rPr>
              <w:t>同和晟海(青岛)投资有限公司、北</w:t>
            </w:r>
            <w:r>
              <w:rPr/>
              <w:t xml:space="preserve"> </w:t>
            </w:r>
            <w:r>
              <w:rPr>
                <w:spacing w:val="13"/>
              </w:rPr>
              <w:t>京东风星火置业有限公司、泛海园艺技术工程有限公司、北京东方绿洲体育休闲中心有限公司</w:t>
            </w:r>
            <w:r>
              <w:rPr>
                <w:spacing w:val="8"/>
              </w:rPr>
              <w:t xml:space="preserve"> </w:t>
            </w:r>
            <w:r>
              <w:rPr>
                <w:spacing w:val="9"/>
              </w:rPr>
              <w:t>采取出具警示函的行政监管措施,并记入证券期货市场诚信档案。</w:t>
            </w:r>
          </w:p>
        </w:tc>
      </w:tr>
      <w:tr>
        <w:trPr>
          <w:trHeight w:val="891" w:hRule="atLeast"/>
        </w:trPr>
        <w:tc>
          <w:tcPr>
            <w:shd w:val="clear" w:fill="B8CCE4"/>
            <w:tcW w:w="1607" w:type="dxa"/>
            <w:vAlign w:val="top"/>
          </w:tcPr>
          <w:p>
            <w:pPr>
              <w:spacing w:line="27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33"/>
              <w:spacing w:before="85" w:line="178" w:lineRule="auto"/>
              <w:rPr/>
            </w:pPr>
            <w:r>
              <w:rPr>
                <w:spacing w:val="3"/>
              </w:rPr>
              <w:t>000046</w:t>
            </w:r>
          </w:p>
        </w:tc>
        <w:tc>
          <w:tcPr>
            <w:shd w:val="clear" w:fill="B8CCE4"/>
            <w:tcW w:w="1560" w:type="dxa"/>
            <w:vAlign w:val="top"/>
          </w:tcPr>
          <w:p>
            <w:pPr>
              <w:spacing w:line="26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99"/>
              <w:spacing w:before="86" w:line="189" w:lineRule="auto"/>
              <w:rPr/>
            </w:pPr>
            <w:r>
              <w:rPr>
                <w:spacing w:val="8"/>
              </w:rPr>
              <w:t>*</w:t>
            </w:r>
            <w:r>
              <w:rPr/>
              <w:t>ST</w:t>
            </w:r>
            <w:r>
              <w:rPr>
                <w:spacing w:val="8"/>
              </w:rPr>
              <w:t>泛海</w:t>
            </w:r>
          </w:p>
        </w:tc>
        <w:tc>
          <w:tcPr>
            <w:shd w:val="clear" w:fill="B8CCE4"/>
            <w:tcW w:w="5800" w:type="dxa"/>
            <w:vAlign w:val="top"/>
          </w:tcPr>
          <w:p>
            <w:pPr>
              <w:pStyle w:val="TableText"/>
              <w:ind w:left="111" w:right="103" w:firstLine="3"/>
              <w:spacing w:before="169" w:line="221" w:lineRule="auto"/>
              <w:rPr/>
            </w:pPr>
            <w:r>
              <w:rPr>
                <w:spacing w:val="14"/>
              </w:rPr>
              <w:t>中国泛海在承诺期限内增持金额未能达到</w:t>
            </w:r>
            <w:r>
              <w:rPr>
                <w:b/>
                <w:bCs/>
                <w:spacing w:val="14"/>
              </w:rPr>
              <w:t>增持计划</w:t>
            </w:r>
            <w:r>
              <w:rPr>
                <w:spacing w:val="14"/>
              </w:rPr>
              <w:t>的金额下</w:t>
            </w:r>
            <w:r>
              <w:rPr/>
              <w:t xml:space="preserve"> </w:t>
            </w:r>
            <w:r>
              <w:rPr>
                <w:spacing w:val="8"/>
              </w:rPr>
              <w:t>限,增持计划未能按期完成,公司控股股东</w:t>
            </w:r>
            <w:r>
              <w:rPr>
                <w:b/>
                <w:bCs/>
                <w:spacing w:val="8"/>
              </w:rPr>
              <w:t>未能履行承诺。</w:t>
            </w:r>
          </w:p>
        </w:tc>
      </w:tr>
      <w:tr>
        <w:trPr>
          <w:trHeight w:val="1041" w:hRule="atLeast"/>
        </w:trPr>
        <w:tc>
          <w:tcPr>
            <w:tcW w:w="8967" w:type="dxa"/>
            <w:vAlign w:val="top"/>
            <w:gridSpan w:val="3"/>
          </w:tcPr>
          <w:p>
            <w:pPr>
              <w:pStyle w:val="TableText"/>
              <w:ind w:left="106" w:right="104" w:firstLine="15"/>
              <w:spacing w:before="201" w:line="236" w:lineRule="auto"/>
              <w:rPr/>
            </w:pPr>
            <w:r>
              <w:rPr>
                <w:b/>
                <w:bCs/>
                <w:spacing w:val="13"/>
              </w:rPr>
              <w:t>【行政监管措施】</w:t>
            </w:r>
            <w:r>
              <w:rPr>
                <w:spacing w:val="13"/>
              </w:rPr>
              <w:t>中国证券监督管理委员会北京监管局决定对中国泛海采</w:t>
            </w:r>
            <w:r>
              <w:rPr>
                <w:spacing w:val="12"/>
              </w:rPr>
              <w:t>取出具警示函的行政</w:t>
            </w:r>
            <w:r>
              <w:rPr/>
              <w:t xml:space="preserve"> </w:t>
            </w:r>
            <w:r>
              <w:rPr>
                <w:spacing w:val="8"/>
              </w:rPr>
              <w:t>监管措施,并记入证券期货市场诚信档案。</w:t>
            </w:r>
          </w:p>
        </w:tc>
      </w:tr>
      <w:tr>
        <w:trPr>
          <w:trHeight w:val="544" w:hRule="atLeast"/>
        </w:trPr>
        <w:tc>
          <w:tcPr>
            <w:shd w:val="clear" w:fill="B8CCE4"/>
            <w:tcW w:w="1607" w:type="dxa"/>
            <w:vAlign w:val="top"/>
          </w:tcPr>
          <w:p>
            <w:pPr>
              <w:pStyle w:val="TableText"/>
              <w:ind w:left="433"/>
              <w:spacing w:before="194" w:line="178" w:lineRule="auto"/>
              <w:rPr/>
            </w:pPr>
            <w:r>
              <w:rPr>
                <w:spacing w:val="3"/>
              </w:rPr>
              <w:t>000426</w:t>
            </w:r>
          </w:p>
        </w:tc>
        <w:tc>
          <w:tcPr>
            <w:shd w:val="clear" w:fill="B8CCE4"/>
            <w:tcW w:w="1560" w:type="dxa"/>
            <w:vAlign w:val="top"/>
          </w:tcPr>
          <w:p>
            <w:pPr>
              <w:pStyle w:val="TableText"/>
              <w:ind w:left="352"/>
              <w:spacing w:before="180" w:line="188" w:lineRule="auto"/>
              <w:rPr/>
            </w:pPr>
            <w:r>
              <w:rPr>
                <w:spacing w:val="8"/>
              </w:rPr>
              <w:t>兴业银锡</w:t>
            </w:r>
          </w:p>
        </w:tc>
        <w:tc>
          <w:tcPr>
            <w:shd w:val="clear" w:fill="B8CCE4"/>
            <w:tcW w:w="5800" w:type="dxa"/>
            <w:vAlign w:val="top"/>
          </w:tcPr>
          <w:p>
            <w:pPr>
              <w:pStyle w:val="TableText"/>
              <w:ind w:left="102"/>
              <w:spacing w:before="179" w:line="189" w:lineRule="auto"/>
              <w:rPr/>
            </w:pPr>
            <w:r>
              <w:rPr>
                <w:spacing w:val="8"/>
              </w:rPr>
              <w:t>监事亲属</w:t>
            </w:r>
            <w:r>
              <w:rPr>
                <w:b/>
                <w:bCs/>
                <w:spacing w:val="8"/>
              </w:rPr>
              <w:t>短线交易。</w:t>
            </w:r>
          </w:p>
        </w:tc>
      </w:tr>
      <w:tr>
        <w:trPr>
          <w:trHeight w:val="945" w:hRule="atLeast"/>
        </w:trPr>
        <w:tc>
          <w:tcPr>
            <w:tcW w:w="8967" w:type="dxa"/>
            <w:vAlign w:val="top"/>
            <w:gridSpan w:val="3"/>
          </w:tcPr>
          <w:p>
            <w:pPr>
              <w:pStyle w:val="TableText"/>
              <w:ind w:left="105" w:right="104" w:firstLine="16"/>
              <w:spacing w:before="156" w:line="236" w:lineRule="auto"/>
              <w:rPr/>
            </w:pPr>
            <w:r>
              <w:rPr>
                <w:b/>
                <w:bCs/>
                <w:spacing w:val="13"/>
              </w:rPr>
              <w:t>【行政监管措施】</w:t>
            </w:r>
            <w:r>
              <w:rPr>
                <w:spacing w:val="13"/>
              </w:rPr>
              <w:t>中国证券监督管理委员会内蒙古监管局决定对监事刘某</w:t>
            </w:r>
            <w:r>
              <w:rPr>
                <w:spacing w:val="12"/>
              </w:rPr>
              <w:t>革采取出具警示函的</w:t>
            </w:r>
            <w:r>
              <w:rPr/>
              <w:t xml:space="preserve"> </w:t>
            </w:r>
            <w:r>
              <w:rPr>
                <w:spacing w:val="7"/>
              </w:rPr>
              <w:t>行政监管措施</w:t>
            </w:r>
            <w:r>
              <w:rPr>
                <w:spacing w:val="-13"/>
              </w:rPr>
              <w:t xml:space="preserve"> </w:t>
            </w:r>
            <w:r>
              <w:rPr>
                <w:spacing w:val="7"/>
              </w:rPr>
              <w:t>，并记入证券期货市场诚信档案。</w:t>
            </w:r>
          </w:p>
        </w:tc>
      </w:tr>
      <w:tr>
        <w:trPr>
          <w:trHeight w:val="3186" w:hRule="atLeast"/>
        </w:trPr>
        <w:tc>
          <w:tcPr>
            <w:shd w:val="clear" w:fill="B8CCE4"/>
            <w:tcW w:w="1607" w:type="dxa"/>
            <w:vAlign w:val="top"/>
          </w:tcPr>
          <w:p>
            <w:pPr>
              <w:spacing w:line="285" w:lineRule="auto"/>
              <w:rPr>
                <w:rFonts w:ascii="Arial"/>
                <w:sz w:val="21"/>
              </w:rPr>
            </w:pPr>
            <w:r/>
          </w:p>
          <w:p>
            <w:pPr>
              <w:spacing w:line="285" w:lineRule="auto"/>
              <w:rPr>
                <w:rFonts w:ascii="Arial"/>
                <w:sz w:val="21"/>
              </w:rPr>
            </w:pPr>
            <w:r/>
          </w:p>
          <w:p>
            <w:pPr>
              <w:spacing w:line="285" w:lineRule="auto"/>
              <w:rPr>
                <w:rFonts w:ascii="Arial"/>
                <w:sz w:val="21"/>
              </w:rPr>
            </w:pPr>
            <w:r/>
          </w:p>
          <w:p>
            <w:pPr>
              <w:spacing w:line="285" w:lineRule="auto"/>
              <w:rPr>
                <w:rFonts w:ascii="Arial"/>
                <w:sz w:val="21"/>
              </w:rPr>
            </w:pPr>
            <w:r/>
          </w:p>
          <w:p>
            <w:pPr>
              <w:spacing w:line="28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38"/>
              <w:spacing w:before="86" w:line="178" w:lineRule="auto"/>
              <w:rPr/>
            </w:pPr>
            <w:r>
              <w:rPr>
                <w:spacing w:val="3"/>
              </w:rPr>
              <w:t>300049</w:t>
            </w:r>
          </w:p>
        </w:tc>
        <w:tc>
          <w:tcPr>
            <w:shd w:val="clear" w:fill="B8CCE4"/>
            <w:tcW w:w="1560" w:type="dxa"/>
            <w:vAlign w:val="top"/>
          </w:tcPr>
          <w:p>
            <w:pPr>
              <w:spacing w:line="282" w:lineRule="auto"/>
              <w:rPr>
                <w:rFonts w:ascii="Arial"/>
                <w:sz w:val="21"/>
              </w:rPr>
            </w:pPr>
            <w:r/>
          </w:p>
          <w:p>
            <w:pPr>
              <w:spacing w:line="282" w:lineRule="auto"/>
              <w:rPr>
                <w:rFonts w:ascii="Arial"/>
                <w:sz w:val="21"/>
              </w:rPr>
            </w:pPr>
            <w:r/>
          </w:p>
          <w:p>
            <w:pPr>
              <w:spacing w:line="282" w:lineRule="auto"/>
              <w:rPr>
                <w:rFonts w:ascii="Arial"/>
                <w:sz w:val="21"/>
              </w:rPr>
            </w:pPr>
            <w:r/>
          </w:p>
          <w:p>
            <w:pPr>
              <w:spacing w:line="283" w:lineRule="auto"/>
              <w:rPr>
                <w:rFonts w:ascii="Arial"/>
                <w:sz w:val="21"/>
              </w:rPr>
            </w:pPr>
            <w:r/>
          </w:p>
          <w:p>
            <w:pPr>
              <w:spacing w:line="28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51"/>
              <w:spacing w:before="85" w:line="189" w:lineRule="auto"/>
              <w:rPr/>
            </w:pPr>
            <w:r>
              <w:rPr>
                <w:spacing w:val="8"/>
              </w:rPr>
              <w:t>福瑞股份</w:t>
            </w:r>
          </w:p>
        </w:tc>
        <w:tc>
          <w:tcPr>
            <w:shd w:val="clear" w:fill="B8CCE4"/>
            <w:tcW w:w="5800" w:type="dxa"/>
            <w:vAlign w:val="top"/>
          </w:tcPr>
          <w:p>
            <w:pPr>
              <w:pStyle w:val="TableText"/>
              <w:ind w:left="99" w:right="103" w:firstLine="10"/>
              <w:spacing w:before="245" w:line="244" w:lineRule="auto"/>
              <w:jc w:val="both"/>
              <w:rPr/>
            </w:pPr>
            <w:r>
              <w:rPr>
                <w:spacing w:val="7"/>
              </w:rPr>
              <w:t>2023年5月7日</w:t>
            </w:r>
            <w:r>
              <w:rPr>
                <w:spacing w:val="-24"/>
              </w:rPr>
              <w:t xml:space="preserve"> </w:t>
            </w:r>
            <w:r>
              <w:rPr>
                <w:spacing w:val="7"/>
              </w:rPr>
              <w:t>，</w:t>
            </w:r>
            <w:r>
              <w:rPr>
                <w:spacing w:val="-32"/>
              </w:rPr>
              <w:t xml:space="preserve"> </w:t>
            </w:r>
            <w:r>
              <w:rPr>
                <w:spacing w:val="7"/>
              </w:rPr>
              <w:t>内蒙古福瑞医疗科技股份有限公司召开董事</w:t>
            </w:r>
            <w:r>
              <w:rPr/>
              <w:t xml:space="preserve"> </w:t>
            </w:r>
            <w:r>
              <w:rPr>
                <w:spacing w:val="14"/>
              </w:rPr>
              <w:t>会审议通过《关于提名第八届董事会独立董事候选人的议案</w:t>
            </w:r>
            <w:r>
              <w:rPr>
                <w:spacing w:val="16"/>
              </w:rPr>
              <w:t xml:space="preserve"> </w:t>
            </w:r>
            <w:r>
              <w:rPr>
                <w:spacing w:val="13"/>
              </w:rPr>
              <w:t>》</w:t>
            </w:r>
            <w:r>
              <w:rPr>
                <w:spacing w:val="-12"/>
              </w:rPr>
              <w:t xml:space="preserve"> </w:t>
            </w:r>
            <w:r>
              <w:rPr>
                <w:spacing w:val="13"/>
              </w:rPr>
              <w:t>，股东王某一提名郭某龙为第八届董事会独立</w:t>
            </w:r>
            <w:r>
              <w:rPr>
                <w:spacing w:val="12"/>
              </w:rPr>
              <w:t>董事。经公</w:t>
            </w:r>
            <w:r>
              <w:rPr/>
              <w:t xml:space="preserve"> </w:t>
            </w:r>
            <w:r>
              <w:rPr>
                <w:spacing w:val="13"/>
              </w:rPr>
              <w:t>司股东大会审议通过议案后</w:t>
            </w:r>
            <w:r>
              <w:rPr>
                <w:spacing w:val="-17"/>
              </w:rPr>
              <w:t xml:space="preserve"> </w:t>
            </w:r>
            <w:r>
              <w:rPr>
                <w:spacing w:val="13"/>
              </w:rPr>
              <w:t>，郭某龙担任福瑞股份独立董事</w:t>
            </w:r>
            <w:r>
              <w:rPr/>
              <w:t xml:space="preserve"> </w:t>
            </w:r>
            <w:r>
              <w:rPr>
                <w:spacing w:val="12"/>
              </w:rPr>
              <w:t>至今。提名期间</w:t>
            </w:r>
            <w:r>
              <w:rPr>
                <w:spacing w:val="-6"/>
              </w:rPr>
              <w:t xml:space="preserve"> </w:t>
            </w:r>
            <w:r>
              <w:rPr>
                <w:spacing w:val="12"/>
              </w:rPr>
              <w:t>，王某一、郭某龙分别作出并对外公告的《</w:t>
            </w:r>
            <w:r>
              <w:rPr/>
              <w:t xml:space="preserve"> </w:t>
            </w:r>
            <w:r>
              <w:rPr>
                <w:spacing w:val="12"/>
              </w:rPr>
              <w:t>独立董事提名人声明》</w:t>
            </w:r>
            <w:r>
              <w:rPr>
                <w:spacing w:val="-26"/>
              </w:rPr>
              <w:t xml:space="preserve"> </w:t>
            </w:r>
            <w:r>
              <w:rPr>
                <w:spacing w:val="12"/>
              </w:rPr>
              <w:t>、《独立董事候选人声明》</w:t>
            </w:r>
            <w:r>
              <w:rPr>
                <w:spacing w:val="11"/>
              </w:rPr>
              <w:t>中</w:t>
            </w:r>
            <w:r>
              <w:rPr>
                <w:spacing w:val="-21"/>
              </w:rPr>
              <w:t xml:space="preserve"> </w:t>
            </w:r>
            <w:r>
              <w:rPr>
                <w:spacing w:val="11"/>
              </w:rPr>
              <w:t>，对“</w:t>
            </w:r>
            <w:r>
              <w:rPr/>
              <w:t xml:space="preserve"> </w:t>
            </w:r>
            <w:r>
              <w:rPr>
                <w:spacing w:val="13"/>
              </w:rPr>
              <w:t>不存在</w:t>
            </w:r>
            <w:r>
              <w:rPr>
                <w:b/>
                <w:bCs/>
                <w:spacing w:val="13"/>
              </w:rPr>
              <w:t>同时在超过五家以上的公司担任董事、</w:t>
            </w:r>
            <w:r>
              <w:rPr>
                <w:b/>
                <w:bCs/>
                <w:spacing w:val="-20"/>
              </w:rPr>
              <w:t xml:space="preserve"> </w:t>
            </w:r>
            <w:r>
              <w:rPr>
                <w:b/>
                <w:bCs/>
                <w:spacing w:val="13"/>
              </w:rPr>
              <w:t>监事或高级管</w:t>
            </w:r>
            <w:r>
              <w:rPr>
                <w:b/>
                <w:bCs/>
              </w:rPr>
              <w:t xml:space="preserve"> </w:t>
            </w:r>
            <w:r>
              <w:rPr>
                <w:b/>
                <w:bCs/>
                <w:spacing w:val="7"/>
              </w:rPr>
              <w:t>理人员</w:t>
            </w:r>
            <w:r>
              <w:rPr>
                <w:spacing w:val="7"/>
              </w:rPr>
              <w:t>”一栏均勾选“是”</w:t>
            </w:r>
            <w:r>
              <w:rPr>
                <w:spacing w:val="-17"/>
              </w:rPr>
              <w:t xml:space="preserve"> </w:t>
            </w:r>
            <w:r>
              <w:rPr>
                <w:spacing w:val="7"/>
              </w:rPr>
              <w:t>，与事实不符。</w:t>
            </w:r>
          </w:p>
        </w:tc>
      </w:tr>
      <w:tr>
        <w:trPr>
          <w:trHeight w:val="1120" w:hRule="atLeast"/>
        </w:trPr>
        <w:tc>
          <w:tcPr>
            <w:tcW w:w="8967" w:type="dxa"/>
            <w:vAlign w:val="top"/>
            <w:gridSpan w:val="3"/>
          </w:tcPr>
          <w:p>
            <w:pPr>
              <w:pStyle w:val="TableText"/>
              <w:ind w:left="105" w:right="104" w:firstLine="17"/>
              <w:spacing w:before="253" w:line="236" w:lineRule="auto"/>
              <w:rPr/>
            </w:pPr>
            <w:r>
              <w:rPr>
                <w:b/>
                <w:bCs/>
                <w:spacing w:val="13"/>
              </w:rPr>
              <w:t>【行政监管措施】</w:t>
            </w:r>
            <w:r>
              <w:rPr>
                <w:spacing w:val="13"/>
              </w:rPr>
              <w:t>中国证券监督管理委员会内蒙古监管局决定对股东王某</w:t>
            </w:r>
            <w:r>
              <w:rPr>
                <w:spacing w:val="12"/>
              </w:rPr>
              <w:t>一、独立董事郭某龙</w:t>
            </w:r>
            <w:r>
              <w:rPr/>
              <w:t xml:space="preserve"> </w:t>
            </w:r>
            <w:r>
              <w:rPr>
                <w:spacing w:val="8"/>
              </w:rPr>
              <w:t>采取出具警示函的行政监管措施</w:t>
            </w:r>
            <w:r>
              <w:rPr>
                <w:spacing w:val="-18"/>
              </w:rPr>
              <w:t xml:space="preserve"> </w:t>
            </w:r>
            <w:r>
              <w:rPr>
                <w:spacing w:val="8"/>
              </w:rPr>
              <w:t>，并记入证券期货市场诚信档案。</w:t>
            </w:r>
          </w:p>
        </w:tc>
      </w:tr>
      <w:tr>
        <w:trPr>
          <w:trHeight w:val="1200" w:hRule="atLeast"/>
        </w:trPr>
        <w:tc>
          <w:tcPr>
            <w:shd w:val="clear" w:fill="B8CCE4"/>
            <w:tcW w:w="1607" w:type="dxa"/>
            <w:vAlign w:val="top"/>
          </w:tcPr>
          <w:p>
            <w:pPr>
              <w:spacing w:line="44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33"/>
              <w:spacing w:before="86" w:line="178" w:lineRule="auto"/>
              <w:rPr/>
            </w:pPr>
            <w:r>
              <w:rPr>
                <w:spacing w:val="3"/>
              </w:rPr>
              <w:t>002688</w:t>
            </w:r>
          </w:p>
        </w:tc>
        <w:tc>
          <w:tcPr>
            <w:shd w:val="clear" w:fill="B8CCE4"/>
            <w:tcW w:w="1560" w:type="dxa"/>
            <w:vAlign w:val="top"/>
          </w:tcPr>
          <w:p>
            <w:pPr>
              <w:spacing w:line="43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49"/>
              <w:spacing w:before="85" w:line="189" w:lineRule="auto"/>
              <w:rPr/>
            </w:pPr>
            <w:r>
              <w:rPr>
                <w:spacing w:val="9"/>
              </w:rPr>
              <w:t>金河生物</w:t>
            </w:r>
          </w:p>
        </w:tc>
        <w:tc>
          <w:tcPr>
            <w:shd w:val="clear" w:fill="B8CCE4"/>
            <w:tcW w:w="5800" w:type="dxa"/>
            <w:vAlign w:val="top"/>
          </w:tcPr>
          <w:p>
            <w:pPr>
              <w:pStyle w:val="TableText"/>
              <w:ind w:left="100" w:right="103"/>
              <w:spacing w:before="119"/>
              <w:jc w:val="both"/>
              <w:rPr/>
            </w:pPr>
            <w:r>
              <w:rPr>
                <w:spacing w:val="13"/>
              </w:rPr>
              <w:t>信永中和会计师事务所（特殊普通合伙）</w:t>
            </w:r>
            <w:r>
              <w:rPr>
                <w:spacing w:val="-19"/>
              </w:rPr>
              <w:t xml:space="preserve"> </w:t>
            </w:r>
            <w:r>
              <w:rPr>
                <w:spacing w:val="13"/>
              </w:rPr>
              <w:t>、注册会计师在执</w:t>
            </w:r>
            <w:r>
              <w:rPr/>
              <w:t xml:space="preserve"> </w:t>
            </w:r>
            <w:r>
              <w:rPr>
                <w:spacing w:val="10"/>
              </w:rPr>
              <w:t>行金河生物科技股份有限公司</w:t>
            </w:r>
            <w:r>
              <w:rPr>
                <w:b/>
                <w:bCs/>
                <w:spacing w:val="10"/>
              </w:rPr>
              <w:t>2022年度财务报表审计项目</w:t>
            </w:r>
            <w:r>
              <w:rPr>
                <w:spacing w:val="10"/>
              </w:rPr>
              <w:t>中</w:t>
            </w:r>
            <w:r>
              <w:rPr>
                <w:spacing w:val="5"/>
              </w:rPr>
              <w:t xml:space="preserve"> </w:t>
            </w:r>
            <w:r>
              <w:rPr>
                <w:spacing w:val="7"/>
              </w:rPr>
              <w:t>存在问题。</w:t>
            </w:r>
          </w:p>
        </w:tc>
      </w:tr>
      <w:tr>
        <w:trPr>
          <w:trHeight w:val="1083" w:hRule="atLeast"/>
        </w:trPr>
        <w:tc>
          <w:tcPr>
            <w:tcW w:w="8967" w:type="dxa"/>
            <w:vAlign w:val="top"/>
            <w:gridSpan w:val="3"/>
          </w:tcPr>
          <w:p>
            <w:pPr>
              <w:pStyle w:val="TableText"/>
              <w:ind w:left="107" w:right="104" w:firstLine="15"/>
              <w:spacing w:before="236" w:line="242" w:lineRule="auto"/>
              <w:rPr/>
            </w:pPr>
            <w:r>
              <w:rPr>
                <w:b/>
                <w:bCs/>
                <w:spacing w:val="13"/>
              </w:rPr>
              <w:t>【行政监管措施】</w:t>
            </w:r>
            <w:r>
              <w:rPr>
                <w:spacing w:val="13"/>
              </w:rPr>
              <w:t>中国证券监督管理委员会内蒙古监管局决定对信永中和</w:t>
            </w:r>
            <w:r>
              <w:rPr>
                <w:spacing w:val="12"/>
              </w:rPr>
              <w:t>会计师事务所（特殊</w:t>
            </w:r>
            <w:r>
              <w:rPr/>
              <w:t xml:space="preserve"> </w:t>
            </w:r>
            <w:r>
              <w:rPr>
                <w:spacing w:val="8"/>
              </w:rPr>
              <w:t>普通合伙）</w:t>
            </w:r>
            <w:r>
              <w:rPr>
                <w:spacing w:val="-25"/>
              </w:rPr>
              <w:t xml:space="preserve"> </w:t>
            </w:r>
            <w:r>
              <w:rPr>
                <w:spacing w:val="8"/>
              </w:rPr>
              <w:t>、注册会计师采取出具警示函的监督管理措施。</w:t>
            </w:r>
          </w:p>
        </w:tc>
      </w:tr>
      <w:tr>
        <w:trPr>
          <w:trHeight w:val="965" w:hRule="atLeast"/>
        </w:trPr>
        <w:tc>
          <w:tcPr>
            <w:shd w:val="clear" w:fill="B8CCE4"/>
            <w:tcW w:w="1607" w:type="dxa"/>
            <w:vAlign w:val="top"/>
          </w:tcPr>
          <w:p>
            <w:pPr>
              <w:spacing w:line="33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33"/>
              <w:spacing w:before="86" w:line="178" w:lineRule="auto"/>
              <w:rPr/>
            </w:pPr>
            <w:r>
              <w:rPr>
                <w:spacing w:val="3"/>
              </w:rPr>
              <w:t>002688</w:t>
            </w:r>
          </w:p>
        </w:tc>
        <w:tc>
          <w:tcPr>
            <w:shd w:val="clear" w:fill="B8CCE4"/>
            <w:tcW w:w="1560" w:type="dxa"/>
            <w:vAlign w:val="top"/>
          </w:tcPr>
          <w:p>
            <w:pPr>
              <w:spacing w:line="31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49"/>
              <w:spacing w:before="86" w:line="189" w:lineRule="auto"/>
              <w:rPr/>
            </w:pPr>
            <w:r>
              <w:rPr>
                <w:spacing w:val="9"/>
              </w:rPr>
              <w:t>金河生物</w:t>
            </w:r>
          </w:p>
        </w:tc>
        <w:tc>
          <w:tcPr>
            <w:shd w:val="clear" w:fill="B8CCE4"/>
            <w:tcW w:w="5800" w:type="dxa"/>
            <w:vAlign w:val="top"/>
          </w:tcPr>
          <w:p>
            <w:pPr>
              <w:pStyle w:val="TableText"/>
              <w:ind w:left="101" w:right="103" w:hanging="1"/>
              <w:spacing w:before="222" w:line="221" w:lineRule="auto"/>
              <w:rPr/>
            </w:pPr>
            <w:r>
              <w:rPr>
                <w:spacing w:val="9"/>
              </w:rPr>
              <w:t>金河生物科技股份有限公司多名高管累计向公司借款400.5万</w:t>
            </w:r>
            <w:r>
              <w:rPr>
                <w:spacing w:val="1"/>
              </w:rPr>
              <w:t xml:space="preserve"> </w:t>
            </w:r>
            <w:r>
              <w:rPr>
                <w:spacing w:val="6"/>
              </w:rPr>
              <w:t>元</w:t>
            </w:r>
            <w:r>
              <w:rPr>
                <w:spacing w:val="-27"/>
              </w:rPr>
              <w:t xml:space="preserve"> </w:t>
            </w:r>
            <w:r>
              <w:rPr>
                <w:spacing w:val="6"/>
              </w:rPr>
              <w:t>，构成</w:t>
            </w:r>
            <w:r>
              <w:rPr>
                <w:b/>
                <w:bCs/>
                <w:spacing w:val="6"/>
              </w:rPr>
              <w:t>关联方资金占用。</w:t>
            </w:r>
          </w:p>
        </w:tc>
      </w:tr>
      <w:tr>
        <w:trPr>
          <w:trHeight w:val="1532" w:hRule="atLeast"/>
        </w:trPr>
        <w:tc>
          <w:tcPr>
            <w:tcW w:w="8967" w:type="dxa"/>
            <w:vAlign w:val="top"/>
            <w:gridSpan w:val="3"/>
          </w:tcPr>
          <w:p>
            <w:pPr>
              <w:pStyle w:val="TableText"/>
              <w:ind w:left="106" w:right="104" w:firstLine="15"/>
              <w:spacing w:before="283" w:line="241" w:lineRule="auto"/>
              <w:rPr/>
            </w:pPr>
            <w:r>
              <w:rPr>
                <w:b/>
                <w:bCs/>
                <w:spacing w:val="13"/>
              </w:rPr>
              <w:t>【行政监管措施】</w:t>
            </w:r>
            <w:r>
              <w:rPr>
                <w:spacing w:val="13"/>
              </w:rPr>
              <w:t>中国证券监督管理委员会内蒙古监管局决定对金河生物</w:t>
            </w:r>
            <w:r>
              <w:rPr>
                <w:spacing w:val="12"/>
              </w:rPr>
              <w:t>科技股份有限公司、</w:t>
            </w:r>
            <w:r>
              <w:rPr/>
              <w:t xml:space="preserve"> </w:t>
            </w:r>
            <w:r>
              <w:rPr>
                <w:spacing w:val="13"/>
              </w:rPr>
              <w:t>董事长王某晓、高管路某漫、高管刘某春、高管王某生、高管菅某生、高管云某报、高管关某</w:t>
            </w:r>
            <w:r>
              <w:rPr>
                <w:spacing w:val="7"/>
              </w:rPr>
              <w:t xml:space="preserve"> </w:t>
            </w:r>
            <w:r>
              <w:rPr>
                <w:spacing w:val="9"/>
              </w:rPr>
              <w:t>贞、高管姚某雄采取出具警示函的行政监管措施</w:t>
            </w:r>
            <w:r>
              <w:rPr>
                <w:spacing w:val="-27"/>
              </w:rPr>
              <w:t xml:space="preserve"> </w:t>
            </w:r>
            <w:r>
              <w:rPr>
                <w:spacing w:val="9"/>
              </w:rPr>
              <w:t>，并</w:t>
            </w:r>
            <w:r>
              <w:rPr>
                <w:spacing w:val="8"/>
              </w:rPr>
              <w:t>记入证券期货市场诚信档案。</w:t>
            </w:r>
          </w:p>
        </w:tc>
      </w:tr>
    </w:tbl>
    <w:p>
      <w:pPr>
        <w:pStyle w:val="BodyText"/>
        <w:spacing w:line="14" w:lineRule="auto"/>
        <w:rPr>
          <w:sz w:val="2"/>
        </w:rPr>
      </w:pPr>
      <w:r/>
    </w:p>
    <w:p>
      <w:pPr>
        <w:spacing w:line="14" w:lineRule="auto"/>
        <w:sectPr>
          <w:pgSz w:w="11910" w:h="16840"/>
          <w:pgMar w:top="400" w:right="1612" w:bottom="370" w:left="1315" w:header="0" w:footer="0" w:gutter="0"/>
        </w:sectPr>
        <w:rPr>
          <w:sz w:val="2"/>
          <w:szCs w:val="2"/>
        </w:rPr>
      </w:pPr>
    </w:p>
    <w:tbl>
      <w:tblPr>
        <w:tblStyle w:val="TableNormal"/>
        <w:tblW w:w="8967" w:type="dxa"/>
        <w:tblInd w:w="7" w:type="dxa"/>
        <w:tblLayout w:type="fixed"/>
        <w:tblBorders>
          <w:top w:val="single" w:color="4F81BD" w:sz="6" w:space="0"/>
          <w:left w:val="single" w:color="4F81BD" w:sz="6" w:space="0"/>
          <w:bottom w:val="single" w:color="4F81BD" w:sz="6" w:space="0"/>
          <w:right w:val="single" w:color="4F81BD" w:sz="6" w:space="0"/>
          <w:insideH w:val="single" w:color="4F81BD" w:sz="6" w:space="0"/>
          <w:insideV w:val="single" w:color="4F81BD" w:sz="6" w:space="0"/>
        </w:tblBorders>
      </w:tblPr>
      <w:tblGrid>
        <w:gridCol w:w="1607"/>
        <w:gridCol w:w="1560"/>
        <w:gridCol w:w="5800"/>
      </w:tblGrid>
      <w:tr>
        <w:trPr>
          <w:trHeight w:val="5049" w:hRule="atLeast"/>
        </w:trPr>
        <w:tc>
          <w:tcPr>
            <w:shd w:val="clear" w:fill="B8CCE4"/>
            <w:tcW w:w="1607" w:type="dxa"/>
            <w:vAlign w:val="top"/>
          </w:tcPr>
          <w:p>
            <w:pPr>
              <w:spacing w:line="260" w:lineRule="auto"/>
              <w:rPr>
                <w:rFonts w:ascii="Arial"/>
                <w:sz w:val="21"/>
              </w:rPr>
            </w:pPr>
            <w:r/>
          </w:p>
          <w:p>
            <w:pPr>
              <w:spacing w:line="260" w:lineRule="auto"/>
              <w:rPr>
                <w:rFonts w:ascii="Arial"/>
                <w:sz w:val="21"/>
              </w:rPr>
            </w:pPr>
            <w:r/>
          </w:p>
          <w:p>
            <w:pPr>
              <w:spacing w:line="261" w:lineRule="auto"/>
              <w:rPr>
                <w:rFonts w:ascii="Arial"/>
                <w:sz w:val="21"/>
              </w:rPr>
            </w:pPr>
            <w:r/>
          </w:p>
          <w:p>
            <w:pPr>
              <w:spacing w:line="261" w:lineRule="auto"/>
              <w:rPr>
                <w:rFonts w:ascii="Arial"/>
                <w:sz w:val="21"/>
              </w:rPr>
            </w:pPr>
            <w:r/>
          </w:p>
          <w:p>
            <w:pPr>
              <w:spacing w:line="261" w:lineRule="auto"/>
              <w:rPr>
                <w:rFonts w:ascii="Arial"/>
                <w:sz w:val="21"/>
              </w:rPr>
            </w:pPr>
            <w:r/>
          </w:p>
          <w:p>
            <w:pPr>
              <w:spacing w:line="261" w:lineRule="auto"/>
              <w:rPr>
                <w:rFonts w:ascii="Arial"/>
                <w:sz w:val="21"/>
              </w:rPr>
            </w:pPr>
            <w:r/>
          </w:p>
          <w:p>
            <w:pPr>
              <w:spacing w:line="261" w:lineRule="auto"/>
              <w:rPr>
                <w:rFonts w:ascii="Arial"/>
                <w:sz w:val="21"/>
              </w:rPr>
            </w:pPr>
            <w:r/>
          </w:p>
          <w:p>
            <w:pPr>
              <w:spacing w:line="261" w:lineRule="auto"/>
              <w:rPr>
                <w:rFonts w:ascii="Arial"/>
                <w:sz w:val="21"/>
              </w:rPr>
            </w:pPr>
            <w:r/>
          </w:p>
          <w:p>
            <w:pPr>
              <w:spacing w:line="26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33"/>
              <w:spacing w:before="85" w:line="178" w:lineRule="auto"/>
              <w:rPr/>
            </w:pPr>
            <w:r>
              <w:rPr>
                <w:spacing w:val="3"/>
              </w:rPr>
              <w:t>000767</w:t>
            </w:r>
          </w:p>
        </w:tc>
        <w:tc>
          <w:tcPr>
            <w:shd w:val="clear" w:fill="B8CCE4"/>
            <w:tcW w:w="1560" w:type="dxa"/>
            <w:vAlign w:val="top"/>
          </w:tcPr>
          <w:p>
            <w:pPr>
              <w:spacing w:line="259" w:lineRule="auto"/>
              <w:rPr>
                <w:rFonts w:ascii="Arial"/>
                <w:sz w:val="21"/>
              </w:rPr>
            </w:pPr>
            <w:r/>
          </w:p>
          <w:p>
            <w:pPr>
              <w:spacing w:line="259" w:lineRule="auto"/>
              <w:rPr>
                <w:rFonts w:ascii="Arial"/>
                <w:sz w:val="21"/>
              </w:rPr>
            </w:pPr>
            <w:r/>
          </w:p>
          <w:p>
            <w:pPr>
              <w:spacing w:line="259" w:lineRule="auto"/>
              <w:rPr>
                <w:rFonts w:ascii="Arial"/>
                <w:sz w:val="21"/>
              </w:rPr>
            </w:pPr>
            <w:r/>
          </w:p>
          <w:p>
            <w:pPr>
              <w:spacing w:line="259" w:lineRule="auto"/>
              <w:rPr>
                <w:rFonts w:ascii="Arial"/>
                <w:sz w:val="21"/>
              </w:rPr>
            </w:pPr>
            <w:r/>
          </w:p>
          <w:p>
            <w:pPr>
              <w:spacing w:line="259" w:lineRule="auto"/>
              <w:rPr>
                <w:rFonts w:ascii="Arial"/>
                <w:sz w:val="21"/>
              </w:rPr>
            </w:pPr>
            <w:r/>
          </w:p>
          <w:p>
            <w:pPr>
              <w:spacing w:line="259" w:lineRule="auto"/>
              <w:rPr>
                <w:rFonts w:ascii="Arial"/>
                <w:sz w:val="21"/>
              </w:rPr>
            </w:pPr>
            <w:r/>
          </w:p>
          <w:p>
            <w:pPr>
              <w:spacing w:line="259" w:lineRule="auto"/>
              <w:rPr>
                <w:rFonts w:ascii="Arial"/>
                <w:sz w:val="21"/>
              </w:rPr>
            </w:pPr>
            <w:r/>
          </w:p>
          <w:p>
            <w:pPr>
              <w:spacing w:line="259" w:lineRule="auto"/>
              <w:rPr>
                <w:rFonts w:ascii="Arial"/>
                <w:sz w:val="21"/>
              </w:rPr>
            </w:pPr>
            <w:r/>
          </w:p>
          <w:p>
            <w:pPr>
              <w:spacing w:line="26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55"/>
              <w:spacing w:before="86" w:line="189" w:lineRule="auto"/>
              <w:rPr/>
            </w:pPr>
            <w:r>
              <w:rPr>
                <w:spacing w:val="7"/>
              </w:rPr>
              <w:t>晋控电力</w:t>
            </w:r>
          </w:p>
        </w:tc>
        <w:tc>
          <w:tcPr>
            <w:shd w:val="clear" w:fill="B8CCE4"/>
            <w:tcW w:w="5800" w:type="dxa"/>
            <w:vAlign w:val="top"/>
          </w:tcPr>
          <w:p>
            <w:pPr>
              <w:pStyle w:val="TableText"/>
              <w:ind w:left="99" w:right="103" w:firstLine="3"/>
              <w:spacing w:before="94" w:line="247" w:lineRule="auto"/>
              <w:rPr/>
            </w:pPr>
            <w:r>
              <w:rPr>
                <w:spacing w:val="13"/>
              </w:rPr>
              <w:t>部分董事会关联董事</w:t>
            </w:r>
            <w:r>
              <w:rPr>
                <w:b/>
                <w:bCs/>
                <w:spacing w:val="13"/>
              </w:rPr>
              <w:t>未回避表决且披露不准确</w:t>
            </w:r>
            <w:r>
              <w:rPr>
                <w:spacing w:val="13"/>
              </w:rPr>
              <w:t>；</w:t>
            </w:r>
            <w:r>
              <w:rPr>
                <w:spacing w:val="-20"/>
              </w:rPr>
              <w:t xml:space="preserve"> </w:t>
            </w:r>
            <w:r>
              <w:rPr>
                <w:spacing w:val="13"/>
              </w:rPr>
              <w:t>公司内幕信</w:t>
            </w:r>
            <w:r>
              <w:rPr/>
              <w:t xml:space="preserve"> </w:t>
            </w:r>
            <w:r>
              <w:rPr>
                <w:spacing w:val="13"/>
              </w:rPr>
              <w:t>息知情人登记管理制度中</w:t>
            </w:r>
            <w:r>
              <w:rPr>
                <w:spacing w:val="-17"/>
              </w:rPr>
              <w:t xml:space="preserve"> </w:t>
            </w:r>
            <w:r>
              <w:rPr>
                <w:spacing w:val="13"/>
              </w:rPr>
              <w:t>，关于内幕信息范围、主要责任人</w:t>
            </w:r>
            <w:r>
              <w:rPr/>
              <w:t xml:space="preserve"> </w:t>
            </w:r>
            <w:r>
              <w:rPr>
                <w:spacing w:val="14"/>
              </w:rPr>
              <w:t>、档案保存年限、能够实施重大影响的参股公司内幕信息管</w:t>
            </w:r>
            <w:r>
              <w:rPr>
                <w:spacing w:val="16"/>
              </w:rPr>
              <w:t xml:space="preserve"> </w:t>
            </w:r>
            <w:r>
              <w:rPr>
                <w:spacing w:val="14"/>
              </w:rPr>
              <w:t>理、对内幕信息知情人买卖本公司股票进行自查及责任追究</w:t>
            </w:r>
            <w:r>
              <w:rPr>
                <w:spacing w:val="16"/>
              </w:rPr>
              <w:t xml:space="preserve"> </w:t>
            </w:r>
            <w:r>
              <w:rPr>
                <w:spacing w:val="13"/>
              </w:rPr>
              <w:t>机制相关内容不规范</w:t>
            </w:r>
            <w:r>
              <w:rPr>
                <w:spacing w:val="-17"/>
              </w:rPr>
              <w:t xml:space="preserve"> </w:t>
            </w:r>
            <w:r>
              <w:rPr>
                <w:spacing w:val="13"/>
              </w:rPr>
              <w:t>，且内幕信息知情人登记事项未经知情</w:t>
            </w:r>
            <w:r>
              <w:rPr/>
              <w:t xml:space="preserve"> </w:t>
            </w:r>
            <w:r>
              <w:rPr>
                <w:spacing w:val="14"/>
              </w:rPr>
              <w:t>人确认、未登记董事及经理层人员变动情况、未对内幕信息</w:t>
            </w:r>
            <w:r>
              <w:rPr>
                <w:spacing w:val="16"/>
              </w:rPr>
              <w:t xml:space="preserve"> </w:t>
            </w:r>
            <w:r>
              <w:rPr>
                <w:spacing w:val="13"/>
              </w:rPr>
              <w:t>知情人买卖本公司股票进行过自查</w:t>
            </w:r>
            <w:r>
              <w:rPr>
                <w:spacing w:val="-17"/>
              </w:rPr>
              <w:t xml:space="preserve"> </w:t>
            </w:r>
            <w:r>
              <w:rPr>
                <w:spacing w:val="13"/>
              </w:rPr>
              <w:t>，反映出公司</w:t>
            </w:r>
            <w:r>
              <w:rPr>
                <w:b/>
                <w:bCs/>
                <w:spacing w:val="13"/>
              </w:rPr>
              <w:t>未严格执行</w:t>
            </w:r>
            <w:r>
              <w:rPr>
                <w:b/>
                <w:bCs/>
              </w:rPr>
              <w:t xml:space="preserve"> </w:t>
            </w:r>
            <w:r>
              <w:rPr>
                <w:b/>
                <w:bCs/>
                <w:spacing w:val="13"/>
              </w:rPr>
              <w:t>证监会内幕信息知情人登记管理制度</w:t>
            </w:r>
            <w:r>
              <w:rPr>
                <w:spacing w:val="13"/>
              </w:rPr>
              <w:t>；</w:t>
            </w:r>
            <w:r>
              <w:rPr>
                <w:spacing w:val="-17"/>
              </w:rPr>
              <w:t xml:space="preserve"> </w:t>
            </w:r>
            <w:r>
              <w:rPr>
                <w:spacing w:val="13"/>
              </w:rPr>
              <w:t>公司部分</w:t>
            </w:r>
            <w:r>
              <w:rPr>
                <w:b/>
                <w:bCs/>
                <w:spacing w:val="13"/>
              </w:rPr>
              <w:t>担保事项审</w:t>
            </w:r>
            <w:r>
              <w:rPr>
                <w:b/>
                <w:bCs/>
              </w:rPr>
              <w:t xml:space="preserve"> </w:t>
            </w:r>
            <w:r>
              <w:rPr>
                <w:b/>
                <w:bCs/>
                <w:spacing w:val="11"/>
              </w:rPr>
              <w:t>议程序滞后</w:t>
            </w:r>
            <w:r>
              <w:rPr>
                <w:b/>
                <w:bCs/>
                <w:spacing w:val="-11"/>
              </w:rPr>
              <w:t xml:space="preserve"> </w:t>
            </w:r>
            <w:r>
              <w:rPr>
                <w:spacing w:val="11"/>
              </w:rPr>
              <w:t>，未经董事会或股东大会审议通过即实施担保；</w:t>
            </w:r>
            <w:r>
              <w:rPr/>
              <w:t xml:space="preserve">  </w:t>
            </w:r>
            <w:r>
              <w:rPr>
                <w:spacing w:val="14"/>
              </w:rPr>
              <w:t>未及时对</w:t>
            </w:r>
            <w:r>
              <w:rPr>
                <w:b/>
                <w:bCs/>
                <w:spacing w:val="14"/>
              </w:rPr>
              <w:t>新增和超出预计额度的部分关联交易</w:t>
            </w:r>
            <w:r>
              <w:rPr>
                <w:spacing w:val="14"/>
              </w:rPr>
              <w:t>履行审议程序</w:t>
            </w:r>
            <w:r>
              <w:rPr>
                <w:spacing w:val="16"/>
              </w:rPr>
              <w:t xml:space="preserve"> </w:t>
            </w:r>
            <w:r>
              <w:rPr>
                <w:spacing w:val="14"/>
              </w:rPr>
              <w:t>和披露义务；</w:t>
            </w:r>
            <w:r>
              <w:rPr>
                <w:spacing w:val="-36"/>
              </w:rPr>
              <w:t xml:space="preserve"> </w:t>
            </w:r>
            <w:r>
              <w:rPr>
                <w:spacing w:val="14"/>
              </w:rPr>
              <w:t>公司向控股股东晋能控股煤业</w:t>
            </w:r>
            <w:r>
              <w:rPr>
                <w:spacing w:val="13"/>
              </w:rPr>
              <w:t>集团有限公司借</w:t>
            </w:r>
            <w:r>
              <w:rPr/>
              <w:t xml:space="preserve"> </w:t>
            </w:r>
            <w:r>
              <w:rPr>
                <w:spacing w:val="8"/>
              </w:rPr>
              <w:t>入资金3.5亿元</w:t>
            </w:r>
            <w:r>
              <w:rPr>
                <w:spacing w:val="-24"/>
              </w:rPr>
              <w:t xml:space="preserve"> </w:t>
            </w:r>
            <w:r>
              <w:rPr>
                <w:spacing w:val="8"/>
              </w:rPr>
              <w:t>，至2022年3月偿还</w:t>
            </w:r>
            <w:r>
              <w:rPr>
                <w:spacing w:val="-26"/>
              </w:rPr>
              <w:t xml:space="preserve"> </w:t>
            </w:r>
            <w:r>
              <w:rPr>
                <w:spacing w:val="8"/>
              </w:rPr>
              <w:t>，该笔</w:t>
            </w:r>
            <w:r>
              <w:rPr>
                <w:b/>
                <w:bCs/>
                <w:spacing w:val="8"/>
              </w:rPr>
              <w:t>资金拆借业务</w:t>
            </w:r>
            <w:r>
              <w:rPr>
                <w:spacing w:val="8"/>
              </w:rPr>
              <w:t>未履</w:t>
            </w:r>
            <w:r>
              <w:rPr/>
              <w:t xml:space="preserve"> </w:t>
            </w:r>
            <w:r>
              <w:rPr>
                <w:spacing w:val="13"/>
              </w:rPr>
              <w:t>行审议程序和披露义务；</w:t>
            </w:r>
            <w:r>
              <w:rPr>
                <w:spacing w:val="-20"/>
              </w:rPr>
              <w:t xml:space="preserve"> </w:t>
            </w:r>
            <w:r>
              <w:rPr>
                <w:spacing w:val="13"/>
              </w:rPr>
              <w:t>2022年年报、</w:t>
            </w:r>
            <w:r>
              <w:rPr>
                <w:spacing w:val="-29"/>
              </w:rPr>
              <w:t xml:space="preserve"> </w:t>
            </w:r>
            <w:r>
              <w:rPr>
                <w:spacing w:val="13"/>
              </w:rPr>
              <w:t>2023年</w:t>
            </w:r>
            <w:r>
              <w:rPr>
                <w:spacing w:val="12"/>
              </w:rPr>
              <w:t>半年报对部</w:t>
            </w:r>
            <w:r>
              <w:rPr/>
              <w:t xml:space="preserve"> </w:t>
            </w:r>
            <w:r>
              <w:rPr>
                <w:spacing w:val="9"/>
              </w:rPr>
              <w:t>分担保事项的</w:t>
            </w:r>
            <w:r>
              <w:rPr>
                <w:b/>
                <w:bCs/>
                <w:spacing w:val="9"/>
              </w:rPr>
              <w:t>担保对象或担保日期</w:t>
            </w:r>
            <w:r>
              <w:rPr>
                <w:spacing w:val="9"/>
              </w:rPr>
              <w:t>相关信息披露不准确。</w:t>
            </w:r>
          </w:p>
        </w:tc>
      </w:tr>
      <w:tr>
        <w:trPr>
          <w:trHeight w:val="1084" w:hRule="atLeast"/>
        </w:trPr>
        <w:tc>
          <w:tcPr>
            <w:tcW w:w="8967" w:type="dxa"/>
            <w:vAlign w:val="top"/>
            <w:gridSpan w:val="3"/>
          </w:tcPr>
          <w:p>
            <w:pPr>
              <w:pStyle w:val="TableText"/>
              <w:ind w:left="105" w:right="104" w:firstLine="16"/>
              <w:spacing w:before="44"/>
              <w:jc w:val="both"/>
              <w:rPr/>
            </w:pPr>
            <w:r>
              <w:rPr>
                <w:b/>
                <w:bCs/>
                <w:spacing w:val="13"/>
              </w:rPr>
              <w:t>【行政监管措施】</w:t>
            </w:r>
            <w:r>
              <w:rPr>
                <w:spacing w:val="13"/>
              </w:rPr>
              <w:t>中国证券监督管理委员会山西监管局决定对晋能控股山</w:t>
            </w:r>
            <w:r>
              <w:rPr>
                <w:spacing w:val="12"/>
              </w:rPr>
              <w:t>西电力股份有限公司</w:t>
            </w:r>
            <w:r>
              <w:rPr/>
              <w:t xml:space="preserve"> </w:t>
            </w:r>
            <w:r>
              <w:rPr>
                <w:spacing w:val="11"/>
              </w:rPr>
              <w:t>、</w:t>
            </w:r>
            <w:r>
              <w:rPr>
                <w:spacing w:val="-36"/>
              </w:rPr>
              <w:t xml:space="preserve"> </w:t>
            </w:r>
            <w:r>
              <w:rPr>
                <w:spacing w:val="11"/>
              </w:rPr>
              <w:t>时任董事长刘某彦、</w:t>
            </w:r>
            <w:r>
              <w:rPr>
                <w:spacing w:val="-37"/>
              </w:rPr>
              <w:t xml:space="preserve"> </w:t>
            </w:r>
            <w:r>
              <w:rPr>
                <w:spacing w:val="11"/>
              </w:rPr>
              <w:t>时任董事长刘某成、</w:t>
            </w:r>
            <w:r>
              <w:rPr>
                <w:spacing w:val="-37"/>
              </w:rPr>
              <w:t xml:space="preserve"> </w:t>
            </w:r>
            <w:r>
              <w:rPr>
                <w:spacing w:val="11"/>
              </w:rPr>
              <w:t>时任总经理史某文、</w:t>
            </w:r>
            <w:r>
              <w:rPr>
                <w:spacing w:val="-37"/>
              </w:rPr>
              <w:t xml:space="preserve"> </w:t>
            </w:r>
            <w:r>
              <w:rPr>
                <w:spacing w:val="11"/>
              </w:rPr>
              <w:t>时任董事会秘书赵某阳采取出</w:t>
            </w:r>
            <w:r>
              <w:rPr/>
              <w:t xml:space="preserve"> </w:t>
            </w:r>
            <w:r>
              <w:rPr>
                <w:spacing w:val="8"/>
              </w:rPr>
              <w:t>具警示函的监督管理措施</w:t>
            </w:r>
            <w:r>
              <w:rPr>
                <w:spacing w:val="-23"/>
              </w:rPr>
              <w:t xml:space="preserve"> </w:t>
            </w:r>
            <w:r>
              <w:rPr>
                <w:spacing w:val="8"/>
              </w:rPr>
              <w:t>，并记入证券期货市场诚信档案。</w:t>
            </w:r>
          </w:p>
        </w:tc>
      </w:tr>
      <w:tr>
        <w:trPr>
          <w:trHeight w:val="2254" w:hRule="atLeast"/>
        </w:trPr>
        <w:tc>
          <w:tcPr>
            <w:shd w:val="clear" w:fill="B8CCE4"/>
            <w:tcW w:w="160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  <w:p>
            <w:pPr>
              <w:rPr>
                <w:rFonts w:ascii="Arial"/>
                <w:sz w:val="21"/>
              </w:rPr>
            </w:pPr>
            <w:r/>
          </w:p>
          <w:p>
            <w:pPr>
              <w:rPr>
                <w:rFonts w:ascii="Arial"/>
                <w:sz w:val="21"/>
              </w:rPr>
            </w:pPr>
            <w:r/>
          </w:p>
          <w:p>
            <w:pPr>
              <w:spacing w:line="24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33"/>
              <w:spacing w:before="86" w:line="178" w:lineRule="auto"/>
              <w:rPr/>
            </w:pPr>
            <w:r>
              <w:rPr>
                <w:spacing w:val="3"/>
              </w:rPr>
              <w:t>000728</w:t>
            </w:r>
          </w:p>
        </w:tc>
        <w:tc>
          <w:tcPr>
            <w:shd w:val="clear" w:fill="B8CCE4"/>
            <w:tcW w:w="1560" w:type="dxa"/>
            <w:vAlign w:val="top"/>
          </w:tcPr>
          <w:p>
            <w:pPr>
              <w:spacing w:line="316" w:lineRule="auto"/>
              <w:rPr>
                <w:rFonts w:ascii="Arial"/>
                <w:sz w:val="21"/>
              </w:rPr>
            </w:pPr>
            <w:r/>
          </w:p>
          <w:p>
            <w:pPr>
              <w:spacing w:line="316" w:lineRule="auto"/>
              <w:rPr>
                <w:rFonts w:ascii="Arial"/>
                <w:sz w:val="21"/>
              </w:rPr>
            </w:pPr>
            <w:r/>
          </w:p>
          <w:p>
            <w:pPr>
              <w:spacing w:line="31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63"/>
              <w:spacing w:before="86" w:line="188" w:lineRule="auto"/>
              <w:rPr/>
            </w:pPr>
            <w:r>
              <w:rPr>
                <w:spacing w:val="5"/>
              </w:rPr>
              <w:t>国元证券</w:t>
            </w:r>
          </w:p>
        </w:tc>
        <w:tc>
          <w:tcPr>
            <w:shd w:val="clear" w:fill="B8CCE4"/>
            <w:tcW w:w="5800" w:type="dxa"/>
            <w:vAlign w:val="top"/>
          </w:tcPr>
          <w:p>
            <w:pPr>
              <w:pStyle w:val="TableText"/>
              <w:ind w:left="99" w:right="103" w:firstLine="1"/>
              <w:spacing w:before="132" w:line="242" w:lineRule="auto"/>
              <w:rPr/>
            </w:pPr>
            <w:r>
              <w:rPr>
                <w:spacing w:val="11"/>
              </w:rPr>
              <w:t>廉洁从业管理存在不足</w:t>
            </w:r>
            <w:r>
              <w:rPr>
                <w:spacing w:val="-2"/>
              </w:rPr>
              <w:t xml:space="preserve"> </w:t>
            </w:r>
            <w:r>
              <w:rPr>
                <w:spacing w:val="11"/>
              </w:rPr>
              <w:t>，部分岗位人员出现廉洁从业风险</w:t>
            </w:r>
            <w:r>
              <w:rPr>
                <w:spacing w:val="-23"/>
              </w:rPr>
              <w:t xml:space="preserve"> </w:t>
            </w:r>
            <w:r>
              <w:rPr>
                <w:spacing w:val="11"/>
              </w:rPr>
              <w:t>，</w:t>
            </w:r>
            <w:r>
              <w:rPr/>
              <w:t xml:space="preserve"> </w:t>
            </w:r>
            <w:r>
              <w:rPr>
                <w:spacing w:val="14"/>
              </w:rPr>
              <w:t>个别廉洁从业风险线索未按期报告；</w:t>
            </w:r>
            <w:r>
              <w:rPr>
                <w:spacing w:val="-36"/>
              </w:rPr>
              <w:t xml:space="preserve"> </w:t>
            </w:r>
            <w:r>
              <w:rPr>
                <w:spacing w:val="14"/>
              </w:rPr>
              <w:t>未在承</w:t>
            </w:r>
            <w:r>
              <w:rPr>
                <w:spacing w:val="13"/>
              </w:rPr>
              <w:t>诺期限内完成个</w:t>
            </w:r>
            <w:r>
              <w:rPr/>
              <w:t xml:space="preserve"> </w:t>
            </w:r>
            <w:r>
              <w:rPr>
                <w:spacing w:val="14"/>
              </w:rPr>
              <w:t>别直投项目股权清理工作；</w:t>
            </w:r>
            <w:r>
              <w:rPr>
                <w:spacing w:val="-36"/>
              </w:rPr>
              <w:t xml:space="preserve"> </w:t>
            </w:r>
            <w:r>
              <w:rPr>
                <w:spacing w:val="14"/>
              </w:rPr>
              <w:t>发布证券研究报</w:t>
            </w:r>
            <w:r>
              <w:rPr>
                <w:spacing w:val="13"/>
              </w:rPr>
              <w:t>告业务管理制度</w:t>
            </w:r>
            <w:r>
              <w:rPr/>
              <w:t xml:space="preserve"> </w:t>
            </w:r>
            <w:r>
              <w:rPr>
                <w:spacing w:val="13"/>
              </w:rPr>
              <w:t>不够完善</w:t>
            </w:r>
            <w:r>
              <w:rPr>
                <w:spacing w:val="-17"/>
              </w:rPr>
              <w:t xml:space="preserve"> </w:t>
            </w:r>
            <w:r>
              <w:rPr>
                <w:spacing w:val="13"/>
              </w:rPr>
              <w:t>，个别研究报告制作不够审慎、质量控制审核把关</w:t>
            </w:r>
            <w:r>
              <w:rPr/>
              <w:t xml:space="preserve"> </w:t>
            </w:r>
            <w:r>
              <w:rPr>
                <w:spacing w:val="12"/>
              </w:rPr>
              <w:t>不够严格、</w:t>
            </w:r>
            <w:r>
              <w:rPr>
                <w:spacing w:val="-14"/>
              </w:rPr>
              <w:t xml:space="preserve"> </w:t>
            </w:r>
            <w:r>
              <w:rPr>
                <w:spacing w:val="12"/>
              </w:rPr>
              <w:t>内控流程存在瑕疵；</w:t>
            </w:r>
            <w:r>
              <w:rPr>
                <w:spacing w:val="-36"/>
              </w:rPr>
              <w:t xml:space="preserve"> </w:t>
            </w:r>
            <w:r>
              <w:rPr>
                <w:spacing w:val="12"/>
              </w:rPr>
              <w:t>未及时对信息系统故障进行</w:t>
            </w:r>
            <w:r>
              <w:rPr/>
              <w:t xml:space="preserve"> </w:t>
            </w:r>
            <w:r>
              <w:rPr>
                <w:spacing w:val="7"/>
              </w:rPr>
              <w:t>应急报告。</w:t>
            </w:r>
          </w:p>
        </w:tc>
      </w:tr>
      <w:tr>
        <w:trPr>
          <w:trHeight w:val="965" w:hRule="atLeast"/>
        </w:trPr>
        <w:tc>
          <w:tcPr>
            <w:tcW w:w="8967" w:type="dxa"/>
            <w:vAlign w:val="top"/>
            <w:gridSpan w:val="3"/>
          </w:tcPr>
          <w:p>
            <w:pPr>
              <w:pStyle w:val="TableText"/>
              <w:ind w:left="107" w:right="104" w:firstLine="14"/>
              <w:spacing w:before="172" w:line="236" w:lineRule="auto"/>
              <w:rPr/>
            </w:pPr>
            <w:r>
              <w:rPr>
                <w:b/>
                <w:bCs/>
                <w:spacing w:val="13"/>
              </w:rPr>
              <w:t>【行政监管措施】</w:t>
            </w:r>
            <w:r>
              <w:rPr>
                <w:spacing w:val="13"/>
              </w:rPr>
              <w:t>中国证券监督管理委员会安徽监管局决定对国元证券股</w:t>
            </w:r>
            <w:r>
              <w:rPr>
                <w:spacing w:val="12"/>
              </w:rPr>
              <w:t>份有限公司采取出具</w:t>
            </w:r>
            <w:r>
              <w:rPr/>
              <w:t xml:space="preserve"> </w:t>
            </w:r>
            <w:r>
              <w:rPr>
                <w:spacing w:val="8"/>
              </w:rPr>
              <w:t>警示函的行政监管措施</w:t>
            </w:r>
            <w:r>
              <w:rPr>
                <w:spacing w:val="-25"/>
              </w:rPr>
              <w:t xml:space="preserve"> </w:t>
            </w:r>
            <w:r>
              <w:rPr>
                <w:spacing w:val="8"/>
              </w:rPr>
              <w:t>，并记入证券期货市场诚信</w:t>
            </w:r>
            <w:r>
              <w:rPr>
                <w:spacing w:val="7"/>
              </w:rPr>
              <w:t>档案。</w:t>
            </w:r>
          </w:p>
        </w:tc>
      </w:tr>
      <w:tr>
        <w:trPr>
          <w:trHeight w:val="904" w:hRule="atLeast"/>
        </w:trPr>
        <w:tc>
          <w:tcPr>
            <w:shd w:val="clear" w:fill="B8CCE4"/>
            <w:tcW w:w="1607" w:type="dxa"/>
            <w:vAlign w:val="top"/>
          </w:tcPr>
          <w:p>
            <w:pPr>
              <w:spacing w:line="29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36"/>
              <w:spacing w:before="85" w:line="178" w:lineRule="auto"/>
              <w:rPr/>
            </w:pPr>
            <w:r>
              <w:rPr>
                <w:spacing w:val="3"/>
              </w:rPr>
              <w:t>603603</w:t>
            </w:r>
          </w:p>
        </w:tc>
        <w:tc>
          <w:tcPr>
            <w:shd w:val="clear" w:fill="B8CCE4"/>
            <w:tcW w:w="1560" w:type="dxa"/>
            <w:vAlign w:val="top"/>
          </w:tcPr>
          <w:p>
            <w:pPr>
              <w:spacing w:line="28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99"/>
              <w:spacing w:before="86" w:line="188" w:lineRule="auto"/>
              <w:rPr/>
            </w:pPr>
            <w:r>
              <w:rPr>
                <w:spacing w:val="8"/>
              </w:rPr>
              <w:t>*</w:t>
            </w:r>
            <w:r>
              <w:rPr/>
              <w:t>ST</w:t>
            </w:r>
            <w:r>
              <w:rPr>
                <w:spacing w:val="8"/>
              </w:rPr>
              <w:t>博天</w:t>
            </w:r>
          </w:p>
        </w:tc>
        <w:tc>
          <w:tcPr>
            <w:shd w:val="clear" w:fill="B8CCE4"/>
            <w:tcW w:w="5800" w:type="dxa"/>
            <w:vAlign w:val="top"/>
          </w:tcPr>
          <w:p>
            <w:pPr>
              <w:pStyle w:val="TableText"/>
              <w:ind w:left="101" w:right="103"/>
              <w:spacing w:before="185" w:line="221" w:lineRule="auto"/>
              <w:rPr/>
            </w:pPr>
            <w:r>
              <w:rPr>
                <w:spacing w:val="6"/>
              </w:rPr>
              <w:t>博天环境2017年</w:t>
            </w:r>
            <w:r>
              <w:rPr>
                <w:spacing w:val="-16"/>
              </w:rPr>
              <w:t xml:space="preserve"> </w:t>
            </w:r>
            <w:r>
              <w:rPr>
                <w:spacing w:val="6"/>
              </w:rPr>
              <w:t>、</w:t>
            </w:r>
            <w:r>
              <w:rPr>
                <w:spacing w:val="-32"/>
              </w:rPr>
              <w:t xml:space="preserve"> </w:t>
            </w:r>
            <w:r>
              <w:rPr>
                <w:spacing w:val="6"/>
              </w:rPr>
              <w:t>2018年</w:t>
            </w:r>
            <w:r>
              <w:rPr>
                <w:spacing w:val="-34"/>
              </w:rPr>
              <w:t xml:space="preserve"> </w:t>
            </w:r>
            <w:r>
              <w:rPr>
                <w:spacing w:val="6"/>
              </w:rPr>
              <w:t>、</w:t>
            </w:r>
            <w:r>
              <w:rPr>
                <w:spacing w:val="-31"/>
              </w:rPr>
              <w:t xml:space="preserve"> </w:t>
            </w:r>
            <w:r>
              <w:rPr>
                <w:spacing w:val="6"/>
              </w:rPr>
              <w:t>2019年</w:t>
            </w:r>
            <w:r>
              <w:rPr>
                <w:spacing w:val="-35"/>
              </w:rPr>
              <w:t xml:space="preserve"> </w:t>
            </w:r>
            <w:r>
              <w:rPr>
                <w:spacing w:val="6"/>
              </w:rPr>
              <w:t>、</w:t>
            </w:r>
            <w:r>
              <w:rPr>
                <w:spacing w:val="-31"/>
              </w:rPr>
              <w:t xml:space="preserve"> </w:t>
            </w:r>
            <w:r>
              <w:rPr>
                <w:spacing w:val="6"/>
              </w:rPr>
              <w:t>2020年</w:t>
            </w:r>
            <w:r>
              <w:rPr>
                <w:spacing w:val="-35"/>
              </w:rPr>
              <w:t xml:space="preserve"> </w:t>
            </w:r>
            <w:r>
              <w:rPr>
                <w:spacing w:val="6"/>
              </w:rPr>
              <w:t>、</w:t>
            </w:r>
            <w:r>
              <w:rPr>
                <w:spacing w:val="-31"/>
              </w:rPr>
              <w:t xml:space="preserve"> </w:t>
            </w:r>
            <w:r>
              <w:rPr>
                <w:spacing w:val="6"/>
              </w:rPr>
              <w:t>2021年年</w:t>
            </w:r>
            <w:r>
              <w:rPr/>
              <w:t xml:space="preserve"> </w:t>
            </w:r>
            <w:r>
              <w:rPr>
                <w:spacing w:val="8"/>
              </w:rPr>
              <w:t>报、</w:t>
            </w:r>
            <w:r>
              <w:rPr>
                <w:spacing w:val="-36"/>
              </w:rPr>
              <w:t xml:space="preserve"> </w:t>
            </w:r>
            <w:r>
              <w:rPr>
                <w:spacing w:val="8"/>
              </w:rPr>
              <w:t>2022年度一季报、半年报、三季报</w:t>
            </w:r>
            <w:r>
              <w:rPr>
                <w:b/>
                <w:bCs/>
                <w:spacing w:val="8"/>
              </w:rPr>
              <w:t>信息披露不</w:t>
            </w:r>
            <w:r>
              <w:rPr>
                <w:b/>
                <w:bCs/>
                <w:spacing w:val="7"/>
              </w:rPr>
              <w:t>准确。</w:t>
            </w:r>
          </w:p>
        </w:tc>
      </w:tr>
      <w:tr>
        <w:trPr>
          <w:trHeight w:val="2162" w:hRule="atLeast"/>
        </w:trPr>
        <w:tc>
          <w:tcPr>
            <w:tcW w:w="8967" w:type="dxa"/>
            <w:vAlign w:val="top"/>
            <w:gridSpan w:val="3"/>
          </w:tcPr>
          <w:p>
            <w:pPr>
              <w:pStyle w:val="TableText"/>
              <w:ind w:left="104" w:right="104" w:firstLine="17"/>
              <w:spacing w:before="58" w:line="244" w:lineRule="auto"/>
              <w:jc w:val="both"/>
              <w:rPr/>
            </w:pPr>
            <w:r>
              <w:rPr>
                <w:b/>
                <w:bCs/>
                <w:spacing w:val="13"/>
              </w:rPr>
              <w:t>【行政监管措施】</w:t>
            </w:r>
            <w:r>
              <w:rPr>
                <w:spacing w:val="13"/>
              </w:rPr>
              <w:t>中国证券监督管理委员会北京监管局决定对时任董事、</w:t>
            </w:r>
            <w:r>
              <w:rPr>
                <w:spacing w:val="12"/>
              </w:rPr>
              <w:t>监事、高级管理人员</w:t>
            </w:r>
            <w:r>
              <w:rPr/>
              <w:t xml:space="preserve"> </w:t>
            </w:r>
            <w:r>
              <w:rPr>
                <w:spacing w:val="13"/>
              </w:rPr>
              <w:t>翟某、蔡某泼、王某艮、缪某塬、张某、张某久、刘某军、邹某文、窦某东、李某树、魏某锋</w:t>
            </w:r>
            <w:r>
              <w:rPr>
                <w:spacing w:val="9"/>
              </w:rPr>
              <w:t xml:space="preserve"> </w:t>
            </w:r>
            <w:r>
              <w:rPr>
                <w:spacing w:val="13"/>
              </w:rPr>
              <w:t>、余某、何某、方某、薛某勇、蒋某、吴某、王某军、刘某博、舒某斌、杨某、沈某薇、段某</w:t>
            </w:r>
            <w:r>
              <w:rPr>
                <w:spacing w:val="9"/>
              </w:rPr>
              <w:t xml:space="preserve"> </w:t>
            </w:r>
            <w:r>
              <w:rPr>
                <w:spacing w:val="12"/>
              </w:rPr>
              <w:t>春、黄某、黄某源、迟某、邵某涛、姬某彪、杜某、</w:t>
            </w:r>
            <w:r>
              <w:rPr>
                <w:spacing w:val="-9"/>
              </w:rPr>
              <w:t xml:space="preserve"> </w:t>
            </w:r>
            <w:r>
              <w:rPr>
                <w:spacing w:val="12"/>
              </w:rPr>
              <w:t>肖某冰、刘某寅、骆某华、王某慧、史某</w:t>
            </w:r>
            <w:r>
              <w:rPr/>
              <w:t xml:space="preserve"> </w:t>
            </w:r>
            <w:r>
              <w:rPr>
                <w:spacing w:val="12"/>
              </w:rPr>
              <w:t>华、俞某、赵某、潘某、王某、刘某民、孙某采取出具警示函的行</w:t>
            </w:r>
            <w:r>
              <w:rPr>
                <w:spacing w:val="11"/>
              </w:rPr>
              <w:t>政监管措施,并记入证券期货</w:t>
            </w:r>
            <w:r>
              <w:rPr/>
              <w:t xml:space="preserve"> </w:t>
            </w:r>
            <w:r>
              <w:rPr>
                <w:spacing w:val="7"/>
              </w:rPr>
              <w:t>市场诚信档案。</w:t>
            </w:r>
          </w:p>
        </w:tc>
      </w:tr>
      <w:tr>
        <w:trPr>
          <w:trHeight w:val="742" w:hRule="atLeast"/>
        </w:trPr>
        <w:tc>
          <w:tcPr>
            <w:shd w:val="clear" w:fill="B8CCE4"/>
            <w:tcW w:w="1607" w:type="dxa"/>
            <w:vAlign w:val="top"/>
          </w:tcPr>
          <w:p>
            <w:pPr>
              <w:pStyle w:val="TableText"/>
              <w:ind w:left="438"/>
              <w:spacing w:before="307" w:line="178" w:lineRule="auto"/>
              <w:rPr/>
            </w:pPr>
            <w:r>
              <w:rPr>
                <w:spacing w:val="3"/>
              </w:rPr>
              <w:t>300570</w:t>
            </w:r>
          </w:p>
        </w:tc>
        <w:tc>
          <w:tcPr>
            <w:shd w:val="clear" w:fill="B8CCE4"/>
            <w:tcW w:w="1560" w:type="dxa"/>
            <w:vAlign w:val="top"/>
          </w:tcPr>
          <w:p>
            <w:pPr>
              <w:pStyle w:val="TableText"/>
              <w:ind w:left="456"/>
              <w:spacing w:before="294" w:line="188" w:lineRule="auto"/>
              <w:rPr/>
            </w:pPr>
            <w:r>
              <w:rPr>
                <w:spacing w:val="8"/>
              </w:rPr>
              <w:t>太辰光</w:t>
            </w:r>
          </w:p>
        </w:tc>
        <w:tc>
          <w:tcPr>
            <w:shd w:val="clear" w:fill="B8CCE4"/>
            <w:tcW w:w="5800" w:type="dxa"/>
            <w:vAlign w:val="top"/>
          </w:tcPr>
          <w:p>
            <w:pPr>
              <w:pStyle w:val="TableText"/>
              <w:ind w:left="102" w:right="103" w:hanging="1"/>
              <w:spacing w:before="111" w:line="217" w:lineRule="auto"/>
              <w:rPr/>
            </w:pPr>
            <w:r>
              <w:rPr>
                <w:spacing w:val="13"/>
              </w:rPr>
              <w:t>大股东未在超出股份首次卖出的15个交易日</w:t>
            </w:r>
            <w:r>
              <w:rPr>
                <w:spacing w:val="12"/>
              </w:rPr>
              <w:t>前</w:t>
            </w:r>
            <w:r>
              <w:rPr>
                <w:b/>
                <w:bCs/>
                <w:spacing w:val="12"/>
              </w:rPr>
              <w:t>预先披露减持</w:t>
            </w:r>
            <w:r>
              <w:rPr>
                <w:b/>
                <w:bCs/>
              </w:rPr>
              <w:t xml:space="preserve"> </w:t>
            </w:r>
            <w:r>
              <w:rPr>
                <w:b/>
                <w:bCs/>
                <w:spacing w:val="4"/>
              </w:rPr>
              <w:t>计划。</w:t>
            </w:r>
          </w:p>
        </w:tc>
      </w:tr>
      <w:tr>
        <w:trPr>
          <w:trHeight w:val="854" w:hRule="atLeast"/>
        </w:trPr>
        <w:tc>
          <w:tcPr>
            <w:tcW w:w="8967" w:type="dxa"/>
            <w:vAlign w:val="top"/>
            <w:gridSpan w:val="3"/>
          </w:tcPr>
          <w:p>
            <w:pPr>
              <w:pStyle w:val="TableText"/>
              <w:ind w:left="105" w:right="104" w:firstLine="17"/>
              <w:spacing w:before="124" w:line="236" w:lineRule="auto"/>
              <w:rPr/>
            </w:pPr>
            <w:r>
              <w:rPr>
                <w:b/>
                <w:bCs/>
                <w:spacing w:val="13"/>
              </w:rPr>
              <w:t>【行政监管措施】</w:t>
            </w:r>
            <w:r>
              <w:rPr>
                <w:spacing w:val="13"/>
              </w:rPr>
              <w:t>中国证券监督管理委员会深圳监管局决定对深圳市神州</w:t>
            </w:r>
            <w:r>
              <w:rPr>
                <w:spacing w:val="12"/>
              </w:rPr>
              <w:t>通投资集团有限公司</w:t>
            </w:r>
            <w:r>
              <w:rPr/>
              <w:t xml:space="preserve"> </w:t>
            </w:r>
            <w:r>
              <w:rPr>
                <w:spacing w:val="8"/>
              </w:rPr>
              <w:t>采取责令改正的监管措施。</w:t>
            </w:r>
          </w:p>
        </w:tc>
      </w:tr>
      <w:tr>
        <w:trPr>
          <w:trHeight w:val="1150" w:hRule="atLeast"/>
        </w:trPr>
        <w:tc>
          <w:tcPr>
            <w:shd w:val="clear" w:fill="B8CCE4"/>
            <w:tcW w:w="1607" w:type="dxa"/>
            <w:vAlign w:val="top"/>
          </w:tcPr>
          <w:p>
            <w:pPr>
              <w:spacing w:line="42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38"/>
              <w:spacing w:before="85" w:line="178" w:lineRule="auto"/>
              <w:rPr/>
            </w:pPr>
            <w:r>
              <w:rPr>
                <w:spacing w:val="3"/>
              </w:rPr>
              <w:t>300570</w:t>
            </w:r>
          </w:p>
        </w:tc>
        <w:tc>
          <w:tcPr>
            <w:shd w:val="clear" w:fill="B8CCE4"/>
            <w:tcW w:w="1560" w:type="dxa"/>
            <w:vAlign w:val="top"/>
          </w:tcPr>
          <w:p>
            <w:pPr>
              <w:spacing w:line="41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56"/>
              <w:spacing w:before="86" w:line="188" w:lineRule="auto"/>
              <w:rPr/>
            </w:pPr>
            <w:r>
              <w:rPr>
                <w:spacing w:val="8"/>
              </w:rPr>
              <w:t>太辰光</w:t>
            </w:r>
          </w:p>
        </w:tc>
        <w:tc>
          <w:tcPr>
            <w:shd w:val="clear" w:fill="B8CCE4"/>
            <w:tcW w:w="5800" w:type="dxa"/>
            <w:vAlign w:val="top"/>
          </w:tcPr>
          <w:p>
            <w:pPr>
              <w:pStyle w:val="TableText"/>
              <w:ind w:left="99" w:right="103" w:firstLine="1"/>
              <w:spacing w:before="137" w:line="231" w:lineRule="auto"/>
              <w:jc w:val="both"/>
              <w:rPr/>
            </w:pPr>
            <w:r>
              <w:rPr>
                <w:spacing w:val="9"/>
              </w:rPr>
              <w:t>大股东及其一致行动人3个月内以集中竞价方式合计减持股数</w:t>
            </w:r>
            <w:r>
              <w:rPr>
                <w:spacing w:val="18"/>
              </w:rPr>
              <w:t xml:space="preserve"> </w:t>
            </w:r>
            <w:r>
              <w:rPr>
                <w:spacing w:val="12"/>
              </w:rPr>
              <w:t>占公司总股本比例</w:t>
            </w:r>
            <w:r>
              <w:rPr>
                <w:b/>
                <w:bCs/>
                <w:spacing w:val="12"/>
              </w:rPr>
              <w:t>超过1%</w:t>
            </w:r>
            <w:r>
              <w:rPr>
                <w:b/>
                <w:bCs/>
                <w:spacing w:val="-9"/>
              </w:rPr>
              <w:t xml:space="preserve"> </w:t>
            </w:r>
            <w:r>
              <w:rPr>
                <w:spacing w:val="12"/>
              </w:rPr>
              <w:t>，且其未在股份变动减少1%时</w:t>
            </w:r>
            <w:r>
              <w:rPr>
                <w:b/>
                <w:bCs/>
                <w:spacing w:val="12"/>
              </w:rPr>
              <w:t>通</w:t>
            </w:r>
            <w:r>
              <w:rPr>
                <w:b/>
                <w:bCs/>
              </w:rPr>
              <w:t xml:space="preserve"> </w:t>
            </w:r>
            <w:r>
              <w:rPr>
                <w:b/>
                <w:bCs/>
                <w:spacing w:val="8"/>
              </w:rPr>
              <w:t>知公司进行公告</w:t>
            </w:r>
            <w:r>
              <w:rPr>
                <w:spacing w:val="8"/>
              </w:rPr>
              <w:t>。</w:t>
            </w:r>
          </w:p>
        </w:tc>
      </w:tr>
      <w:tr>
        <w:trPr>
          <w:trHeight w:val="986" w:hRule="atLeast"/>
        </w:trPr>
        <w:tc>
          <w:tcPr>
            <w:tcW w:w="8967" w:type="dxa"/>
            <w:vAlign w:val="top"/>
            <w:gridSpan w:val="3"/>
          </w:tcPr>
          <w:p>
            <w:pPr>
              <w:pStyle w:val="TableText"/>
              <w:ind w:left="106" w:right="104" w:firstLine="15"/>
              <w:spacing w:before="190" w:line="236" w:lineRule="auto"/>
              <w:rPr/>
            </w:pPr>
            <w:r>
              <w:rPr>
                <w:b/>
                <w:bCs/>
                <w:spacing w:val="13"/>
              </w:rPr>
              <w:t>【行政监管措施】</w:t>
            </w:r>
            <w:r>
              <w:rPr>
                <w:spacing w:val="13"/>
              </w:rPr>
              <w:t>中国证券监督管理委员会深圳监管局决定对张某华、郑</w:t>
            </w:r>
            <w:r>
              <w:rPr>
                <w:spacing w:val="12"/>
              </w:rPr>
              <w:t>某滨采取责令改正的</w:t>
            </w:r>
            <w:r>
              <w:rPr/>
              <w:t xml:space="preserve"> </w:t>
            </w:r>
            <w:r>
              <w:rPr>
                <w:spacing w:val="6"/>
              </w:rPr>
              <w:t>监管措施。</w:t>
            </w:r>
          </w:p>
        </w:tc>
      </w:tr>
    </w:tbl>
    <w:p>
      <w:pPr>
        <w:pStyle w:val="BodyText"/>
        <w:spacing w:line="14" w:lineRule="auto"/>
        <w:rPr>
          <w:sz w:val="2"/>
        </w:rPr>
      </w:pPr>
      <w:r/>
    </w:p>
    <w:p>
      <w:pPr>
        <w:spacing w:line="14" w:lineRule="auto"/>
        <w:sectPr>
          <w:pgSz w:w="11910" w:h="16840"/>
          <w:pgMar w:top="400" w:right="1612" w:bottom="112" w:left="1315" w:header="0" w:footer="0" w:gutter="0"/>
        </w:sectPr>
        <w:rPr>
          <w:sz w:val="2"/>
          <w:szCs w:val="2"/>
        </w:rPr>
      </w:pPr>
    </w:p>
    <w:tbl>
      <w:tblPr>
        <w:tblStyle w:val="TableNormal"/>
        <w:tblW w:w="8967" w:type="dxa"/>
        <w:tblInd w:w="217" w:type="dxa"/>
        <w:tblLayout w:type="fixed"/>
        <w:tblBorders>
          <w:top w:val="single" w:color="4F81BD" w:sz="6" w:space="0"/>
          <w:left w:val="single" w:color="4F81BD" w:sz="6" w:space="0"/>
          <w:bottom w:val="single" w:color="4F81BD" w:sz="6" w:space="0"/>
          <w:right w:val="single" w:color="4F81BD" w:sz="6" w:space="0"/>
          <w:insideH w:val="single" w:color="4F81BD" w:sz="6" w:space="0"/>
          <w:insideV w:val="single" w:color="4F81BD" w:sz="6" w:space="0"/>
        </w:tblBorders>
      </w:tblPr>
      <w:tblGrid>
        <w:gridCol w:w="1607"/>
        <w:gridCol w:w="1560"/>
        <w:gridCol w:w="5800"/>
      </w:tblGrid>
      <w:tr>
        <w:trPr>
          <w:trHeight w:val="1092" w:hRule="atLeast"/>
        </w:trPr>
        <w:tc>
          <w:tcPr>
            <w:shd w:val="clear" w:fill="B8CCE4"/>
            <w:tcW w:w="1607" w:type="dxa"/>
            <w:vAlign w:val="top"/>
          </w:tcPr>
          <w:p>
            <w:pPr>
              <w:spacing w:line="37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38"/>
              <w:spacing w:before="86" w:line="178" w:lineRule="auto"/>
              <w:rPr/>
            </w:pPr>
            <w:r>
              <w:rPr>
                <w:spacing w:val="3"/>
              </w:rPr>
              <w:t>300985</w:t>
            </w:r>
          </w:p>
        </w:tc>
        <w:tc>
          <w:tcPr>
            <w:shd w:val="clear" w:fill="B8CCE4"/>
            <w:tcW w:w="1560" w:type="dxa"/>
            <w:vAlign w:val="top"/>
          </w:tcPr>
          <w:p>
            <w:pPr>
              <w:spacing w:line="36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51"/>
              <w:spacing w:before="86" w:line="190" w:lineRule="auto"/>
              <w:rPr/>
            </w:pPr>
            <w:r>
              <w:rPr>
                <w:spacing w:val="8"/>
              </w:rPr>
              <w:t>致远新能</w:t>
            </w:r>
          </w:p>
        </w:tc>
        <w:tc>
          <w:tcPr>
            <w:shd w:val="clear" w:fill="B8CCE4"/>
            <w:tcW w:w="5800" w:type="dxa"/>
            <w:vAlign w:val="top"/>
          </w:tcPr>
          <w:p>
            <w:pPr>
              <w:pStyle w:val="TableText"/>
              <w:ind w:left="99" w:right="103" w:firstLine="1"/>
              <w:spacing w:before="91" w:line="231" w:lineRule="auto"/>
              <w:jc w:val="both"/>
              <w:rPr/>
            </w:pPr>
            <w:r>
              <w:rPr>
                <w:b/>
                <w:bCs/>
                <w:spacing w:val="13"/>
              </w:rPr>
              <w:t>募集资金置换自筹资金事项</w:t>
            </w:r>
            <w:r>
              <w:rPr>
                <w:spacing w:val="13"/>
              </w:rPr>
              <w:t>未经董事会审议通过</w:t>
            </w:r>
            <w:r>
              <w:rPr>
                <w:spacing w:val="-18"/>
              </w:rPr>
              <w:t xml:space="preserve"> </w:t>
            </w:r>
            <w:r>
              <w:rPr>
                <w:spacing w:val="13"/>
              </w:rPr>
              <w:t>，会计师事</w:t>
            </w:r>
            <w:r>
              <w:rPr/>
              <w:t xml:space="preserve"> </w:t>
            </w:r>
            <w:r>
              <w:rPr>
                <w:spacing w:val="13"/>
              </w:rPr>
              <w:t>务所未出具鉴证报告</w:t>
            </w:r>
            <w:r>
              <w:rPr>
                <w:spacing w:val="-17"/>
              </w:rPr>
              <w:t xml:space="preserve"> </w:t>
            </w:r>
            <w:r>
              <w:rPr>
                <w:spacing w:val="13"/>
              </w:rPr>
              <w:t>，独立董事、监事会、保荐机构未发表</w:t>
            </w:r>
            <w:r>
              <w:rPr/>
              <w:t xml:space="preserve"> </w:t>
            </w:r>
            <w:r>
              <w:rPr>
                <w:spacing w:val="8"/>
              </w:rPr>
              <w:t>明确同意意见</w:t>
            </w:r>
            <w:r>
              <w:rPr>
                <w:spacing w:val="-26"/>
              </w:rPr>
              <w:t xml:space="preserve"> </w:t>
            </w:r>
            <w:r>
              <w:rPr>
                <w:spacing w:val="8"/>
              </w:rPr>
              <w:t>，且上述事项未履行信息披露</w:t>
            </w:r>
            <w:r>
              <w:rPr>
                <w:spacing w:val="7"/>
              </w:rPr>
              <w:t>义务。</w:t>
            </w:r>
          </w:p>
        </w:tc>
      </w:tr>
      <w:tr>
        <w:trPr>
          <w:trHeight w:val="723" w:hRule="atLeast"/>
        </w:trPr>
        <w:tc>
          <w:tcPr>
            <w:tcW w:w="8967" w:type="dxa"/>
            <w:vAlign w:val="top"/>
            <w:gridSpan w:val="3"/>
          </w:tcPr>
          <w:p>
            <w:pPr>
              <w:pStyle w:val="TableText"/>
              <w:ind w:left="108" w:right="104" w:firstLine="14"/>
              <w:spacing w:before="40" w:line="235" w:lineRule="auto"/>
              <w:rPr/>
            </w:pPr>
            <w:r>
              <w:rPr>
                <w:b/>
                <w:bCs/>
                <w:spacing w:val="13"/>
              </w:rPr>
              <w:t>【行政监管措施】</w:t>
            </w:r>
            <w:r>
              <w:rPr>
                <w:spacing w:val="13"/>
              </w:rPr>
              <w:t>中国证券监督管理委员会吉林监管局决定对长春致远新</w:t>
            </w:r>
            <w:r>
              <w:rPr>
                <w:spacing w:val="12"/>
              </w:rPr>
              <w:t>能源装备股份有限公</w:t>
            </w:r>
            <w:r>
              <w:rPr/>
              <w:t xml:space="preserve"> </w:t>
            </w:r>
            <w:r>
              <w:rPr>
                <w:spacing w:val="8"/>
              </w:rPr>
              <w:t>司采取责令改正的行政监管措施</w:t>
            </w:r>
            <w:r>
              <w:rPr>
                <w:spacing w:val="-21"/>
              </w:rPr>
              <w:t xml:space="preserve"> </w:t>
            </w:r>
            <w:r>
              <w:rPr>
                <w:spacing w:val="8"/>
              </w:rPr>
              <w:t>，并记入证券期货市场诚信档案。</w:t>
            </w:r>
          </w:p>
        </w:tc>
      </w:tr>
      <w:tr>
        <w:trPr>
          <w:trHeight w:val="364" w:hRule="atLeast"/>
        </w:trPr>
        <w:tc>
          <w:tcPr>
            <w:shd w:val="clear" w:fill="B8CCE4"/>
            <w:tcW w:w="1607" w:type="dxa"/>
            <w:vAlign w:val="top"/>
          </w:tcPr>
          <w:p>
            <w:pPr>
              <w:pStyle w:val="TableText"/>
              <w:ind w:left="436"/>
              <w:spacing w:before="102" w:line="176" w:lineRule="auto"/>
              <w:rPr/>
            </w:pPr>
            <w:r>
              <w:rPr>
                <w:spacing w:val="3"/>
              </w:rPr>
              <w:t>600321</w:t>
            </w:r>
          </w:p>
        </w:tc>
        <w:tc>
          <w:tcPr>
            <w:shd w:val="clear" w:fill="B8CCE4"/>
            <w:tcW w:w="1560" w:type="dxa"/>
            <w:vAlign w:val="top"/>
          </w:tcPr>
          <w:p>
            <w:pPr>
              <w:pStyle w:val="TableText"/>
              <w:ind w:left="351"/>
              <w:spacing w:before="90" w:line="184" w:lineRule="auto"/>
              <w:rPr/>
            </w:pPr>
            <w:r>
              <w:rPr>
                <w:spacing w:val="8"/>
              </w:rPr>
              <w:t>正源股份</w:t>
            </w:r>
          </w:p>
        </w:tc>
        <w:tc>
          <w:tcPr>
            <w:shd w:val="clear" w:fill="B8CCE4"/>
            <w:tcW w:w="5800" w:type="dxa"/>
            <w:vAlign w:val="top"/>
          </w:tcPr>
          <w:p>
            <w:pPr>
              <w:pStyle w:val="TableText"/>
              <w:ind w:left="101"/>
              <w:spacing w:before="88" w:line="186" w:lineRule="auto"/>
              <w:rPr/>
            </w:pPr>
            <w:r>
              <w:rPr>
                <w:spacing w:val="9"/>
              </w:rPr>
              <w:t>大股东一致行动人</w:t>
            </w:r>
            <w:r>
              <w:rPr>
                <w:b/>
                <w:bCs/>
                <w:spacing w:val="9"/>
              </w:rPr>
              <w:t>违反不减持承诺。</w:t>
            </w:r>
          </w:p>
        </w:tc>
      </w:tr>
      <w:tr>
        <w:trPr>
          <w:trHeight w:val="1077" w:hRule="atLeast"/>
        </w:trPr>
        <w:tc>
          <w:tcPr>
            <w:tcW w:w="8967" w:type="dxa"/>
            <w:vAlign w:val="top"/>
            <w:gridSpan w:val="3"/>
          </w:tcPr>
          <w:p>
            <w:pPr>
              <w:pStyle w:val="TableText"/>
              <w:ind w:left="105" w:right="104" w:firstLine="16"/>
              <w:spacing w:before="221" w:line="236" w:lineRule="auto"/>
              <w:rPr/>
            </w:pPr>
            <w:r>
              <w:rPr>
                <w:b/>
                <w:bCs/>
                <w:spacing w:val="13"/>
              </w:rPr>
              <w:t>【行政监管措施】</w:t>
            </w:r>
            <w:r>
              <w:rPr>
                <w:spacing w:val="13"/>
              </w:rPr>
              <w:t>中国证券监督管理委员会四川监管局决定对成都国栋南</w:t>
            </w:r>
            <w:r>
              <w:rPr>
                <w:spacing w:val="12"/>
              </w:rPr>
              <w:t>园投资有限公司采取</w:t>
            </w:r>
            <w:r>
              <w:rPr/>
              <w:t xml:space="preserve"> </w:t>
            </w:r>
            <w:r>
              <w:rPr>
                <w:spacing w:val="8"/>
              </w:rPr>
              <w:t>责令改正的行政监管措施</w:t>
            </w:r>
            <w:r>
              <w:rPr>
                <w:spacing w:val="-14"/>
              </w:rPr>
              <w:t xml:space="preserve"> </w:t>
            </w:r>
            <w:r>
              <w:rPr>
                <w:spacing w:val="8"/>
              </w:rPr>
              <w:t>，并将相关情况记入证券期货市场诚信档案。</w:t>
            </w:r>
          </w:p>
        </w:tc>
      </w:tr>
      <w:tr>
        <w:trPr>
          <w:trHeight w:val="1083" w:hRule="atLeast"/>
        </w:trPr>
        <w:tc>
          <w:tcPr>
            <w:shd w:val="clear" w:fill="B8CCE4"/>
            <w:tcW w:w="1607" w:type="dxa"/>
            <w:vAlign w:val="top"/>
          </w:tcPr>
          <w:p>
            <w:pPr>
              <w:spacing w:line="37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36"/>
              <w:spacing w:before="86" w:line="178" w:lineRule="auto"/>
              <w:rPr/>
            </w:pPr>
            <w:r>
              <w:rPr>
                <w:spacing w:val="3"/>
              </w:rPr>
              <w:t>600369</w:t>
            </w:r>
          </w:p>
        </w:tc>
        <w:tc>
          <w:tcPr>
            <w:shd w:val="clear" w:fill="B8CCE4"/>
            <w:tcW w:w="1560" w:type="dxa"/>
            <w:vAlign w:val="top"/>
          </w:tcPr>
          <w:p>
            <w:pPr>
              <w:spacing w:line="36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53"/>
              <w:spacing w:before="86" w:line="188" w:lineRule="auto"/>
              <w:rPr/>
            </w:pPr>
            <w:r>
              <w:rPr>
                <w:spacing w:val="8"/>
              </w:rPr>
              <w:t>西南证券</w:t>
            </w:r>
          </w:p>
        </w:tc>
        <w:tc>
          <w:tcPr>
            <w:shd w:val="clear" w:fill="B8CCE4"/>
            <w:tcW w:w="5800" w:type="dxa"/>
            <w:vAlign w:val="top"/>
          </w:tcPr>
          <w:p>
            <w:pPr>
              <w:pStyle w:val="TableText"/>
              <w:ind w:left="101" w:right="103"/>
              <w:spacing w:before="90" w:line="229" w:lineRule="auto"/>
              <w:jc w:val="both"/>
              <w:rPr/>
            </w:pPr>
            <w:r>
              <w:rPr>
                <w:spacing w:val="13"/>
              </w:rPr>
              <w:t>安排</w:t>
            </w:r>
            <w:r>
              <w:rPr>
                <w:b/>
                <w:bCs/>
                <w:spacing w:val="13"/>
              </w:rPr>
              <w:t>未取得基金从业资格</w:t>
            </w:r>
            <w:r>
              <w:rPr>
                <w:spacing w:val="13"/>
              </w:rPr>
              <w:t>的员工从事基金业务；</w:t>
            </w:r>
            <w:r>
              <w:rPr>
                <w:spacing w:val="-20"/>
              </w:rPr>
              <w:t xml:space="preserve"> </w:t>
            </w:r>
            <w:r>
              <w:rPr>
                <w:spacing w:val="13"/>
              </w:rPr>
              <w:t>未充分保障</w:t>
            </w:r>
            <w:r>
              <w:rPr/>
              <w:t xml:space="preserve"> </w:t>
            </w:r>
            <w:r>
              <w:rPr>
                <w:spacing w:val="13"/>
              </w:rPr>
              <w:t>合规管理人员的</w:t>
            </w:r>
            <w:r>
              <w:rPr>
                <w:b/>
                <w:bCs/>
                <w:spacing w:val="13"/>
              </w:rPr>
              <w:t>独立性</w:t>
            </w:r>
            <w:r>
              <w:rPr>
                <w:spacing w:val="13"/>
              </w:rPr>
              <w:t>；</w:t>
            </w:r>
            <w:r>
              <w:rPr>
                <w:spacing w:val="-19"/>
              </w:rPr>
              <w:t xml:space="preserve"> </w:t>
            </w:r>
            <w:r>
              <w:rPr>
                <w:b/>
                <w:bCs/>
                <w:spacing w:val="13"/>
              </w:rPr>
              <w:t>以经营业绩为依据</w:t>
            </w:r>
            <w:r>
              <w:rPr>
                <w:spacing w:val="13"/>
              </w:rPr>
              <w:t>对个别专职合规</w:t>
            </w:r>
            <w:r>
              <w:rPr/>
              <w:t xml:space="preserve"> </w:t>
            </w:r>
            <w:r>
              <w:rPr>
                <w:spacing w:val="8"/>
              </w:rPr>
              <w:t>管理人员进行考核。</w:t>
            </w:r>
          </w:p>
        </w:tc>
      </w:tr>
      <w:tr>
        <w:trPr>
          <w:trHeight w:val="732" w:hRule="atLeast"/>
        </w:trPr>
        <w:tc>
          <w:tcPr>
            <w:tcW w:w="8967" w:type="dxa"/>
            <w:vAlign w:val="top"/>
            <w:gridSpan w:val="3"/>
          </w:tcPr>
          <w:p>
            <w:pPr>
              <w:pStyle w:val="TableText"/>
              <w:ind w:left="121" w:right="104"/>
              <w:spacing w:before="49" w:line="235" w:lineRule="auto"/>
              <w:rPr/>
            </w:pPr>
            <w:r>
              <w:rPr>
                <w:b/>
                <w:bCs/>
                <w:spacing w:val="13"/>
              </w:rPr>
              <w:t>【行政监管措施】</w:t>
            </w:r>
            <w:r>
              <w:rPr>
                <w:spacing w:val="13"/>
              </w:rPr>
              <w:t>中国证券监督管理委员会重庆监管局决定对西南证券股</w:t>
            </w:r>
            <w:r>
              <w:rPr>
                <w:spacing w:val="12"/>
              </w:rPr>
              <w:t>份有限公司公司采取</w:t>
            </w:r>
            <w:r>
              <w:rPr/>
              <w:t xml:space="preserve"> </w:t>
            </w:r>
            <w:r>
              <w:rPr>
                <w:spacing w:val="7"/>
              </w:rPr>
              <w:t>出具警示函的行政监管措施。</w:t>
            </w:r>
          </w:p>
        </w:tc>
      </w:tr>
    </w:tbl>
    <w:p>
      <w:pPr>
        <w:spacing w:before="312" w:line="210" w:lineRule="auto"/>
        <w:rPr>
          <w:rFonts w:ascii="Microsoft YaHei" w:hAnsi="Microsoft YaHei" w:eastAsia="Microsoft YaHei" w:cs="Microsoft YaHei"/>
          <w:sz w:val="24"/>
          <w:szCs w:val="24"/>
        </w:rPr>
      </w:pPr>
      <w:r>
        <w:rPr>
          <w:rFonts w:ascii="Microsoft YaHei" w:hAnsi="Microsoft YaHei" w:eastAsia="Microsoft YaHei" w:cs="Microsoft YaHei"/>
          <w:sz w:val="24"/>
          <w:szCs w:val="24"/>
          <w:b/>
          <w:bCs/>
          <w:color w:val="333333"/>
          <w:spacing w:val="-17"/>
        </w:rPr>
        <w:t>（ 4</w:t>
      </w:r>
      <w:r>
        <w:rPr>
          <w:rFonts w:ascii="Microsoft YaHei" w:hAnsi="Microsoft YaHei" w:eastAsia="Microsoft YaHei" w:cs="Microsoft YaHei"/>
          <w:sz w:val="24"/>
          <w:szCs w:val="24"/>
          <w:b/>
          <w:bCs/>
          <w:color w:val="333333"/>
          <w:spacing w:val="20"/>
        </w:rPr>
        <w:t xml:space="preserve"> </w:t>
      </w:r>
      <w:r>
        <w:rPr>
          <w:rFonts w:ascii="Microsoft YaHei" w:hAnsi="Microsoft YaHei" w:eastAsia="Microsoft YaHei" w:cs="Microsoft YaHei"/>
          <w:sz w:val="24"/>
          <w:szCs w:val="24"/>
          <w:b/>
          <w:bCs/>
          <w:color w:val="333333"/>
          <w:spacing w:val="-17"/>
        </w:rPr>
        <w:t>）立案调查</w:t>
      </w:r>
    </w:p>
    <w:tbl>
      <w:tblPr>
        <w:tblStyle w:val="TableNormal"/>
        <w:tblW w:w="8941" w:type="dxa"/>
        <w:tblInd w:w="230" w:type="dxa"/>
        <w:tblLayout w:type="fixed"/>
        <w:tblBorders>
          <w:top w:val="single" w:color="4F81BD" w:sz="6" w:space="0"/>
          <w:left w:val="single" w:color="4F81BD" w:sz="6" w:space="0"/>
          <w:bottom w:val="single" w:color="4F81BD" w:sz="6" w:space="0"/>
          <w:right w:val="single" w:color="4F81BD" w:sz="6" w:space="0"/>
          <w:insideH w:val="single" w:color="4F81BD" w:sz="6" w:space="0"/>
          <w:insideV w:val="single" w:color="4F81BD" w:sz="6" w:space="0"/>
        </w:tblBorders>
      </w:tblPr>
      <w:tblGrid>
        <w:gridCol w:w="1594"/>
        <w:gridCol w:w="1572"/>
        <w:gridCol w:w="5775"/>
      </w:tblGrid>
      <w:tr>
        <w:trPr>
          <w:trHeight w:val="392" w:hRule="atLeast"/>
        </w:trPr>
        <w:tc>
          <w:tcPr>
            <w:shd w:val="clear" w:fill="4F81BD"/>
            <w:tcW w:w="1594" w:type="dxa"/>
            <w:vAlign w:val="top"/>
          </w:tcPr>
          <w:p>
            <w:pPr>
              <w:pStyle w:val="TableText"/>
              <w:ind w:left="371"/>
              <w:spacing w:before="109" w:line="189" w:lineRule="auto"/>
              <w:rPr/>
            </w:pPr>
            <w:r>
              <w:rPr>
                <w:b/>
                <w:bCs/>
                <w:color w:val="FFFFFF"/>
                <w:spacing w:val="8"/>
              </w:rPr>
              <w:t>公司代码</w:t>
            </w:r>
          </w:p>
        </w:tc>
        <w:tc>
          <w:tcPr>
            <w:shd w:val="clear" w:fill="4F81BD"/>
            <w:tcW w:w="1572" w:type="dxa"/>
            <w:vAlign w:val="top"/>
          </w:tcPr>
          <w:p>
            <w:pPr>
              <w:pStyle w:val="TableText"/>
              <w:ind w:left="359"/>
              <w:spacing w:before="109" w:line="189" w:lineRule="auto"/>
              <w:rPr/>
            </w:pPr>
            <w:r>
              <w:rPr>
                <w:b/>
                <w:bCs/>
                <w:color w:val="FFFFFF"/>
                <w:spacing w:val="8"/>
              </w:rPr>
              <w:t>公司简称</w:t>
            </w:r>
          </w:p>
        </w:tc>
        <w:tc>
          <w:tcPr>
            <w:shd w:val="clear" w:fill="4F81BD"/>
            <w:tcW w:w="5775" w:type="dxa"/>
            <w:vAlign w:val="top"/>
          </w:tcPr>
          <w:p>
            <w:pPr>
              <w:pStyle w:val="TableText"/>
              <w:ind w:left="2461"/>
              <w:spacing w:before="109" w:line="189" w:lineRule="auto"/>
              <w:rPr/>
            </w:pPr>
            <w:r>
              <w:rPr>
                <w:b/>
                <w:bCs/>
                <w:color w:val="FFFFFF"/>
                <w:spacing w:val="8"/>
              </w:rPr>
              <w:t>违规行为</w:t>
            </w:r>
          </w:p>
        </w:tc>
      </w:tr>
      <w:tr>
        <w:trPr>
          <w:trHeight w:val="1083" w:hRule="atLeast"/>
        </w:trPr>
        <w:tc>
          <w:tcPr>
            <w:tcW w:w="1594" w:type="dxa"/>
            <w:vAlign w:val="top"/>
          </w:tcPr>
          <w:p>
            <w:pPr>
              <w:spacing w:line="36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27"/>
              <w:spacing w:before="85" w:line="178" w:lineRule="auto"/>
              <w:rPr/>
            </w:pPr>
            <w:r>
              <w:rPr>
                <w:spacing w:val="3"/>
              </w:rPr>
              <w:t>002729</w:t>
            </w:r>
          </w:p>
        </w:tc>
        <w:tc>
          <w:tcPr>
            <w:tcW w:w="1572" w:type="dxa"/>
            <w:vAlign w:val="top"/>
          </w:tcPr>
          <w:p>
            <w:pPr>
              <w:spacing w:line="35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59"/>
              <w:spacing w:before="86" w:line="189" w:lineRule="auto"/>
              <w:rPr/>
            </w:pPr>
            <w:r>
              <w:rPr>
                <w:spacing w:val="8"/>
              </w:rPr>
              <w:t>好利科技</w:t>
            </w:r>
          </w:p>
        </w:tc>
        <w:tc>
          <w:tcPr>
            <w:tcW w:w="5775" w:type="dxa"/>
            <w:vAlign w:val="top"/>
          </w:tcPr>
          <w:p>
            <w:pPr>
              <w:pStyle w:val="TableText"/>
              <w:ind w:left="100" w:right="102" w:firstLine="15"/>
              <w:spacing w:before="42"/>
              <w:jc w:val="both"/>
              <w:rPr/>
            </w:pPr>
            <w:r>
              <w:rPr>
                <w:spacing w:val="11"/>
              </w:rPr>
              <w:t>因</w:t>
            </w:r>
            <w:r>
              <w:rPr>
                <w:b/>
                <w:bCs/>
                <w:spacing w:val="11"/>
              </w:rPr>
              <w:t>涉嫌信息披露违法违规</w:t>
            </w:r>
            <w:r>
              <w:rPr>
                <w:b/>
                <w:bCs/>
                <w:spacing w:val="-9"/>
              </w:rPr>
              <w:t xml:space="preserve"> </w:t>
            </w:r>
            <w:r>
              <w:rPr>
                <w:spacing w:val="11"/>
              </w:rPr>
              <w:t>，根据《中华人民共和国证券法》</w:t>
            </w:r>
            <w:r>
              <w:rPr/>
              <w:t xml:space="preserve"> </w:t>
            </w:r>
            <w:r>
              <w:rPr>
                <w:spacing w:val="11"/>
              </w:rPr>
              <w:t>《中华人民共和国行政处罚法》等法律法规</w:t>
            </w:r>
            <w:r>
              <w:rPr>
                <w:spacing w:val="-18"/>
              </w:rPr>
              <w:t xml:space="preserve"> </w:t>
            </w:r>
            <w:r>
              <w:rPr>
                <w:spacing w:val="11"/>
              </w:rPr>
              <w:t>，</w:t>
            </w:r>
            <w:r>
              <w:rPr>
                <w:spacing w:val="-31"/>
              </w:rPr>
              <w:t xml:space="preserve"> </w:t>
            </w:r>
            <w:r>
              <w:rPr>
                <w:spacing w:val="11"/>
              </w:rPr>
              <w:t>中国证监会决</w:t>
            </w:r>
            <w:r>
              <w:rPr/>
              <w:t xml:space="preserve"> </w:t>
            </w:r>
            <w:r>
              <w:rPr>
                <w:spacing w:val="8"/>
              </w:rPr>
              <w:t>定对实际控制人、董事立案。</w:t>
            </w:r>
          </w:p>
        </w:tc>
      </w:tr>
      <w:tr>
        <w:trPr>
          <w:trHeight w:val="1083" w:hRule="atLeast"/>
        </w:trPr>
        <w:tc>
          <w:tcPr>
            <w:shd w:val="clear" w:fill="B8CCE4"/>
            <w:tcW w:w="1594" w:type="dxa"/>
            <w:vAlign w:val="top"/>
          </w:tcPr>
          <w:p>
            <w:pPr>
              <w:spacing w:line="37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30"/>
              <w:spacing w:before="86" w:line="178" w:lineRule="auto"/>
              <w:rPr/>
            </w:pPr>
            <w:r>
              <w:rPr>
                <w:spacing w:val="3"/>
              </w:rPr>
              <w:t>600836</w:t>
            </w:r>
          </w:p>
        </w:tc>
        <w:tc>
          <w:tcPr>
            <w:shd w:val="clear" w:fill="B8CCE4"/>
            <w:tcW w:w="1572" w:type="dxa"/>
            <w:vAlign w:val="top"/>
          </w:tcPr>
          <w:p>
            <w:pPr>
              <w:spacing w:line="35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60"/>
              <w:spacing w:before="85" w:line="189" w:lineRule="auto"/>
              <w:rPr/>
            </w:pPr>
            <w:r>
              <w:rPr>
                <w:spacing w:val="8"/>
              </w:rPr>
              <w:t>上海易连</w:t>
            </w:r>
          </w:p>
        </w:tc>
        <w:tc>
          <w:tcPr>
            <w:shd w:val="clear" w:fill="B8CCE4"/>
            <w:tcW w:w="5775" w:type="dxa"/>
            <w:vAlign w:val="top"/>
          </w:tcPr>
          <w:p>
            <w:pPr>
              <w:pStyle w:val="TableText"/>
              <w:ind w:left="100" w:right="102" w:firstLine="15"/>
              <w:spacing w:before="47" w:line="239" w:lineRule="auto"/>
              <w:jc w:val="both"/>
              <w:rPr/>
            </w:pPr>
            <w:r>
              <w:rPr>
                <w:spacing w:val="11"/>
              </w:rPr>
              <w:t>因公司</w:t>
            </w:r>
            <w:r>
              <w:rPr>
                <w:b/>
                <w:bCs/>
                <w:spacing w:val="11"/>
              </w:rPr>
              <w:t>涉嫌信息披露违法违规</w:t>
            </w:r>
            <w:r>
              <w:rPr>
                <w:b/>
                <w:bCs/>
                <w:spacing w:val="-6"/>
              </w:rPr>
              <w:t xml:space="preserve"> </w:t>
            </w:r>
            <w:r>
              <w:rPr>
                <w:spacing w:val="11"/>
              </w:rPr>
              <w:t>，根据《中华人民共和国证券</w:t>
            </w:r>
            <w:r>
              <w:rPr/>
              <w:t xml:space="preserve"> </w:t>
            </w:r>
            <w:r>
              <w:rPr>
                <w:spacing w:val="11"/>
              </w:rPr>
              <w:t>法》《中华人民共和国行政处罚法》等法律法规</w:t>
            </w:r>
            <w:r>
              <w:rPr>
                <w:spacing w:val="-18"/>
              </w:rPr>
              <w:t xml:space="preserve"> </w:t>
            </w:r>
            <w:r>
              <w:rPr>
                <w:spacing w:val="11"/>
              </w:rPr>
              <w:t>，</w:t>
            </w:r>
            <w:r>
              <w:rPr>
                <w:spacing w:val="-31"/>
              </w:rPr>
              <w:t xml:space="preserve"> </w:t>
            </w:r>
            <w:r>
              <w:rPr>
                <w:spacing w:val="11"/>
              </w:rPr>
              <w:t>中国证监</w:t>
            </w:r>
            <w:r>
              <w:rPr/>
              <w:t xml:space="preserve"> </w:t>
            </w:r>
            <w:r>
              <w:rPr>
                <w:spacing w:val="8"/>
              </w:rPr>
              <w:t>会决定对公司立案。</w:t>
            </w:r>
          </w:p>
        </w:tc>
      </w:tr>
      <w:tr>
        <w:trPr>
          <w:trHeight w:val="1082" w:hRule="atLeast"/>
        </w:trPr>
        <w:tc>
          <w:tcPr>
            <w:tcW w:w="1594" w:type="dxa"/>
            <w:vAlign w:val="top"/>
          </w:tcPr>
          <w:p>
            <w:pPr>
              <w:spacing w:line="37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32"/>
              <w:spacing w:before="86" w:line="178" w:lineRule="auto"/>
              <w:rPr/>
            </w:pPr>
            <w:r>
              <w:rPr>
                <w:spacing w:val="3"/>
              </w:rPr>
              <w:t>300840</w:t>
            </w:r>
          </w:p>
        </w:tc>
        <w:tc>
          <w:tcPr>
            <w:tcW w:w="1572" w:type="dxa"/>
            <w:vAlign w:val="top"/>
          </w:tcPr>
          <w:p>
            <w:pPr>
              <w:spacing w:line="35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60"/>
              <w:spacing w:before="86" w:line="190" w:lineRule="auto"/>
              <w:rPr/>
            </w:pPr>
            <w:r>
              <w:rPr>
                <w:spacing w:val="8"/>
              </w:rPr>
              <w:t>酷特智能</w:t>
            </w:r>
          </w:p>
        </w:tc>
        <w:tc>
          <w:tcPr>
            <w:tcW w:w="5775" w:type="dxa"/>
            <w:vAlign w:val="top"/>
          </w:tcPr>
          <w:p>
            <w:pPr>
              <w:pStyle w:val="TableText"/>
              <w:ind w:left="100" w:right="102" w:firstLine="15"/>
              <w:spacing w:before="51" w:line="238" w:lineRule="auto"/>
              <w:jc w:val="both"/>
              <w:rPr/>
            </w:pPr>
            <w:r>
              <w:rPr>
                <w:spacing w:val="11"/>
              </w:rPr>
              <w:t>因</w:t>
            </w:r>
            <w:r>
              <w:rPr>
                <w:b/>
                <w:bCs/>
                <w:spacing w:val="11"/>
              </w:rPr>
              <w:t>涉嫌内幕交易违法行为</w:t>
            </w:r>
            <w:r>
              <w:rPr>
                <w:b/>
                <w:bCs/>
                <w:spacing w:val="-9"/>
              </w:rPr>
              <w:t xml:space="preserve"> </w:t>
            </w:r>
            <w:r>
              <w:rPr>
                <w:spacing w:val="11"/>
              </w:rPr>
              <w:t>，根据《中华人民共和国证券法》</w:t>
            </w:r>
            <w:r>
              <w:rPr/>
              <w:t xml:space="preserve"> </w:t>
            </w:r>
            <w:r>
              <w:rPr>
                <w:spacing w:val="11"/>
              </w:rPr>
              <w:t>《中华人民共和国行政处罚法》等法律法规</w:t>
            </w:r>
            <w:r>
              <w:rPr>
                <w:spacing w:val="-18"/>
              </w:rPr>
              <w:t xml:space="preserve"> </w:t>
            </w:r>
            <w:r>
              <w:rPr>
                <w:spacing w:val="11"/>
              </w:rPr>
              <w:t>，</w:t>
            </w:r>
            <w:r>
              <w:rPr>
                <w:spacing w:val="-31"/>
              </w:rPr>
              <w:t xml:space="preserve"> </w:t>
            </w:r>
            <w:r>
              <w:rPr>
                <w:spacing w:val="11"/>
              </w:rPr>
              <w:t>中国证监会决</w:t>
            </w:r>
            <w:r>
              <w:rPr/>
              <w:t xml:space="preserve"> </w:t>
            </w:r>
            <w:r>
              <w:rPr>
                <w:spacing w:val="8"/>
              </w:rPr>
              <w:t>定对实际控制人立案。</w:t>
            </w:r>
          </w:p>
        </w:tc>
      </w:tr>
      <w:tr>
        <w:trPr>
          <w:trHeight w:val="1443" w:hRule="atLeast"/>
        </w:trPr>
        <w:tc>
          <w:tcPr>
            <w:shd w:val="clear" w:fill="B8CCE4"/>
            <w:tcW w:w="1594" w:type="dxa"/>
            <w:vAlign w:val="top"/>
          </w:tcPr>
          <w:p>
            <w:pPr>
              <w:spacing w:line="278" w:lineRule="auto"/>
              <w:rPr>
                <w:rFonts w:ascii="Arial"/>
                <w:sz w:val="21"/>
              </w:rPr>
            </w:pPr>
            <w:r/>
          </w:p>
          <w:p>
            <w:pPr>
              <w:spacing w:line="27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27"/>
              <w:spacing w:before="86" w:line="178" w:lineRule="auto"/>
              <w:rPr/>
            </w:pPr>
            <w:r>
              <w:rPr>
                <w:spacing w:val="3"/>
              </w:rPr>
              <w:t>002288</w:t>
            </w:r>
          </w:p>
        </w:tc>
        <w:tc>
          <w:tcPr>
            <w:shd w:val="clear" w:fill="B8CCE4"/>
            <w:tcW w:w="1572" w:type="dxa"/>
            <w:vAlign w:val="top"/>
          </w:tcPr>
          <w:p>
            <w:pPr>
              <w:spacing w:line="270" w:lineRule="auto"/>
              <w:rPr>
                <w:rFonts w:ascii="Arial"/>
                <w:sz w:val="21"/>
              </w:rPr>
            </w:pPr>
            <w:r/>
          </w:p>
          <w:p>
            <w:pPr>
              <w:spacing w:line="27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58"/>
              <w:spacing w:before="86" w:line="189" w:lineRule="auto"/>
              <w:rPr/>
            </w:pPr>
            <w:r>
              <w:rPr>
                <w:spacing w:val="8"/>
              </w:rPr>
              <w:t>超华科技</w:t>
            </w:r>
          </w:p>
        </w:tc>
        <w:tc>
          <w:tcPr>
            <w:shd w:val="clear" w:fill="B8CCE4"/>
            <w:tcW w:w="5775" w:type="dxa"/>
            <w:vAlign w:val="top"/>
          </w:tcPr>
          <w:p>
            <w:pPr>
              <w:pStyle w:val="TableText"/>
              <w:ind w:left="100" w:right="102" w:firstLine="15"/>
              <w:spacing w:before="88" w:line="235" w:lineRule="auto"/>
              <w:rPr/>
            </w:pPr>
            <w:r>
              <w:rPr>
                <w:spacing w:val="13"/>
              </w:rPr>
              <w:t>因公司及控股股东、实际控制人之一</w:t>
            </w:r>
            <w:r>
              <w:rPr>
                <w:b/>
                <w:bCs/>
                <w:spacing w:val="13"/>
              </w:rPr>
              <w:t>涉嫌信息披露违法违规</w:t>
            </w:r>
            <w:r>
              <w:rPr>
                <w:b/>
                <w:bCs/>
              </w:rPr>
              <w:t xml:space="preserve"> </w:t>
            </w:r>
            <w:r>
              <w:rPr>
                <w:spacing w:val="13"/>
              </w:rPr>
              <w:t>,  根据《中华人民共和国证券法》</w:t>
            </w:r>
            <w:r>
              <w:rPr>
                <w:spacing w:val="-28"/>
              </w:rPr>
              <w:t xml:space="preserve"> </w:t>
            </w:r>
            <w:r>
              <w:rPr>
                <w:spacing w:val="13"/>
              </w:rPr>
              <w:t>、《中华人</w:t>
            </w:r>
            <w:r>
              <w:rPr>
                <w:spacing w:val="12"/>
              </w:rPr>
              <w:t>民共和国行政</w:t>
            </w:r>
            <w:r>
              <w:rPr/>
              <w:t xml:space="preserve"> </w:t>
            </w:r>
            <w:r>
              <w:rPr>
                <w:spacing w:val="11"/>
              </w:rPr>
              <w:t>处罚法》等法律法规</w:t>
            </w:r>
            <w:r>
              <w:rPr>
                <w:spacing w:val="-18"/>
              </w:rPr>
              <w:t xml:space="preserve"> </w:t>
            </w:r>
            <w:r>
              <w:rPr>
                <w:spacing w:val="11"/>
              </w:rPr>
              <w:t>，</w:t>
            </w:r>
            <w:r>
              <w:rPr>
                <w:spacing w:val="-31"/>
              </w:rPr>
              <w:t xml:space="preserve"> </w:t>
            </w:r>
            <w:r>
              <w:rPr>
                <w:spacing w:val="11"/>
              </w:rPr>
              <w:t>中国证监会决定对公司及控股股东、</w:t>
            </w:r>
            <w:r>
              <w:rPr/>
              <w:t xml:space="preserve"> </w:t>
            </w:r>
            <w:r>
              <w:rPr>
                <w:spacing w:val="8"/>
              </w:rPr>
              <w:t>实际控制人之一立案。</w:t>
            </w:r>
          </w:p>
        </w:tc>
      </w:tr>
      <w:tr>
        <w:trPr>
          <w:trHeight w:val="1093" w:hRule="atLeast"/>
        </w:trPr>
        <w:tc>
          <w:tcPr>
            <w:tcW w:w="1594" w:type="dxa"/>
            <w:vAlign w:val="top"/>
          </w:tcPr>
          <w:p>
            <w:pPr>
              <w:spacing w:line="38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27"/>
              <w:spacing w:before="86" w:line="178" w:lineRule="auto"/>
              <w:rPr/>
            </w:pPr>
            <w:r>
              <w:rPr>
                <w:spacing w:val="3"/>
              </w:rPr>
              <w:t>002554</w:t>
            </w:r>
          </w:p>
        </w:tc>
        <w:tc>
          <w:tcPr>
            <w:tcW w:w="1572" w:type="dxa"/>
            <w:vAlign w:val="top"/>
          </w:tcPr>
          <w:p>
            <w:pPr>
              <w:spacing w:line="36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62"/>
              <w:spacing w:before="86" w:line="189" w:lineRule="auto"/>
              <w:rPr/>
            </w:pPr>
            <w:r>
              <w:rPr>
                <w:spacing w:val="8"/>
              </w:rPr>
              <w:t>惠博普</w:t>
            </w:r>
          </w:p>
        </w:tc>
        <w:tc>
          <w:tcPr>
            <w:tcW w:w="5775" w:type="dxa"/>
            <w:vAlign w:val="top"/>
          </w:tcPr>
          <w:p>
            <w:pPr>
              <w:pStyle w:val="TableText"/>
              <w:ind w:left="101" w:right="102" w:firstLine="13"/>
              <w:spacing w:before="53"/>
              <w:jc w:val="both"/>
              <w:rPr/>
            </w:pPr>
            <w:r>
              <w:rPr>
                <w:spacing w:val="11"/>
              </w:rPr>
              <w:t>因</w:t>
            </w:r>
            <w:r>
              <w:rPr>
                <w:b/>
                <w:bCs/>
                <w:spacing w:val="11"/>
              </w:rPr>
              <w:t>涉嫌内幕交易</w:t>
            </w:r>
            <w:r>
              <w:rPr>
                <w:b/>
                <w:bCs/>
                <w:spacing w:val="-6"/>
              </w:rPr>
              <w:t xml:space="preserve"> </w:t>
            </w:r>
            <w:r>
              <w:rPr>
                <w:spacing w:val="11"/>
              </w:rPr>
              <w:t>，根据《中华人民共和国证券法》《中华人</w:t>
            </w:r>
            <w:r>
              <w:rPr/>
              <w:t xml:space="preserve"> </w:t>
            </w:r>
            <w:r>
              <w:rPr>
                <w:spacing w:val="11"/>
              </w:rPr>
              <w:t>民共和国行政处罚法》等法律法规</w:t>
            </w:r>
            <w:r>
              <w:rPr>
                <w:spacing w:val="-19"/>
              </w:rPr>
              <w:t xml:space="preserve"> </w:t>
            </w:r>
            <w:r>
              <w:rPr>
                <w:spacing w:val="11"/>
              </w:rPr>
              <w:t>，</w:t>
            </w:r>
            <w:r>
              <w:rPr>
                <w:spacing w:val="-33"/>
              </w:rPr>
              <w:t xml:space="preserve"> </w:t>
            </w:r>
            <w:r>
              <w:rPr>
                <w:spacing w:val="11"/>
              </w:rPr>
              <w:t>2024年2月1日</w:t>
            </w:r>
            <w:r>
              <w:rPr>
                <w:spacing w:val="-19"/>
              </w:rPr>
              <w:t xml:space="preserve"> </w:t>
            </w:r>
            <w:r>
              <w:rPr>
                <w:spacing w:val="11"/>
              </w:rPr>
              <w:t>，</w:t>
            </w:r>
            <w:r>
              <w:rPr>
                <w:spacing w:val="-26"/>
              </w:rPr>
              <w:t xml:space="preserve"> </w:t>
            </w:r>
            <w:r>
              <w:rPr>
                <w:spacing w:val="11"/>
              </w:rPr>
              <w:t>中国</w:t>
            </w:r>
            <w:r>
              <w:rPr/>
              <w:t xml:space="preserve"> </w:t>
            </w:r>
            <w:r>
              <w:rPr>
                <w:spacing w:val="8"/>
              </w:rPr>
              <w:t>证监会决定对董事、总经理立案。</w:t>
            </w:r>
          </w:p>
        </w:tc>
      </w:tr>
    </w:tbl>
    <w:p>
      <w:pPr>
        <w:pStyle w:val="BodyText"/>
        <w:rPr/>
      </w:pPr>
      <w:r/>
    </w:p>
    <w:p>
      <w:pPr>
        <w:sectPr>
          <w:pgSz w:w="11910" w:h="16840"/>
          <w:pgMar w:top="400" w:right="1612" w:bottom="400" w:left="1105" w:header="0" w:footer="0" w:gutter="0"/>
        </w:sectPr>
        <w:rPr/>
      </w:pPr>
    </w:p>
    <w:p>
      <w:pPr>
        <w:spacing w:line="924" w:lineRule="exact"/>
        <w:rPr/>
      </w:pPr>
      <w:r>
        <w:rPr>
          <w:position w:val="-18"/>
        </w:rPr>
        <w:pict>
          <v:group id="_x0000_s30" style="mso-position-vertical-relative:line;mso-position-horizontal-relative:char;width:134.8pt;height:46.25pt;" filled="false" stroked="false" coordsize="2696,925" coordorigin="0,0">
            <v:shape id="_x0000_s32" style="position:absolute;left:0;top:0;width:2696;height:925;" filled="false" stroked="false" type="#_x0000_t75">
              <v:imagedata o:title="" r:id="rId10"/>
            </v:shape>
            <v:shape id="_x0000_s34" style="position:absolute;left:-20;top:-20;width:2736;height:965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377"/>
                      <w:spacing w:before="301" w:line="184" w:lineRule="auto"/>
                      <w:rPr>
                        <w:rFonts w:ascii="Microsoft YaHei" w:hAnsi="Microsoft YaHei" w:eastAsia="Microsoft YaHei" w:cs="Microsoft YaHei"/>
                        <w:sz w:val="28"/>
                        <w:szCs w:val="28"/>
                      </w:rPr>
                    </w:pPr>
                    <w:r>
                      <w:rPr>
                        <w:rFonts w:ascii="Microsoft YaHei" w:hAnsi="Microsoft YaHei" w:eastAsia="Microsoft YaHei" w:cs="Microsoft YaHei"/>
                        <w:sz w:val="28"/>
                        <w:szCs w:val="28"/>
                        <w:color w:val="FFFFFF"/>
                        <w:spacing w:val="-3"/>
                      </w:rPr>
                      <w:t>上交所监管动态</w:t>
                    </w:r>
                  </w:p>
                </w:txbxContent>
              </v:textbox>
            </v:shape>
          </v:group>
        </w:pict>
      </w:r>
    </w:p>
    <w:p>
      <w:pPr>
        <w:pStyle w:val="BodyText"/>
        <w:spacing w:line="280" w:lineRule="auto"/>
        <w:rPr/>
      </w:pPr>
      <w:r/>
    </w:p>
    <w:p>
      <w:pPr>
        <w:ind w:left="938"/>
        <w:spacing w:before="103" w:line="183" w:lineRule="auto"/>
        <w:outlineLvl w:val="1"/>
        <w:rPr>
          <w:rFonts w:ascii="Microsoft YaHei" w:hAnsi="Microsoft YaHei" w:eastAsia="Microsoft YaHei" w:cs="Microsoft YaHei"/>
          <w:sz w:val="24"/>
          <w:szCs w:val="24"/>
        </w:rPr>
      </w:pPr>
      <w:r>
        <w:rPr>
          <w:rFonts w:ascii="Microsoft YaHei" w:hAnsi="Microsoft YaHei" w:eastAsia="Microsoft YaHei" w:cs="Microsoft YaHei"/>
          <w:sz w:val="24"/>
          <w:szCs w:val="24"/>
          <w:b/>
          <w:bCs/>
          <w:color w:val="333333"/>
          <w:spacing w:val="-6"/>
        </w:rPr>
        <w:t>1、上市公司监管动态</w:t>
      </w:r>
    </w:p>
    <w:p>
      <w:pPr>
        <w:ind w:left="424" w:firstLine="482"/>
        <w:spacing w:before="1" w:line="183" w:lineRule="auto"/>
        <w:rPr>
          <w:rFonts w:ascii="Microsoft YaHei" w:hAnsi="Microsoft YaHei" w:eastAsia="Microsoft YaHei" w:cs="Microsoft YaHei"/>
          <w:sz w:val="24"/>
          <w:szCs w:val="24"/>
        </w:rPr>
      </w:pPr>
      <w:r>
        <w:rPr>
          <w:rFonts w:ascii="Microsoft YaHei" w:hAnsi="Microsoft YaHei" w:eastAsia="Microsoft YaHei" w:cs="Microsoft YaHei"/>
          <w:sz w:val="24"/>
          <w:szCs w:val="24"/>
          <w:spacing w:val="-4"/>
        </w:rPr>
        <w:t>2024年2月26日-3月3日</w:t>
      </w:r>
      <w:r>
        <w:rPr>
          <w:rFonts w:ascii="Microsoft YaHei" w:hAnsi="Microsoft YaHei" w:eastAsia="Microsoft YaHei" w:cs="Microsoft YaHei"/>
          <w:sz w:val="24"/>
          <w:szCs w:val="24"/>
          <w:spacing w:val="-39"/>
        </w:rPr>
        <w:t xml:space="preserve"> </w:t>
      </w:r>
      <w:r>
        <w:rPr>
          <w:rFonts w:ascii="Microsoft YaHei" w:hAnsi="Microsoft YaHei" w:eastAsia="Microsoft YaHei" w:cs="Microsoft YaHei"/>
          <w:sz w:val="24"/>
          <w:szCs w:val="24"/>
          <w:spacing w:val="-4"/>
        </w:rPr>
        <w:t>，上交所公司监管部门作出3份监管</w:t>
      </w:r>
      <w:r>
        <w:rPr>
          <w:rFonts w:ascii="Microsoft YaHei" w:hAnsi="Microsoft YaHei" w:eastAsia="Microsoft YaHei" w:cs="Microsoft YaHei"/>
          <w:sz w:val="24"/>
          <w:szCs w:val="24"/>
          <w:spacing w:val="-5"/>
        </w:rPr>
        <w:t>警示函，对3宗行为予以纪律处分。</w:t>
      </w:r>
      <w:r>
        <w:rPr>
          <w:rFonts w:ascii="Microsoft YaHei" w:hAnsi="Microsoft YaHei" w:eastAsia="Microsoft YaHei" w:cs="Microsoft YaHei"/>
          <w:sz w:val="24"/>
          <w:szCs w:val="24"/>
        </w:rPr>
        <w:t xml:space="preserve"> </w:t>
      </w:r>
      <w:r>
        <w:rPr>
          <w:rFonts w:ascii="Microsoft YaHei" w:hAnsi="Microsoft YaHei" w:eastAsia="Microsoft YaHei" w:cs="Microsoft YaHei"/>
          <w:sz w:val="24"/>
          <w:szCs w:val="24"/>
          <w:spacing w:val="-5"/>
        </w:rPr>
        <w:t>同时，加大信息披露和股价异常的联动监管</w:t>
      </w:r>
      <w:r>
        <w:rPr>
          <w:rFonts w:ascii="Microsoft YaHei" w:hAnsi="Microsoft YaHei" w:eastAsia="Microsoft YaHei" w:cs="Microsoft YaHei"/>
          <w:sz w:val="24"/>
          <w:szCs w:val="24"/>
          <w:spacing w:val="-40"/>
        </w:rPr>
        <w:t xml:space="preserve"> </w:t>
      </w:r>
      <w:r>
        <w:rPr>
          <w:rFonts w:ascii="Microsoft YaHei" w:hAnsi="Microsoft YaHei" w:eastAsia="Microsoft YaHei" w:cs="Microsoft YaHei"/>
          <w:sz w:val="24"/>
          <w:szCs w:val="24"/>
          <w:spacing w:val="-5"/>
        </w:rPr>
        <w:t>，针对</w:t>
      </w:r>
      <w:r>
        <w:rPr>
          <w:rFonts w:ascii="Microsoft YaHei" w:hAnsi="Microsoft YaHei" w:eastAsia="Microsoft YaHei" w:cs="Microsoft YaHei"/>
          <w:sz w:val="24"/>
          <w:szCs w:val="24"/>
          <w:spacing w:val="-6"/>
        </w:rPr>
        <w:t>公司披露敏感信息或股价发生明显异常的</w:t>
      </w:r>
      <w:r>
        <w:rPr>
          <w:rFonts w:ascii="Microsoft YaHei" w:hAnsi="Microsoft YaHei" w:eastAsia="Microsoft YaHei" w:cs="Microsoft YaHei"/>
          <w:sz w:val="24"/>
          <w:szCs w:val="24"/>
          <w:spacing w:val="-39"/>
        </w:rPr>
        <w:t xml:space="preserve"> </w:t>
      </w:r>
      <w:r>
        <w:rPr>
          <w:rFonts w:ascii="Microsoft YaHei" w:hAnsi="Microsoft YaHei" w:eastAsia="Microsoft YaHei" w:cs="Microsoft YaHei"/>
          <w:sz w:val="24"/>
          <w:szCs w:val="24"/>
          <w:spacing w:val="-6"/>
        </w:rPr>
        <w:t>，提请启</w:t>
      </w:r>
      <w:r>
        <w:rPr>
          <w:rFonts w:ascii="Microsoft YaHei" w:hAnsi="Microsoft YaHei" w:eastAsia="Microsoft YaHei" w:cs="Microsoft YaHei"/>
          <w:sz w:val="24"/>
          <w:szCs w:val="24"/>
        </w:rPr>
        <w:t xml:space="preserve"> </w:t>
      </w:r>
      <w:r>
        <w:rPr>
          <w:rFonts w:ascii="Microsoft YaHei" w:hAnsi="Microsoft YaHei" w:eastAsia="Microsoft YaHei" w:cs="Microsoft YaHei"/>
          <w:sz w:val="24"/>
          <w:szCs w:val="24"/>
          <w:spacing w:val="-4"/>
        </w:rPr>
        <w:t>动内幕交易、异常交易核查57单。</w:t>
      </w:r>
    </w:p>
    <w:p>
      <w:pPr>
        <w:ind w:firstLine="1606"/>
        <w:spacing w:before="90" w:line="3448" w:lineRule="exact"/>
        <w:rPr/>
      </w:pPr>
      <w:r>
        <w:rPr>
          <w:position w:val="-68"/>
        </w:rPr>
        <w:drawing>
          <wp:inline distT="0" distB="0" distL="0" distR="0">
            <wp:extent cx="5039994" cy="2189480"/>
            <wp:effectExtent l="0" t="0" r="0" b="0"/>
            <wp:docPr id="12" name="IM 12"/>
            <wp:cNvGraphicFramePr/>
            <a:graphic>
              <a:graphicData uri="http://schemas.openxmlformats.org/drawingml/2006/picture">
                <pic:pic>
                  <pic:nvPicPr>
                    <pic:cNvPr id="12" name="IM 12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039994" cy="2189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left="1066"/>
        <w:spacing w:before="343" w:line="225" w:lineRule="auto"/>
        <w:rPr>
          <w:rFonts w:ascii="Microsoft YaHei" w:hAnsi="Microsoft YaHei" w:eastAsia="Microsoft YaHei" w:cs="Microsoft YaHei"/>
          <w:sz w:val="24"/>
          <w:szCs w:val="24"/>
        </w:rPr>
      </w:pPr>
      <w:r>
        <w:rPr>
          <w:rFonts w:ascii="Microsoft YaHei" w:hAnsi="Microsoft YaHei" w:eastAsia="Microsoft YaHei" w:cs="Microsoft YaHei"/>
          <w:sz w:val="24"/>
          <w:szCs w:val="24"/>
          <w:b/>
          <w:bCs/>
          <w:color w:val="333333"/>
          <w:spacing w:val="-20"/>
        </w:rPr>
        <w:t>（</w:t>
      </w:r>
      <w:r>
        <w:rPr>
          <w:rFonts w:ascii="Microsoft YaHei" w:hAnsi="Microsoft YaHei" w:eastAsia="Microsoft YaHei" w:cs="Microsoft YaHei"/>
          <w:sz w:val="24"/>
          <w:szCs w:val="24"/>
          <w:b/>
          <w:bCs/>
          <w:color w:val="333333"/>
          <w:spacing w:val="19"/>
        </w:rPr>
        <w:t xml:space="preserve"> </w:t>
      </w:r>
      <w:r>
        <w:rPr>
          <w:rFonts w:ascii="Microsoft YaHei" w:hAnsi="Microsoft YaHei" w:eastAsia="Microsoft YaHei" w:cs="Microsoft YaHei"/>
          <w:sz w:val="24"/>
          <w:szCs w:val="24"/>
          <w:b/>
          <w:bCs/>
          <w:color w:val="333333"/>
          <w:spacing w:val="-20"/>
        </w:rPr>
        <w:t>1 ）监管措施统计</w:t>
      </w:r>
    </w:p>
    <w:tbl>
      <w:tblPr>
        <w:tblStyle w:val="TableNormal"/>
        <w:tblW w:w="8819" w:type="dxa"/>
        <w:tblInd w:w="1202" w:type="dxa"/>
        <w:tblLayout w:type="fixed"/>
        <w:tblBorders>
          <w:top w:val="single" w:color="C0504D" w:sz="6" w:space="0"/>
          <w:left w:val="single" w:color="C0504D" w:sz="6" w:space="0"/>
          <w:bottom w:val="single" w:color="C0504D" w:sz="6" w:space="0"/>
          <w:right w:val="single" w:color="C0504D" w:sz="6" w:space="0"/>
          <w:insideH w:val="single" w:color="C0504D" w:sz="6" w:space="0"/>
          <w:insideV w:val="single" w:color="C0504D" w:sz="6" w:space="0"/>
        </w:tblBorders>
      </w:tblPr>
      <w:tblGrid>
        <w:gridCol w:w="1276"/>
        <w:gridCol w:w="1215"/>
        <w:gridCol w:w="1324"/>
        <w:gridCol w:w="5004"/>
      </w:tblGrid>
      <w:tr>
        <w:trPr>
          <w:trHeight w:val="374" w:hRule="atLeast"/>
        </w:trPr>
        <w:tc>
          <w:tcPr>
            <w:shd w:val="clear" w:fill="C0504D"/>
            <w:tcW w:w="1276" w:type="dxa"/>
            <w:vAlign w:val="top"/>
          </w:tcPr>
          <w:p>
            <w:pPr>
              <w:pStyle w:val="TableText"/>
              <w:ind w:left="212"/>
              <w:spacing w:before="92" w:line="189" w:lineRule="auto"/>
              <w:rPr/>
            </w:pPr>
            <w:r>
              <w:rPr>
                <w:b/>
                <w:bCs/>
                <w:color w:val="FFFFFF"/>
                <w:spacing w:val="8"/>
              </w:rPr>
              <w:t>公司代码</w:t>
            </w:r>
          </w:p>
        </w:tc>
        <w:tc>
          <w:tcPr>
            <w:shd w:val="clear" w:fill="C0504D"/>
            <w:tcW w:w="1215" w:type="dxa"/>
            <w:vAlign w:val="top"/>
          </w:tcPr>
          <w:p>
            <w:pPr>
              <w:pStyle w:val="TableText"/>
              <w:ind w:left="179"/>
              <w:spacing w:before="92" w:line="189" w:lineRule="auto"/>
              <w:rPr/>
            </w:pPr>
            <w:r>
              <w:rPr>
                <w:b/>
                <w:bCs/>
                <w:color w:val="FFFFFF"/>
                <w:spacing w:val="8"/>
              </w:rPr>
              <w:t>公司简称</w:t>
            </w:r>
          </w:p>
        </w:tc>
        <w:tc>
          <w:tcPr>
            <w:shd w:val="clear" w:fill="C0504D"/>
            <w:tcW w:w="1324" w:type="dxa"/>
            <w:vAlign w:val="top"/>
          </w:tcPr>
          <w:p>
            <w:pPr>
              <w:pStyle w:val="TableText"/>
              <w:ind w:left="246"/>
              <w:spacing w:before="93" w:line="188" w:lineRule="auto"/>
              <w:rPr/>
            </w:pPr>
            <w:r>
              <w:rPr>
                <w:b/>
                <w:bCs/>
                <w:color w:val="FFFFFF"/>
                <w:spacing w:val="5"/>
              </w:rPr>
              <w:t>函件类别</w:t>
            </w:r>
          </w:p>
        </w:tc>
        <w:tc>
          <w:tcPr>
            <w:shd w:val="clear" w:fill="C0504D"/>
            <w:tcW w:w="5004" w:type="dxa"/>
            <w:vAlign w:val="top"/>
          </w:tcPr>
          <w:p>
            <w:pPr>
              <w:pStyle w:val="TableText"/>
              <w:ind w:left="2074"/>
              <w:spacing w:before="92" w:line="189" w:lineRule="auto"/>
              <w:rPr/>
            </w:pPr>
            <w:r>
              <w:rPr>
                <w:b/>
                <w:bCs/>
                <w:color w:val="FFFFFF"/>
                <w:spacing w:val="8"/>
              </w:rPr>
              <w:t>违规类型</w:t>
            </w:r>
          </w:p>
        </w:tc>
      </w:tr>
      <w:tr>
        <w:trPr>
          <w:trHeight w:val="1084" w:hRule="atLeast"/>
        </w:trPr>
        <w:tc>
          <w:tcPr>
            <w:tcW w:w="1276" w:type="dxa"/>
            <w:vAlign w:val="top"/>
          </w:tcPr>
          <w:p>
            <w:pPr>
              <w:spacing w:line="36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70"/>
              <w:spacing w:before="86" w:line="179" w:lineRule="auto"/>
              <w:rPr/>
            </w:pPr>
            <w:r>
              <w:rPr>
                <w:spacing w:val="3"/>
              </w:rPr>
              <w:t>688701</w:t>
            </w:r>
          </w:p>
        </w:tc>
        <w:tc>
          <w:tcPr>
            <w:tcW w:w="1215" w:type="dxa"/>
            <w:vAlign w:val="top"/>
          </w:tcPr>
          <w:p>
            <w:pPr>
              <w:spacing w:line="35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81"/>
              <w:spacing w:before="86" w:line="189" w:lineRule="auto"/>
              <w:rPr/>
            </w:pPr>
            <w:r>
              <w:rPr>
                <w:spacing w:val="8"/>
              </w:rPr>
              <w:t>卓锦股份</w:t>
            </w:r>
          </w:p>
        </w:tc>
        <w:tc>
          <w:tcPr>
            <w:tcW w:w="1324" w:type="dxa"/>
            <w:vAlign w:val="top"/>
          </w:tcPr>
          <w:p>
            <w:pPr>
              <w:spacing w:line="35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36"/>
              <w:spacing w:before="86" w:line="189" w:lineRule="auto"/>
              <w:rPr/>
            </w:pPr>
            <w:r>
              <w:rPr>
                <w:spacing w:val="8"/>
              </w:rPr>
              <w:t>监管警示</w:t>
            </w:r>
          </w:p>
        </w:tc>
        <w:tc>
          <w:tcPr>
            <w:tcW w:w="5004" w:type="dxa"/>
            <w:vAlign w:val="top"/>
          </w:tcPr>
          <w:p>
            <w:pPr>
              <w:pStyle w:val="TableText"/>
              <w:ind w:left="3" w:right="6"/>
              <w:spacing w:before="38" w:line="236" w:lineRule="auto"/>
              <w:rPr/>
            </w:pPr>
            <w:r>
              <w:rPr>
                <w:spacing w:val="10"/>
              </w:rPr>
              <w:t>大股东通过大宗交易减持卓锦股份股票</w:t>
            </w:r>
            <w:r>
              <w:rPr>
                <w:b/>
                <w:bCs/>
                <w:spacing w:val="10"/>
              </w:rPr>
              <w:t>累计</w:t>
            </w:r>
            <w:r>
              <w:rPr>
                <w:b/>
                <w:bCs/>
                <w:spacing w:val="9"/>
              </w:rPr>
              <w:t>达到1%</w:t>
            </w:r>
            <w:r>
              <w:rPr>
                <w:b/>
                <w:bCs/>
                <w:spacing w:val="-26"/>
              </w:rPr>
              <w:t xml:space="preserve"> </w:t>
            </w:r>
            <w:r>
              <w:rPr>
                <w:spacing w:val="9"/>
              </w:rPr>
              <w:t>，</w:t>
            </w:r>
            <w:r>
              <w:rPr/>
              <w:t xml:space="preserve"> </w:t>
            </w:r>
            <w:r>
              <w:rPr>
                <w:spacing w:val="14"/>
              </w:rPr>
              <w:t>未及时告知卓锦股份</w:t>
            </w:r>
            <w:r>
              <w:rPr>
                <w:spacing w:val="-3"/>
              </w:rPr>
              <w:t xml:space="preserve"> </w:t>
            </w:r>
            <w:r>
              <w:rPr>
                <w:spacing w:val="14"/>
              </w:rPr>
              <w:t>，导致卓锦股份信息披露不及时</w:t>
            </w:r>
          </w:p>
          <w:p>
            <w:pPr>
              <w:pStyle w:val="TableText"/>
              <w:ind w:left="13"/>
              <w:spacing w:before="238" w:line="121" w:lineRule="exact"/>
              <w:rPr/>
            </w:pPr>
            <w:r>
              <w:rPr>
                <w:position w:val="3"/>
              </w:rPr>
              <w:t>。</w:t>
            </w:r>
          </w:p>
        </w:tc>
      </w:tr>
      <w:tr>
        <w:trPr>
          <w:trHeight w:val="1084" w:hRule="atLeast"/>
        </w:trPr>
        <w:tc>
          <w:tcPr>
            <w:shd w:val="clear" w:fill="F2DCDC"/>
            <w:tcW w:w="1276" w:type="dxa"/>
            <w:vAlign w:val="top"/>
          </w:tcPr>
          <w:p>
            <w:pPr>
              <w:spacing w:line="36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70"/>
              <w:spacing w:before="86" w:line="178" w:lineRule="auto"/>
              <w:rPr/>
            </w:pPr>
            <w:r>
              <w:rPr>
                <w:spacing w:val="3"/>
              </w:rPr>
              <w:t>600338</w:t>
            </w:r>
          </w:p>
        </w:tc>
        <w:tc>
          <w:tcPr>
            <w:shd w:val="clear" w:fill="F2DCDC"/>
            <w:tcW w:w="1215" w:type="dxa"/>
            <w:vAlign w:val="top"/>
          </w:tcPr>
          <w:p>
            <w:pPr>
              <w:spacing w:line="35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81"/>
              <w:spacing w:before="86" w:line="189" w:lineRule="auto"/>
              <w:rPr/>
            </w:pPr>
            <w:r>
              <w:rPr>
                <w:spacing w:val="8"/>
              </w:rPr>
              <w:t>西藏珠峰</w:t>
            </w:r>
          </w:p>
        </w:tc>
        <w:tc>
          <w:tcPr>
            <w:shd w:val="clear" w:fill="F2DCDC"/>
            <w:tcW w:w="1324" w:type="dxa"/>
            <w:vAlign w:val="top"/>
          </w:tcPr>
          <w:p>
            <w:pPr>
              <w:spacing w:line="35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34"/>
              <w:spacing w:before="86" w:line="188" w:lineRule="auto"/>
              <w:rPr/>
            </w:pPr>
            <w:r>
              <w:rPr>
                <w:spacing w:val="8"/>
              </w:rPr>
              <w:t>通报批评</w:t>
            </w:r>
          </w:p>
        </w:tc>
        <w:tc>
          <w:tcPr>
            <w:shd w:val="clear" w:fill="F2DCDC"/>
            <w:tcW w:w="5004" w:type="dxa"/>
            <w:vAlign w:val="top"/>
          </w:tcPr>
          <w:p>
            <w:pPr>
              <w:pStyle w:val="TableText"/>
              <w:ind w:left="2" w:right="6" w:firstLine="1"/>
              <w:spacing w:before="82" w:line="231" w:lineRule="auto"/>
              <w:jc w:val="both"/>
              <w:rPr/>
            </w:pPr>
            <w:r>
              <w:rPr>
                <w:spacing w:val="16"/>
              </w:rPr>
              <w:t>控股股东所持公司全部股份被</w:t>
            </w:r>
            <w:r>
              <w:rPr>
                <w:b/>
                <w:bCs/>
                <w:spacing w:val="16"/>
              </w:rPr>
              <w:t>司法冻结</w:t>
            </w:r>
            <w:r>
              <w:rPr>
                <w:spacing w:val="16"/>
              </w:rPr>
              <w:t>未及时告知公</w:t>
            </w:r>
            <w:r>
              <w:rPr>
                <w:spacing w:val="10"/>
              </w:rPr>
              <w:t xml:space="preserve"> </w:t>
            </w:r>
            <w:r>
              <w:rPr>
                <w:spacing w:val="13"/>
              </w:rPr>
              <w:t>司并予以披露</w:t>
            </w:r>
            <w:r>
              <w:rPr>
                <w:spacing w:val="-18"/>
              </w:rPr>
              <w:t xml:space="preserve"> </w:t>
            </w:r>
            <w:r>
              <w:rPr>
                <w:spacing w:val="13"/>
              </w:rPr>
              <w:t>，导致相关信息逾期披露超过两年</w:t>
            </w:r>
            <w:r>
              <w:rPr>
                <w:spacing w:val="-20"/>
              </w:rPr>
              <w:t xml:space="preserve"> </w:t>
            </w:r>
            <w:r>
              <w:rPr>
                <w:spacing w:val="13"/>
              </w:rPr>
              <w:t>，信</w:t>
            </w:r>
            <w:r>
              <w:rPr/>
              <w:t xml:space="preserve"> </w:t>
            </w:r>
            <w:r>
              <w:rPr>
                <w:spacing w:val="7"/>
              </w:rPr>
              <w:t>息披露不及时。</w:t>
            </w:r>
          </w:p>
        </w:tc>
      </w:tr>
      <w:tr>
        <w:trPr>
          <w:trHeight w:val="723" w:hRule="atLeast"/>
        </w:trPr>
        <w:tc>
          <w:tcPr>
            <w:tcW w:w="1276" w:type="dxa"/>
            <w:vAlign w:val="top"/>
          </w:tcPr>
          <w:p>
            <w:pPr>
              <w:pStyle w:val="TableText"/>
              <w:ind w:left="270"/>
              <w:spacing w:before="280" w:line="178" w:lineRule="auto"/>
              <w:rPr/>
            </w:pPr>
            <w:r>
              <w:rPr>
                <w:spacing w:val="3"/>
              </w:rPr>
              <w:t>688555</w:t>
            </w:r>
          </w:p>
        </w:tc>
        <w:tc>
          <w:tcPr>
            <w:tcW w:w="1215" w:type="dxa"/>
            <w:vAlign w:val="top"/>
          </w:tcPr>
          <w:p>
            <w:pPr>
              <w:pStyle w:val="TableText"/>
              <w:ind w:left="177"/>
              <w:spacing w:before="263" w:line="190" w:lineRule="auto"/>
              <w:rPr/>
            </w:pPr>
            <w:r>
              <w:rPr>
                <w:spacing w:val="8"/>
              </w:rPr>
              <w:t>退市泽达</w:t>
            </w:r>
          </w:p>
        </w:tc>
        <w:tc>
          <w:tcPr>
            <w:tcW w:w="1324" w:type="dxa"/>
            <w:vAlign w:val="top"/>
          </w:tcPr>
          <w:p>
            <w:pPr>
              <w:pStyle w:val="TableText"/>
              <w:ind w:left="234"/>
              <w:spacing w:before="268" w:line="187" w:lineRule="auto"/>
              <w:rPr/>
            </w:pPr>
            <w:r>
              <w:rPr>
                <w:spacing w:val="8"/>
              </w:rPr>
              <w:t>公开谴责</w:t>
            </w:r>
          </w:p>
        </w:tc>
        <w:tc>
          <w:tcPr>
            <w:tcW w:w="5004" w:type="dxa"/>
            <w:vAlign w:val="top"/>
          </w:tcPr>
          <w:p>
            <w:pPr>
              <w:pStyle w:val="TableText"/>
              <w:ind w:left="5" w:right="6" w:hanging="2"/>
              <w:spacing w:before="83" w:line="220" w:lineRule="auto"/>
              <w:rPr/>
            </w:pPr>
            <w:r>
              <w:rPr>
                <w:spacing w:val="9"/>
              </w:rPr>
              <w:t>未在</w:t>
            </w:r>
            <w:r>
              <w:rPr>
                <w:b/>
                <w:bCs/>
                <w:spacing w:val="9"/>
              </w:rPr>
              <w:t>法定期限内披露</w:t>
            </w:r>
            <w:r>
              <w:rPr>
                <w:spacing w:val="9"/>
              </w:rPr>
              <w:t>2022年年报和2023年第一</w:t>
            </w:r>
            <w:r>
              <w:rPr>
                <w:spacing w:val="8"/>
              </w:rPr>
              <w:t>季度报</w:t>
            </w:r>
            <w:r>
              <w:rPr/>
              <w:t xml:space="preserve"> </w:t>
            </w:r>
            <w:r>
              <w:rPr>
                <w:spacing w:val="8"/>
              </w:rPr>
              <w:t>告；未完成股份</w:t>
            </w:r>
            <w:r>
              <w:rPr>
                <w:b/>
                <w:bCs/>
                <w:spacing w:val="8"/>
              </w:rPr>
              <w:t>回购计划。</w:t>
            </w:r>
          </w:p>
        </w:tc>
      </w:tr>
      <w:tr>
        <w:trPr>
          <w:trHeight w:val="1802" w:hRule="atLeast"/>
        </w:trPr>
        <w:tc>
          <w:tcPr>
            <w:shd w:val="clear" w:fill="F2DCDC"/>
            <w:tcW w:w="1276" w:type="dxa"/>
            <w:vAlign w:val="top"/>
          </w:tcPr>
          <w:p>
            <w:pPr>
              <w:spacing w:line="243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70"/>
              <w:spacing w:before="85" w:line="178" w:lineRule="auto"/>
              <w:rPr/>
            </w:pPr>
            <w:r>
              <w:rPr>
                <w:spacing w:val="3"/>
              </w:rPr>
              <w:t>603603</w:t>
            </w:r>
          </w:p>
        </w:tc>
        <w:tc>
          <w:tcPr>
            <w:shd w:val="clear" w:fill="F2DCDC"/>
            <w:tcW w:w="1215" w:type="dxa"/>
            <w:vAlign w:val="top"/>
          </w:tcPr>
          <w:p>
            <w:pPr>
              <w:spacing w:line="358" w:lineRule="auto"/>
              <w:rPr>
                <w:rFonts w:ascii="Arial"/>
                <w:sz w:val="21"/>
              </w:rPr>
            </w:pPr>
            <w:r/>
          </w:p>
          <w:p>
            <w:pPr>
              <w:spacing w:line="35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26"/>
              <w:spacing w:before="86" w:line="188" w:lineRule="auto"/>
              <w:rPr/>
            </w:pPr>
            <w:r>
              <w:rPr>
                <w:spacing w:val="8"/>
              </w:rPr>
              <w:t>*</w:t>
            </w:r>
            <w:r>
              <w:rPr/>
              <w:t>ST</w:t>
            </w:r>
            <w:r>
              <w:rPr>
                <w:spacing w:val="8"/>
              </w:rPr>
              <w:t>博天</w:t>
            </w:r>
          </w:p>
        </w:tc>
        <w:tc>
          <w:tcPr>
            <w:shd w:val="clear" w:fill="F2DCDC"/>
            <w:tcW w:w="1324" w:type="dxa"/>
            <w:vAlign w:val="top"/>
          </w:tcPr>
          <w:p>
            <w:pPr>
              <w:spacing w:line="358" w:lineRule="auto"/>
              <w:rPr>
                <w:rFonts w:ascii="Arial"/>
                <w:sz w:val="21"/>
              </w:rPr>
            </w:pPr>
            <w:r/>
          </w:p>
          <w:p>
            <w:pPr>
              <w:spacing w:line="35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36"/>
              <w:spacing w:before="86" w:line="189" w:lineRule="auto"/>
              <w:rPr/>
            </w:pPr>
            <w:r>
              <w:rPr>
                <w:spacing w:val="8"/>
              </w:rPr>
              <w:t>监管警示</w:t>
            </w:r>
          </w:p>
        </w:tc>
        <w:tc>
          <w:tcPr>
            <w:shd w:val="clear" w:fill="F2DCDC"/>
            <w:tcW w:w="5004" w:type="dxa"/>
            <w:vAlign w:val="top"/>
          </w:tcPr>
          <w:p>
            <w:pPr>
              <w:pStyle w:val="TableText"/>
              <w:ind w:left="2" w:right="6"/>
              <w:spacing w:before="83" w:line="239" w:lineRule="auto"/>
              <w:jc w:val="both"/>
              <w:rPr/>
            </w:pPr>
            <w:r>
              <w:rPr>
                <w:spacing w:val="13"/>
              </w:rPr>
              <w:t>公司披露的2017-2021年多期</w:t>
            </w:r>
            <w:r>
              <w:rPr>
                <w:b/>
                <w:bCs/>
                <w:spacing w:val="13"/>
              </w:rPr>
              <w:t>定期报告存在虚假记载</w:t>
            </w:r>
            <w:r>
              <w:rPr>
                <w:b/>
                <w:bCs/>
                <w:spacing w:val="3"/>
              </w:rPr>
              <w:t xml:space="preserve"> </w:t>
            </w:r>
            <w:r>
              <w:rPr>
                <w:spacing w:val="15"/>
              </w:rPr>
              <w:t>,  虚假记载的信息披露违法行为持续时间长</w:t>
            </w:r>
            <w:r>
              <w:rPr>
                <w:spacing w:val="-19"/>
              </w:rPr>
              <w:t xml:space="preserve"> </w:t>
            </w:r>
            <w:r>
              <w:rPr>
                <w:spacing w:val="14"/>
              </w:rPr>
              <w:t>，虚假记</w:t>
            </w:r>
            <w:r>
              <w:rPr/>
              <w:t xml:space="preserve"> </w:t>
            </w:r>
            <w:r>
              <w:rPr>
                <w:spacing w:val="8"/>
              </w:rPr>
              <w:t>载金额大、</w:t>
            </w:r>
            <w:r>
              <w:rPr>
                <w:spacing w:val="-12"/>
              </w:rPr>
              <w:t xml:space="preserve"> </w:t>
            </w:r>
            <w:r>
              <w:rPr>
                <w:spacing w:val="8"/>
              </w:rPr>
              <w:t>占比高。此外</w:t>
            </w:r>
            <w:r>
              <w:rPr>
                <w:spacing w:val="-21"/>
              </w:rPr>
              <w:t xml:space="preserve"> </w:t>
            </w:r>
            <w:r>
              <w:rPr>
                <w:spacing w:val="8"/>
              </w:rPr>
              <w:t>，</w:t>
            </w:r>
            <w:r>
              <w:rPr>
                <w:spacing w:val="-34"/>
              </w:rPr>
              <w:t xml:space="preserve"> </w:t>
            </w:r>
            <w:r>
              <w:rPr>
                <w:spacing w:val="8"/>
              </w:rPr>
              <w:t>2023年3月31日</w:t>
            </w:r>
            <w:r>
              <w:rPr>
                <w:spacing w:val="-21"/>
              </w:rPr>
              <w:t xml:space="preserve"> </w:t>
            </w:r>
            <w:r>
              <w:rPr>
                <w:spacing w:val="8"/>
              </w:rPr>
              <w:t>，公司披</w:t>
            </w:r>
            <w:r>
              <w:rPr/>
              <w:t xml:space="preserve"> </w:t>
            </w:r>
            <w:r>
              <w:rPr>
                <w:spacing w:val="13"/>
              </w:rPr>
              <w:t>露《关于前期</w:t>
            </w:r>
            <w:r>
              <w:rPr>
                <w:b/>
                <w:bCs/>
                <w:spacing w:val="13"/>
              </w:rPr>
              <w:t>会计差错</w:t>
            </w:r>
            <w:r>
              <w:rPr>
                <w:spacing w:val="13"/>
              </w:rPr>
              <w:t>更正及追溯调整的公告》 ，对</w:t>
            </w:r>
            <w:r>
              <w:rPr>
                <w:spacing w:val="7"/>
              </w:rPr>
              <w:t xml:space="preserve"> </w:t>
            </w:r>
            <w:r>
              <w:rPr>
                <w:spacing w:val="9"/>
              </w:rPr>
              <w:t>相关财务报表进行追溯调整及更正。</w:t>
            </w:r>
          </w:p>
        </w:tc>
      </w:tr>
      <w:tr>
        <w:trPr>
          <w:trHeight w:val="1802" w:hRule="atLeast"/>
        </w:trPr>
        <w:tc>
          <w:tcPr>
            <w:tcW w:w="1276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70"/>
              <w:spacing w:before="85" w:line="178" w:lineRule="auto"/>
              <w:rPr/>
            </w:pPr>
            <w:r>
              <w:rPr>
                <w:spacing w:val="3"/>
              </w:rPr>
              <w:t>603603</w:t>
            </w:r>
          </w:p>
        </w:tc>
        <w:tc>
          <w:tcPr>
            <w:tcW w:w="1215" w:type="dxa"/>
            <w:vAlign w:val="top"/>
          </w:tcPr>
          <w:p>
            <w:pPr>
              <w:spacing w:line="241" w:lineRule="auto"/>
              <w:rPr>
                <w:rFonts w:ascii="Arial"/>
                <w:sz w:val="21"/>
              </w:rPr>
            </w:pPr>
            <w:r/>
          </w:p>
          <w:p>
            <w:pPr>
              <w:spacing w:line="241" w:lineRule="auto"/>
              <w:rPr>
                <w:rFonts w:ascii="Arial"/>
                <w:sz w:val="21"/>
              </w:rPr>
            </w:pPr>
            <w:r/>
          </w:p>
          <w:p>
            <w:pPr>
              <w:spacing w:line="24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26"/>
              <w:spacing w:before="86" w:line="188" w:lineRule="auto"/>
              <w:rPr/>
            </w:pPr>
            <w:r>
              <w:rPr>
                <w:spacing w:val="8"/>
              </w:rPr>
              <w:t>*</w:t>
            </w:r>
            <w:r>
              <w:rPr/>
              <w:t>ST</w:t>
            </w:r>
            <w:r>
              <w:rPr>
                <w:spacing w:val="8"/>
              </w:rPr>
              <w:t>博天</w:t>
            </w:r>
          </w:p>
        </w:tc>
        <w:tc>
          <w:tcPr>
            <w:tcW w:w="1324" w:type="dxa"/>
            <w:vAlign w:val="top"/>
          </w:tcPr>
          <w:p>
            <w:pPr>
              <w:spacing w:line="241" w:lineRule="auto"/>
              <w:rPr>
                <w:rFonts w:ascii="Arial"/>
                <w:sz w:val="21"/>
              </w:rPr>
            </w:pPr>
            <w:r/>
          </w:p>
          <w:p>
            <w:pPr>
              <w:spacing w:line="241" w:lineRule="auto"/>
              <w:rPr>
                <w:rFonts w:ascii="Arial"/>
                <w:sz w:val="21"/>
              </w:rPr>
            </w:pPr>
            <w:r/>
          </w:p>
          <w:p>
            <w:pPr>
              <w:spacing w:line="24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34"/>
              <w:spacing w:before="86" w:line="188" w:lineRule="auto"/>
              <w:rPr/>
            </w:pPr>
            <w:r>
              <w:rPr>
                <w:spacing w:val="8"/>
              </w:rPr>
              <w:t>通报批评</w:t>
            </w:r>
          </w:p>
        </w:tc>
        <w:tc>
          <w:tcPr>
            <w:tcW w:w="5004" w:type="dxa"/>
            <w:vAlign w:val="top"/>
          </w:tcPr>
          <w:p>
            <w:pPr>
              <w:pStyle w:val="TableText"/>
              <w:ind w:left="2" w:right="6"/>
              <w:spacing w:before="90" w:line="238" w:lineRule="auto"/>
              <w:jc w:val="both"/>
              <w:rPr/>
            </w:pPr>
            <w:r>
              <w:rPr>
                <w:spacing w:val="13"/>
              </w:rPr>
              <w:t>公司披露的2017-2021年多期</w:t>
            </w:r>
            <w:r>
              <w:rPr>
                <w:b/>
                <w:bCs/>
                <w:spacing w:val="13"/>
              </w:rPr>
              <w:t>定期报告存在虚假记载</w:t>
            </w:r>
            <w:r>
              <w:rPr>
                <w:b/>
                <w:bCs/>
                <w:spacing w:val="3"/>
              </w:rPr>
              <w:t xml:space="preserve"> </w:t>
            </w:r>
            <w:r>
              <w:rPr>
                <w:spacing w:val="15"/>
              </w:rPr>
              <w:t>,  虚假记载的信息披露违法行为持续时间长</w:t>
            </w:r>
            <w:r>
              <w:rPr>
                <w:spacing w:val="-19"/>
              </w:rPr>
              <w:t xml:space="preserve"> </w:t>
            </w:r>
            <w:r>
              <w:rPr>
                <w:spacing w:val="14"/>
              </w:rPr>
              <w:t>，虚假记</w:t>
            </w:r>
            <w:r>
              <w:rPr/>
              <w:t xml:space="preserve"> </w:t>
            </w:r>
            <w:r>
              <w:rPr>
                <w:spacing w:val="8"/>
              </w:rPr>
              <w:t>载金额大、</w:t>
            </w:r>
            <w:r>
              <w:rPr>
                <w:spacing w:val="-12"/>
              </w:rPr>
              <w:t xml:space="preserve"> </w:t>
            </w:r>
            <w:r>
              <w:rPr>
                <w:spacing w:val="8"/>
              </w:rPr>
              <w:t>占比高。此外</w:t>
            </w:r>
            <w:r>
              <w:rPr>
                <w:spacing w:val="-21"/>
              </w:rPr>
              <w:t xml:space="preserve"> </w:t>
            </w:r>
            <w:r>
              <w:rPr>
                <w:spacing w:val="8"/>
              </w:rPr>
              <w:t>，</w:t>
            </w:r>
            <w:r>
              <w:rPr>
                <w:spacing w:val="-34"/>
              </w:rPr>
              <w:t xml:space="preserve"> </w:t>
            </w:r>
            <w:r>
              <w:rPr>
                <w:spacing w:val="8"/>
              </w:rPr>
              <w:t>2023年3月31日</w:t>
            </w:r>
            <w:r>
              <w:rPr>
                <w:spacing w:val="-21"/>
              </w:rPr>
              <w:t xml:space="preserve"> </w:t>
            </w:r>
            <w:r>
              <w:rPr>
                <w:spacing w:val="8"/>
              </w:rPr>
              <w:t>，公司披</w:t>
            </w:r>
            <w:r>
              <w:rPr/>
              <w:t xml:space="preserve"> </w:t>
            </w:r>
            <w:r>
              <w:rPr>
                <w:spacing w:val="13"/>
              </w:rPr>
              <w:t>露《关于前期</w:t>
            </w:r>
            <w:r>
              <w:rPr>
                <w:b/>
                <w:bCs/>
                <w:spacing w:val="13"/>
              </w:rPr>
              <w:t>会计差错</w:t>
            </w:r>
            <w:r>
              <w:rPr>
                <w:spacing w:val="13"/>
              </w:rPr>
              <w:t>更正及追溯调整的公告》 ，对</w:t>
            </w:r>
            <w:r>
              <w:rPr>
                <w:spacing w:val="7"/>
              </w:rPr>
              <w:t xml:space="preserve"> </w:t>
            </w:r>
            <w:r>
              <w:rPr>
                <w:spacing w:val="9"/>
              </w:rPr>
              <w:t>相关财务报表进行追溯调整及更正。</w:t>
            </w:r>
          </w:p>
        </w:tc>
      </w:tr>
      <w:tr>
        <w:trPr>
          <w:trHeight w:val="374" w:hRule="atLeast"/>
        </w:trPr>
        <w:tc>
          <w:tcPr>
            <w:shd w:val="clear" w:fill="F2DCDC"/>
            <w:tcW w:w="1276" w:type="dxa"/>
            <w:vAlign w:val="top"/>
          </w:tcPr>
          <w:p>
            <w:pPr>
              <w:pStyle w:val="TableText"/>
              <w:ind w:left="270"/>
              <w:spacing w:before="109" w:line="178" w:lineRule="auto"/>
              <w:rPr/>
            </w:pPr>
            <w:r>
              <w:rPr>
                <w:spacing w:val="3"/>
              </w:rPr>
              <w:t>603595</w:t>
            </w:r>
          </w:p>
        </w:tc>
        <w:tc>
          <w:tcPr>
            <w:shd w:val="clear" w:fill="F2DCDC"/>
            <w:tcW w:w="1215" w:type="dxa"/>
            <w:vAlign w:val="top"/>
          </w:tcPr>
          <w:p>
            <w:pPr>
              <w:pStyle w:val="TableText"/>
              <w:ind w:left="177"/>
              <w:spacing w:before="95" w:line="188" w:lineRule="auto"/>
              <w:rPr/>
            </w:pPr>
            <w:r>
              <w:rPr>
                <w:spacing w:val="8"/>
              </w:rPr>
              <w:t>东尼电子</w:t>
            </w:r>
          </w:p>
        </w:tc>
        <w:tc>
          <w:tcPr>
            <w:shd w:val="clear" w:fill="F2DCDC"/>
            <w:tcW w:w="1324" w:type="dxa"/>
            <w:vAlign w:val="top"/>
          </w:tcPr>
          <w:p>
            <w:pPr>
              <w:pStyle w:val="TableText"/>
              <w:ind w:left="236"/>
              <w:spacing w:before="95" w:line="188" w:lineRule="auto"/>
              <w:rPr/>
            </w:pPr>
            <w:r>
              <w:rPr>
                <w:spacing w:val="8"/>
              </w:rPr>
              <w:t>监管警示</w:t>
            </w:r>
          </w:p>
        </w:tc>
        <w:tc>
          <w:tcPr>
            <w:shd w:val="clear" w:fill="F2DCDC"/>
            <w:tcW w:w="5004" w:type="dxa"/>
            <w:vAlign w:val="top"/>
          </w:tcPr>
          <w:p>
            <w:pPr>
              <w:pStyle w:val="TableText"/>
              <w:ind w:left="2"/>
              <w:spacing w:before="95" w:line="188" w:lineRule="auto"/>
              <w:rPr/>
            </w:pPr>
            <w:r>
              <w:rPr>
                <w:spacing w:val="9"/>
              </w:rPr>
              <w:t>公司</w:t>
            </w:r>
            <w:r>
              <w:rPr>
                <w:b/>
                <w:bCs/>
                <w:spacing w:val="9"/>
              </w:rPr>
              <w:t>重大合同的进展</w:t>
            </w:r>
            <w:r>
              <w:rPr>
                <w:spacing w:val="9"/>
              </w:rPr>
              <w:t>披露不及时、披露不完整。</w:t>
            </w:r>
          </w:p>
        </w:tc>
      </w:tr>
    </w:tbl>
    <w:p>
      <w:pPr>
        <w:pStyle w:val="BodyText"/>
        <w:rPr/>
      </w:pPr>
      <w:r/>
    </w:p>
    <w:p>
      <w:pPr>
        <w:sectPr>
          <w:pgSz w:w="11910" w:h="16840"/>
          <w:pgMar w:top="374" w:right="640" w:bottom="400" w:left="463" w:header="0" w:footer="0" w:gutter="0"/>
        </w:sectPr>
        <w:rPr/>
      </w:pPr>
    </w:p>
    <w:p>
      <w:pPr>
        <w:pStyle w:val="BodyText"/>
        <w:spacing w:line="353" w:lineRule="auto"/>
        <w:rPr/>
      </w:pPr>
      <w:r/>
    </w:p>
    <w:p>
      <w:pPr>
        <w:ind w:left="1085"/>
        <w:spacing w:before="103" w:line="225" w:lineRule="auto"/>
        <w:rPr>
          <w:rFonts w:ascii="Microsoft YaHei" w:hAnsi="Microsoft YaHei" w:eastAsia="Microsoft YaHei" w:cs="Microsoft YaHei"/>
          <w:sz w:val="24"/>
          <w:szCs w:val="24"/>
        </w:rPr>
      </w:pPr>
      <w:r>
        <w:rPr>
          <w:rFonts w:ascii="Microsoft YaHei" w:hAnsi="Microsoft YaHei" w:eastAsia="Microsoft YaHei" w:cs="Microsoft YaHei"/>
          <w:sz w:val="24"/>
          <w:szCs w:val="24"/>
          <w:b/>
          <w:bCs/>
          <w:color w:val="333333"/>
          <w:spacing w:val="-18"/>
        </w:rPr>
        <w:t>（ 2</w:t>
      </w:r>
      <w:r>
        <w:rPr>
          <w:rFonts w:ascii="Microsoft YaHei" w:hAnsi="Microsoft YaHei" w:eastAsia="Microsoft YaHei" w:cs="Microsoft YaHei"/>
          <w:sz w:val="24"/>
          <w:szCs w:val="24"/>
          <w:b/>
          <w:bCs/>
          <w:color w:val="333333"/>
          <w:spacing w:val="21"/>
        </w:rPr>
        <w:t xml:space="preserve"> </w:t>
      </w:r>
      <w:r>
        <w:rPr>
          <w:rFonts w:ascii="Microsoft YaHei" w:hAnsi="Microsoft YaHei" w:eastAsia="Microsoft YaHei" w:cs="Microsoft YaHei"/>
          <w:sz w:val="24"/>
          <w:szCs w:val="24"/>
          <w:b/>
          <w:bCs/>
          <w:color w:val="333333"/>
          <w:spacing w:val="-18"/>
        </w:rPr>
        <w:t>）函件统计</w:t>
      </w:r>
    </w:p>
    <w:p>
      <w:pPr>
        <w:ind w:left="1305"/>
        <w:spacing w:before="293" w:line="184" w:lineRule="auto"/>
        <w:rPr>
          <w:rFonts w:ascii="Microsoft YaHei" w:hAnsi="Microsoft YaHei" w:eastAsia="Microsoft YaHei" w:cs="Microsoft YaHei"/>
          <w:sz w:val="22"/>
          <w:szCs w:val="22"/>
        </w:rPr>
      </w:pPr>
      <w:r>
        <w:rPr>
          <w:rFonts w:ascii="Microsoft YaHei" w:hAnsi="Microsoft YaHei" w:eastAsia="Microsoft YaHei" w:cs="Microsoft YaHei"/>
          <w:sz w:val="22"/>
          <w:szCs w:val="22"/>
          <w:spacing w:val="-5"/>
        </w:rPr>
        <w:t>2024年2月26日-3月3日</w:t>
      </w:r>
      <w:r>
        <w:rPr>
          <w:rFonts w:ascii="Microsoft YaHei" w:hAnsi="Microsoft YaHei" w:eastAsia="Microsoft YaHei" w:cs="Microsoft YaHei"/>
          <w:sz w:val="22"/>
          <w:szCs w:val="22"/>
          <w:spacing w:val="-20"/>
        </w:rPr>
        <w:t xml:space="preserve"> </w:t>
      </w:r>
      <w:r>
        <w:rPr>
          <w:rFonts w:ascii="Microsoft YaHei" w:hAnsi="Microsoft YaHei" w:eastAsia="Microsoft YaHei" w:cs="Microsoft YaHei"/>
          <w:sz w:val="22"/>
          <w:szCs w:val="22"/>
          <w:spacing w:val="-5"/>
        </w:rPr>
        <w:t>，上交所发出1份监管问询函。</w:t>
      </w:r>
    </w:p>
    <w:p>
      <w:pPr>
        <w:spacing w:line="87" w:lineRule="auto"/>
        <w:rPr>
          <w:rFonts w:ascii="Arial"/>
          <w:sz w:val="2"/>
        </w:rPr>
      </w:pPr>
      <w:r>
        <w:rPr>
          <w:rFonts w:ascii="Arial"/>
          <w:sz w:val="2"/>
        </w:rPr>
      </w:r>
    </w:p>
    <w:tbl>
      <w:tblPr>
        <w:tblStyle w:val="TableNormal"/>
        <w:tblW w:w="8829" w:type="dxa"/>
        <w:tblInd w:w="1221" w:type="dxa"/>
        <w:tblLayout w:type="fixed"/>
        <w:tblBorders>
          <w:top w:val="single" w:color="C0504D" w:sz="6" w:space="0"/>
          <w:left w:val="single" w:color="C0504D" w:sz="6" w:space="0"/>
          <w:bottom w:val="single" w:color="C0504D" w:sz="6" w:space="0"/>
          <w:right w:val="single" w:color="C0504D" w:sz="6" w:space="0"/>
          <w:insideH w:val="single" w:color="C0504D" w:sz="6" w:space="0"/>
          <w:insideV w:val="single" w:color="C0504D" w:sz="6" w:space="0"/>
        </w:tblBorders>
      </w:tblPr>
      <w:tblGrid>
        <w:gridCol w:w="1276"/>
        <w:gridCol w:w="1215"/>
        <w:gridCol w:w="6338"/>
      </w:tblGrid>
      <w:tr>
        <w:trPr>
          <w:trHeight w:val="372" w:hRule="atLeast"/>
        </w:trPr>
        <w:tc>
          <w:tcPr>
            <w:shd w:val="clear" w:fill="C0504D"/>
            <w:tcW w:w="1276" w:type="dxa"/>
            <w:vAlign w:val="top"/>
            <w:tcBorders>
              <w:bottom w:val="single" w:color="C0504D" w:sz="10" w:space="0"/>
            </w:tcBorders>
          </w:tcPr>
          <w:p>
            <w:pPr>
              <w:pStyle w:val="TableText"/>
              <w:ind w:left="212"/>
              <w:spacing w:before="91" w:line="189" w:lineRule="auto"/>
              <w:rPr/>
            </w:pPr>
            <w:r>
              <w:rPr>
                <w:b/>
                <w:bCs/>
                <w:color w:val="FFFFFF"/>
                <w:spacing w:val="8"/>
              </w:rPr>
              <w:t>公司代码</w:t>
            </w:r>
          </w:p>
        </w:tc>
        <w:tc>
          <w:tcPr>
            <w:shd w:val="clear" w:fill="C0504D"/>
            <w:tcW w:w="1215" w:type="dxa"/>
            <w:vAlign w:val="top"/>
            <w:tcBorders>
              <w:bottom w:val="single" w:color="C0504D" w:sz="10" w:space="0"/>
            </w:tcBorders>
          </w:tcPr>
          <w:p>
            <w:pPr>
              <w:pStyle w:val="TableText"/>
              <w:ind w:left="179"/>
              <w:spacing w:before="91" w:line="189" w:lineRule="auto"/>
              <w:rPr/>
            </w:pPr>
            <w:r>
              <w:rPr>
                <w:b/>
                <w:bCs/>
                <w:color w:val="FFFFFF"/>
                <w:spacing w:val="8"/>
              </w:rPr>
              <w:t>公司简称</w:t>
            </w:r>
          </w:p>
        </w:tc>
        <w:tc>
          <w:tcPr>
            <w:shd w:val="clear" w:fill="C0504D"/>
            <w:tcW w:w="6338" w:type="dxa"/>
            <w:vAlign w:val="top"/>
            <w:tcBorders>
              <w:bottom w:val="single" w:color="C0504D" w:sz="10" w:space="0"/>
            </w:tcBorders>
          </w:tcPr>
          <w:p>
            <w:pPr>
              <w:pStyle w:val="TableText"/>
              <w:ind w:left="2752"/>
              <w:spacing w:before="93" w:line="188" w:lineRule="auto"/>
              <w:rPr/>
            </w:pPr>
            <w:r>
              <w:rPr>
                <w:b/>
                <w:bCs/>
                <w:color w:val="FFFFFF"/>
                <w:spacing w:val="5"/>
              </w:rPr>
              <w:t>函件类别</w:t>
            </w:r>
          </w:p>
        </w:tc>
      </w:tr>
      <w:tr>
        <w:trPr>
          <w:trHeight w:val="362" w:hRule="atLeast"/>
        </w:trPr>
        <w:tc>
          <w:tcPr>
            <w:tcW w:w="1276" w:type="dxa"/>
            <w:vAlign w:val="top"/>
            <w:tcBorders>
              <w:top w:val="single" w:color="C0504D" w:sz="10" w:space="0"/>
            </w:tcBorders>
          </w:tcPr>
          <w:p>
            <w:pPr>
              <w:pStyle w:val="TableText"/>
              <w:ind w:left="270"/>
              <w:spacing w:before="97" w:line="178" w:lineRule="auto"/>
              <w:rPr/>
            </w:pPr>
            <w:r>
              <w:rPr>
                <w:spacing w:val="3"/>
              </w:rPr>
              <w:t>603555</w:t>
            </w:r>
          </w:p>
        </w:tc>
        <w:tc>
          <w:tcPr>
            <w:tcW w:w="1215" w:type="dxa"/>
            <w:vAlign w:val="top"/>
            <w:tcBorders>
              <w:top w:val="single" w:color="C0504D" w:sz="10" w:space="0"/>
            </w:tcBorders>
          </w:tcPr>
          <w:p>
            <w:pPr>
              <w:pStyle w:val="TableText"/>
              <w:ind w:left="277"/>
              <w:spacing w:before="84" w:line="187" w:lineRule="auto"/>
              <w:rPr/>
            </w:pPr>
            <w:r>
              <w:rPr/>
              <w:t>ST</w:t>
            </w:r>
            <w:r>
              <w:rPr>
                <w:spacing w:val="8"/>
              </w:rPr>
              <w:t>贵人</w:t>
            </w:r>
          </w:p>
        </w:tc>
        <w:tc>
          <w:tcPr>
            <w:tcW w:w="6338" w:type="dxa"/>
            <w:vAlign w:val="top"/>
            <w:tcBorders>
              <w:top w:val="single" w:color="C0504D" w:sz="10" w:space="0"/>
            </w:tcBorders>
          </w:tcPr>
          <w:p>
            <w:pPr>
              <w:pStyle w:val="TableText"/>
              <w:ind w:left="2857"/>
              <w:spacing w:before="83" w:line="188" w:lineRule="auto"/>
              <w:rPr/>
            </w:pPr>
            <w:r>
              <w:rPr>
                <w:spacing w:val="4"/>
              </w:rPr>
              <w:t>问询函</w:t>
            </w:r>
          </w:p>
        </w:tc>
      </w:tr>
    </w:tbl>
    <w:p>
      <w:pPr>
        <w:pStyle w:val="BodyText"/>
        <w:spacing w:line="318" w:lineRule="auto"/>
        <w:rPr/>
      </w:pPr>
      <w:r/>
    </w:p>
    <w:p>
      <w:pPr>
        <w:ind w:left="460"/>
        <w:spacing w:before="103" w:line="183" w:lineRule="auto"/>
        <w:outlineLvl w:val="1"/>
        <w:rPr>
          <w:rFonts w:ascii="Microsoft YaHei" w:hAnsi="Microsoft YaHei" w:eastAsia="Microsoft YaHei" w:cs="Microsoft YaHei"/>
          <w:sz w:val="24"/>
          <w:szCs w:val="24"/>
        </w:rPr>
      </w:pPr>
      <w:r>
        <w:rPr>
          <w:rFonts w:ascii="Microsoft YaHei" w:hAnsi="Microsoft YaHei" w:eastAsia="Microsoft YaHei" w:cs="Microsoft YaHei"/>
          <w:sz w:val="24"/>
          <w:szCs w:val="24"/>
          <w:b/>
          <w:bCs/>
          <w:color w:val="333333"/>
          <w:spacing w:val="-5"/>
        </w:rPr>
        <w:t>2、市场交易监管</w:t>
      </w:r>
    </w:p>
    <w:p>
      <w:pPr>
        <w:pStyle w:val="BodyText"/>
        <w:spacing w:line="265" w:lineRule="auto"/>
        <w:rPr/>
      </w:pPr>
      <w:r/>
    </w:p>
    <w:p>
      <w:pPr>
        <w:ind w:firstLine="461"/>
        <w:spacing w:before="95" w:line="198" w:lineRule="auto"/>
        <w:rPr>
          <w:rFonts w:ascii="Microsoft YaHei" w:hAnsi="Microsoft YaHei" w:eastAsia="Microsoft YaHei" w:cs="Microsoft YaHei"/>
          <w:sz w:val="22"/>
          <w:szCs w:val="22"/>
        </w:rPr>
      </w:pPr>
      <w:r>
        <w:rPr>
          <w:rFonts w:ascii="Microsoft YaHei" w:hAnsi="Microsoft YaHei" w:eastAsia="Microsoft YaHei" w:cs="Microsoft YaHei"/>
          <w:sz w:val="22"/>
          <w:szCs w:val="22"/>
          <w:spacing w:val="-2"/>
        </w:rPr>
        <w:t>2024年2月26日-3月3日</w:t>
      </w:r>
      <w:r>
        <w:rPr>
          <w:rFonts w:ascii="Microsoft YaHei" w:hAnsi="Microsoft YaHei" w:eastAsia="Microsoft YaHei" w:cs="Microsoft YaHei"/>
          <w:sz w:val="22"/>
          <w:szCs w:val="22"/>
          <w:spacing w:val="-16"/>
        </w:rPr>
        <w:t xml:space="preserve"> </w:t>
      </w:r>
      <w:r>
        <w:rPr>
          <w:rFonts w:ascii="Microsoft YaHei" w:hAnsi="Microsoft YaHei" w:eastAsia="Microsoft YaHei" w:cs="Microsoft YaHei"/>
          <w:sz w:val="22"/>
          <w:szCs w:val="22"/>
          <w:spacing w:val="-2"/>
        </w:rPr>
        <w:t>，上交所对82起拉抬打压、虚假申报等证券异常交易行为采取了书面警示等监管措施，</w:t>
      </w:r>
      <w:r>
        <w:rPr>
          <w:rFonts w:ascii="Microsoft YaHei" w:hAnsi="Microsoft YaHei" w:eastAsia="Microsoft YaHei" w:cs="Microsoft YaHei"/>
          <w:sz w:val="22"/>
          <w:szCs w:val="22"/>
        </w:rPr>
        <w:t xml:space="preserve"> </w:t>
      </w:r>
      <w:r>
        <w:rPr>
          <w:rFonts w:ascii="Microsoft YaHei" w:hAnsi="Microsoft YaHei" w:eastAsia="Microsoft YaHei" w:cs="Microsoft YaHei"/>
          <w:sz w:val="22"/>
          <w:szCs w:val="22"/>
          <w:spacing w:val="-1"/>
        </w:rPr>
        <w:t>对严重异常波动股票进行重点监控</w:t>
      </w:r>
      <w:r>
        <w:rPr>
          <w:rFonts w:ascii="Microsoft YaHei" w:hAnsi="Microsoft YaHei" w:eastAsia="Microsoft YaHei" w:cs="Microsoft YaHei"/>
          <w:sz w:val="22"/>
          <w:szCs w:val="22"/>
          <w:spacing w:val="-31"/>
        </w:rPr>
        <w:t xml:space="preserve"> </w:t>
      </w:r>
      <w:r>
        <w:rPr>
          <w:rFonts w:ascii="Microsoft YaHei" w:hAnsi="Microsoft YaHei" w:eastAsia="Microsoft YaHei" w:cs="Microsoft YaHei"/>
          <w:sz w:val="22"/>
          <w:szCs w:val="22"/>
          <w:spacing w:val="-1"/>
        </w:rPr>
        <w:t>，对145起上市公司重大事项等进行专项核查。</w:t>
      </w:r>
    </w:p>
    <w:p>
      <w:pPr>
        <w:spacing w:line="198" w:lineRule="auto"/>
        <w:sectPr>
          <w:pgSz w:w="11910" w:h="16840"/>
          <w:pgMar w:top="400" w:right="307" w:bottom="400" w:left="444" w:header="0" w:footer="0" w:gutter="0"/>
        </w:sectPr>
        <w:rPr>
          <w:rFonts w:ascii="Microsoft YaHei" w:hAnsi="Microsoft YaHei" w:eastAsia="Microsoft YaHei" w:cs="Microsoft YaHei"/>
          <w:sz w:val="22"/>
          <w:szCs w:val="22"/>
        </w:rPr>
      </w:pPr>
    </w:p>
    <w:p>
      <w:pPr>
        <w:spacing w:line="924" w:lineRule="exact"/>
        <w:rPr/>
      </w:pPr>
      <w:r>
        <w:rPr>
          <w:position w:val="-18"/>
        </w:rPr>
        <w:pict>
          <v:group id="_x0000_s36" style="mso-position-vertical-relative:line;mso-position-horizontal-relative:char;width:134.8pt;height:46.25pt;" filled="false" stroked="false" coordsize="2696,925" coordorigin="0,0">
            <v:shape id="_x0000_s38" style="position:absolute;left:0;top:0;width:2696;height:925;" filled="false" stroked="false" type="#_x0000_t75">
              <v:imagedata o:title="" r:id="rId10"/>
            </v:shape>
            <v:shape id="_x0000_s40" style="position:absolute;left:-20;top:-20;width:2736;height:965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372"/>
                      <w:spacing w:before="304" w:line="184" w:lineRule="auto"/>
                      <w:rPr>
                        <w:rFonts w:ascii="Microsoft YaHei" w:hAnsi="Microsoft YaHei" w:eastAsia="Microsoft YaHei" w:cs="Microsoft YaHei"/>
                        <w:sz w:val="28"/>
                        <w:szCs w:val="28"/>
                      </w:rPr>
                    </w:pPr>
                    <w:r>
                      <w:rPr>
                        <w:rFonts w:ascii="Microsoft YaHei" w:hAnsi="Microsoft YaHei" w:eastAsia="Microsoft YaHei" w:cs="Microsoft YaHei"/>
                        <w:sz w:val="28"/>
                        <w:szCs w:val="28"/>
                        <w:color w:val="FFFFFF"/>
                        <w:spacing w:val="-2"/>
                      </w:rPr>
                      <w:t>深交所监管动态</w:t>
                    </w:r>
                  </w:p>
                </w:txbxContent>
              </v:textbox>
            </v:shape>
          </v:group>
        </w:pict>
      </w:r>
    </w:p>
    <w:p>
      <w:pPr>
        <w:pStyle w:val="BodyText"/>
        <w:spacing w:line="289" w:lineRule="auto"/>
        <w:rPr/>
      </w:pPr>
      <w:r/>
    </w:p>
    <w:p>
      <w:pPr>
        <w:ind w:left="941"/>
        <w:spacing w:before="103" w:line="183" w:lineRule="auto"/>
        <w:outlineLvl w:val="1"/>
        <w:rPr>
          <w:rFonts w:ascii="Microsoft YaHei" w:hAnsi="Microsoft YaHei" w:eastAsia="Microsoft YaHei" w:cs="Microsoft YaHei"/>
          <w:sz w:val="24"/>
          <w:szCs w:val="24"/>
        </w:rPr>
      </w:pPr>
      <w:r>
        <w:rPr>
          <w:rFonts w:ascii="Microsoft YaHei" w:hAnsi="Microsoft YaHei" w:eastAsia="Microsoft YaHei" w:cs="Microsoft YaHei"/>
          <w:sz w:val="24"/>
          <w:szCs w:val="24"/>
          <w:b/>
          <w:bCs/>
          <w:color w:val="333333"/>
          <w:spacing w:val="-6"/>
        </w:rPr>
        <w:t>1、上市公司监管动态</w:t>
      </w:r>
    </w:p>
    <w:p>
      <w:pPr>
        <w:spacing w:before="328" w:line="184" w:lineRule="auto"/>
        <w:jc w:val="right"/>
        <w:rPr>
          <w:rFonts w:ascii="Microsoft YaHei" w:hAnsi="Microsoft YaHei" w:eastAsia="Microsoft YaHei" w:cs="Microsoft YaHei"/>
          <w:sz w:val="22"/>
          <w:szCs w:val="22"/>
        </w:rPr>
      </w:pPr>
      <w:r>
        <w:rPr>
          <w:rFonts w:ascii="Microsoft YaHei" w:hAnsi="Microsoft YaHei" w:eastAsia="Microsoft YaHei" w:cs="Microsoft YaHei"/>
          <w:sz w:val="22"/>
          <w:szCs w:val="22"/>
          <w:spacing w:val="-6"/>
        </w:rPr>
        <w:t>2024年2月26日-3月3日，深交所发出5份监管函，对1宗行为予以纪律处分；共发出</w:t>
      </w:r>
      <w:r>
        <w:rPr>
          <w:rFonts w:ascii="Microsoft YaHei" w:hAnsi="Microsoft YaHei" w:eastAsia="Microsoft YaHei" w:cs="Microsoft YaHei"/>
          <w:sz w:val="22"/>
          <w:szCs w:val="22"/>
          <w:spacing w:val="-7"/>
        </w:rPr>
        <w:t>关注函10份。</w:t>
      </w:r>
    </w:p>
    <w:p>
      <w:pPr>
        <w:pStyle w:val="BodyText"/>
        <w:spacing w:line="278" w:lineRule="auto"/>
        <w:rPr/>
      </w:pPr>
      <w:r/>
    </w:p>
    <w:p>
      <w:pPr>
        <w:ind w:firstLine="1823"/>
        <w:spacing w:line="4279" w:lineRule="exact"/>
        <w:rPr/>
      </w:pPr>
      <w:r>
        <w:rPr>
          <w:position w:val="-85"/>
        </w:rPr>
        <w:drawing>
          <wp:inline distT="0" distB="0" distL="0" distR="0">
            <wp:extent cx="5483859" cy="2717165"/>
            <wp:effectExtent l="0" t="0" r="0" b="0"/>
            <wp:docPr id="14" name="IM 14"/>
            <wp:cNvGraphicFramePr/>
            <a:graphic>
              <a:graphicData uri="http://schemas.openxmlformats.org/drawingml/2006/picture">
                <pic:pic>
                  <pic:nvPicPr>
                    <pic:cNvPr id="14" name="IM 14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483859" cy="27171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245" w:lineRule="auto"/>
        <w:rPr/>
      </w:pPr>
      <w:r/>
    </w:p>
    <w:p>
      <w:pPr>
        <w:pStyle w:val="BodyText"/>
        <w:spacing w:line="245" w:lineRule="auto"/>
        <w:rPr/>
      </w:pPr>
      <w:r/>
    </w:p>
    <w:p>
      <w:pPr>
        <w:pStyle w:val="BodyText"/>
        <w:spacing w:line="245" w:lineRule="auto"/>
        <w:rPr/>
      </w:pPr>
      <w:r/>
    </w:p>
    <w:p>
      <w:pPr>
        <w:pStyle w:val="BodyText"/>
        <w:spacing w:line="246" w:lineRule="auto"/>
        <w:rPr/>
      </w:pPr>
      <w:r/>
    </w:p>
    <w:p>
      <w:pPr>
        <w:pStyle w:val="BodyText"/>
        <w:spacing w:line="246" w:lineRule="auto"/>
        <w:rPr/>
      </w:pPr>
      <w:r/>
    </w:p>
    <w:p>
      <w:pPr>
        <w:ind w:left="903"/>
        <w:spacing w:before="102" w:line="225" w:lineRule="auto"/>
        <w:rPr>
          <w:rFonts w:ascii="Microsoft YaHei" w:hAnsi="Microsoft YaHei" w:eastAsia="Microsoft YaHei" w:cs="Microsoft YaHei"/>
          <w:sz w:val="24"/>
          <w:szCs w:val="24"/>
        </w:rPr>
      </w:pPr>
      <w:r>
        <w:rPr>
          <w:rFonts w:ascii="Microsoft YaHei" w:hAnsi="Microsoft YaHei" w:eastAsia="Microsoft YaHei" w:cs="Microsoft YaHei"/>
          <w:sz w:val="24"/>
          <w:szCs w:val="24"/>
          <w:b/>
          <w:bCs/>
          <w:spacing w:val="-10"/>
          <w:w w:val="96"/>
        </w:rPr>
        <w:t>（</w:t>
      </w:r>
      <w:r>
        <w:rPr>
          <w:rFonts w:ascii="Microsoft YaHei" w:hAnsi="Microsoft YaHei" w:eastAsia="Microsoft YaHei" w:cs="Microsoft YaHei"/>
          <w:sz w:val="24"/>
          <w:szCs w:val="24"/>
          <w:b/>
          <w:bCs/>
          <w:spacing w:val="48"/>
        </w:rPr>
        <w:t xml:space="preserve"> </w:t>
      </w:r>
      <w:r>
        <w:rPr>
          <w:rFonts w:ascii="Microsoft YaHei" w:hAnsi="Microsoft YaHei" w:eastAsia="Microsoft YaHei" w:cs="Microsoft YaHei"/>
          <w:sz w:val="24"/>
          <w:szCs w:val="24"/>
          <w:b/>
          <w:bCs/>
          <w:spacing w:val="-10"/>
          <w:w w:val="96"/>
        </w:rPr>
        <w:t>1</w:t>
      </w:r>
      <w:r>
        <w:rPr>
          <w:rFonts w:ascii="Microsoft YaHei" w:hAnsi="Microsoft YaHei" w:eastAsia="Microsoft YaHei" w:cs="Microsoft YaHei"/>
          <w:sz w:val="24"/>
          <w:szCs w:val="24"/>
          <w:b/>
          <w:bCs/>
          <w:spacing w:val="36"/>
          <w:w w:val="101"/>
        </w:rPr>
        <w:t xml:space="preserve"> </w:t>
      </w:r>
      <w:r>
        <w:rPr>
          <w:rFonts w:ascii="Microsoft YaHei" w:hAnsi="Microsoft YaHei" w:eastAsia="Microsoft YaHei" w:cs="Microsoft YaHei"/>
          <w:sz w:val="24"/>
          <w:szCs w:val="24"/>
          <w:b/>
          <w:bCs/>
          <w:spacing w:val="-10"/>
          <w:w w:val="96"/>
        </w:rPr>
        <w:t>）纪律处分及监管措施</w:t>
      </w:r>
    </w:p>
    <w:p>
      <w:pPr>
        <w:spacing w:line="214" w:lineRule="exact"/>
        <w:rPr/>
      </w:pPr>
      <w:r/>
    </w:p>
    <w:tbl>
      <w:tblPr>
        <w:tblStyle w:val="TableNormal"/>
        <w:tblW w:w="8920" w:type="dxa"/>
        <w:tblInd w:w="1096" w:type="dxa"/>
        <w:tblLayout w:type="fixed"/>
        <w:tblBorders>
          <w:top w:val="single" w:color="4F81BD" w:sz="6" w:space="0"/>
          <w:left w:val="single" w:color="4F81BD" w:sz="6" w:space="0"/>
          <w:bottom w:val="single" w:color="4F81BD" w:sz="6" w:space="0"/>
          <w:right w:val="single" w:color="4F81BD" w:sz="6" w:space="0"/>
          <w:insideH w:val="single" w:color="4F81BD" w:sz="6" w:space="0"/>
          <w:insideV w:val="single" w:color="4F81BD" w:sz="6" w:space="0"/>
        </w:tblBorders>
      </w:tblPr>
      <w:tblGrid>
        <w:gridCol w:w="1789"/>
        <w:gridCol w:w="1484"/>
        <w:gridCol w:w="1497"/>
        <w:gridCol w:w="4150"/>
      </w:tblGrid>
      <w:tr>
        <w:trPr>
          <w:trHeight w:val="391" w:hRule="atLeast"/>
        </w:trPr>
        <w:tc>
          <w:tcPr>
            <w:shd w:val="clear" w:fill="4BACC6"/>
            <w:tcW w:w="1789" w:type="dxa"/>
            <w:vAlign w:val="top"/>
          </w:tcPr>
          <w:p>
            <w:pPr>
              <w:pStyle w:val="TableText"/>
              <w:ind w:left="448"/>
              <w:spacing w:before="93" w:line="183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b/>
                <w:bCs/>
                <w:color w:val="FFFFFF"/>
                <w:spacing w:val="-1"/>
              </w:rPr>
              <w:t>公司代码</w:t>
            </w:r>
          </w:p>
        </w:tc>
        <w:tc>
          <w:tcPr>
            <w:shd w:val="clear" w:fill="4BACC6"/>
            <w:tcW w:w="1484" w:type="dxa"/>
            <w:vAlign w:val="top"/>
          </w:tcPr>
          <w:p>
            <w:pPr>
              <w:pStyle w:val="TableText"/>
              <w:ind w:left="294"/>
              <w:spacing w:before="93" w:line="183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b/>
                <w:bCs/>
                <w:color w:val="FFFFFF"/>
                <w:spacing w:val="-1"/>
              </w:rPr>
              <w:t>公司简称</w:t>
            </w:r>
          </w:p>
        </w:tc>
        <w:tc>
          <w:tcPr>
            <w:shd w:val="clear" w:fill="4BACC6"/>
            <w:tcW w:w="1497" w:type="dxa"/>
            <w:vAlign w:val="top"/>
          </w:tcPr>
          <w:p>
            <w:pPr>
              <w:pStyle w:val="TableText"/>
              <w:ind w:left="304"/>
              <w:spacing w:before="93" w:line="183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b/>
                <w:bCs/>
                <w:color w:val="FFFFFF"/>
                <w:spacing w:val="-1"/>
              </w:rPr>
              <w:t>监管类型</w:t>
            </w:r>
          </w:p>
        </w:tc>
        <w:tc>
          <w:tcPr>
            <w:shd w:val="clear" w:fill="4BACC6"/>
            <w:tcW w:w="4150" w:type="dxa"/>
            <w:vAlign w:val="top"/>
          </w:tcPr>
          <w:p>
            <w:pPr>
              <w:pStyle w:val="TableText"/>
              <w:ind w:left="1627"/>
              <w:spacing w:before="93" w:line="183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b/>
                <w:bCs/>
                <w:color w:val="FFFFFF"/>
                <w:spacing w:val="-1"/>
              </w:rPr>
              <w:t>处理事由</w:t>
            </w:r>
          </w:p>
        </w:tc>
      </w:tr>
      <w:tr>
        <w:trPr>
          <w:trHeight w:val="4312" w:hRule="atLeast"/>
        </w:trPr>
        <w:tc>
          <w:tcPr>
            <w:tcW w:w="1789" w:type="dxa"/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8" w:lineRule="auto"/>
              <w:rPr>
                <w:rFonts w:ascii="Arial"/>
                <w:sz w:val="21"/>
              </w:rPr>
            </w:pPr>
            <w:r/>
          </w:p>
          <w:p>
            <w:pPr>
              <w:spacing w:line="248" w:lineRule="auto"/>
              <w:rPr>
                <w:rFonts w:ascii="Arial"/>
                <w:sz w:val="21"/>
              </w:rPr>
            </w:pPr>
            <w:r/>
          </w:p>
          <w:p>
            <w:pPr>
              <w:spacing w:line="248" w:lineRule="auto"/>
              <w:rPr>
                <w:rFonts w:ascii="Arial"/>
                <w:sz w:val="21"/>
              </w:rPr>
            </w:pPr>
            <w:r/>
          </w:p>
          <w:p>
            <w:pPr>
              <w:spacing w:line="24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525"/>
              <w:spacing w:before="85" w:line="178" w:lineRule="auto"/>
              <w:rPr/>
            </w:pPr>
            <w:r>
              <w:rPr>
                <w:spacing w:val="3"/>
              </w:rPr>
              <w:t>002293</w:t>
            </w:r>
          </w:p>
        </w:tc>
        <w:tc>
          <w:tcPr>
            <w:tcW w:w="1484" w:type="dxa"/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15"/>
              <w:spacing w:before="86" w:line="189" w:lineRule="auto"/>
              <w:rPr/>
            </w:pPr>
            <w:r>
              <w:rPr>
                <w:spacing w:val="8"/>
              </w:rPr>
              <w:t>罗莱生活</w:t>
            </w:r>
          </w:p>
        </w:tc>
        <w:tc>
          <w:tcPr>
            <w:tcW w:w="1497" w:type="dxa"/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30"/>
              <w:spacing w:before="86" w:line="189" w:lineRule="auto"/>
              <w:rPr/>
            </w:pPr>
            <w:r>
              <w:rPr>
                <w:spacing w:val="8"/>
              </w:rPr>
              <w:t>监管函</w:t>
            </w:r>
          </w:p>
        </w:tc>
        <w:tc>
          <w:tcPr>
            <w:tcW w:w="4150" w:type="dxa"/>
            <w:vAlign w:val="top"/>
          </w:tcPr>
          <w:p>
            <w:pPr>
              <w:pStyle w:val="TableText"/>
              <w:ind w:left="103" w:right="103" w:firstLine="1"/>
              <w:spacing w:before="86" w:line="246" w:lineRule="auto"/>
              <w:jc w:val="both"/>
              <w:rPr/>
            </w:pPr>
            <w:r>
              <w:rPr>
                <w:spacing w:val="8"/>
              </w:rPr>
              <w:t>公司于2023年10月26日披露“收到时任董</w:t>
            </w:r>
            <w:r>
              <w:rPr>
                <w:spacing w:val="11"/>
              </w:rPr>
              <w:t xml:space="preserve"> </w:t>
            </w:r>
            <w:r>
              <w:rPr>
                <w:spacing w:val="15"/>
              </w:rPr>
              <w:t>事赵某贤的书面辞职报告</w:t>
            </w:r>
            <w:r>
              <w:rPr>
                <w:spacing w:val="-3"/>
              </w:rPr>
              <w:t xml:space="preserve"> </w:t>
            </w:r>
            <w:r>
              <w:rPr>
                <w:spacing w:val="15"/>
              </w:rPr>
              <w:t>，赵某贤因个人</w:t>
            </w:r>
            <w:r>
              <w:rPr/>
              <w:t xml:space="preserve"> </w:t>
            </w:r>
            <w:r>
              <w:rPr>
                <w:spacing w:val="8"/>
              </w:rPr>
              <w:t>原因辞去董事职务”</w:t>
            </w:r>
            <w:r>
              <w:rPr>
                <w:spacing w:val="-5"/>
              </w:rPr>
              <w:t xml:space="preserve"> </w:t>
            </w:r>
            <w:r>
              <w:rPr>
                <w:spacing w:val="8"/>
              </w:rPr>
              <w:t>，赵某贤在2023年10</w:t>
            </w:r>
            <w:r>
              <w:rPr/>
              <w:t xml:space="preserve"> </w:t>
            </w:r>
            <w:r>
              <w:rPr>
                <w:spacing w:val="13"/>
              </w:rPr>
              <w:t>月26日前并</w:t>
            </w:r>
            <w:r>
              <w:rPr>
                <w:b/>
                <w:bCs/>
                <w:spacing w:val="13"/>
              </w:rPr>
              <w:t>未签署辞职报告</w:t>
            </w:r>
            <w:r>
              <w:rPr>
                <w:b/>
                <w:bCs/>
                <w:spacing w:val="-15"/>
              </w:rPr>
              <w:t xml:space="preserve"> </w:t>
            </w:r>
            <w:r>
              <w:rPr>
                <w:spacing w:val="13"/>
              </w:rPr>
              <w:t>，公司披露信</w:t>
            </w:r>
            <w:r>
              <w:rPr/>
              <w:t xml:space="preserve"> </w:t>
            </w:r>
            <w:r>
              <w:rPr>
                <w:spacing w:val="16"/>
              </w:rPr>
              <w:t>息与实际情况不符；</w:t>
            </w:r>
            <w:r>
              <w:rPr>
                <w:spacing w:val="-21"/>
              </w:rPr>
              <w:t xml:space="preserve"> </w:t>
            </w:r>
            <w:r>
              <w:rPr>
                <w:spacing w:val="16"/>
              </w:rPr>
              <w:t>公司关于第六届董事</w:t>
            </w:r>
            <w:r>
              <w:rPr/>
              <w:t xml:space="preserve"> </w:t>
            </w:r>
            <w:r>
              <w:rPr>
                <w:spacing w:val="13"/>
              </w:rPr>
              <w:t>会第四次（临时）</w:t>
            </w:r>
            <w:r>
              <w:rPr>
                <w:spacing w:val="-8"/>
              </w:rPr>
              <w:t xml:space="preserve"> </w:t>
            </w:r>
            <w:r>
              <w:rPr>
                <w:spacing w:val="13"/>
              </w:rPr>
              <w:t>、第五次（临时）</w:t>
            </w:r>
            <w:r>
              <w:rPr>
                <w:spacing w:val="-18"/>
              </w:rPr>
              <w:t xml:space="preserve"> </w:t>
            </w:r>
            <w:r>
              <w:rPr>
                <w:spacing w:val="13"/>
              </w:rPr>
              <w:t>、第</w:t>
            </w:r>
            <w:r>
              <w:rPr/>
              <w:t xml:space="preserve"> </w:t>
            </w:r>
            <w:r>
              <w:rPr>
                <w:spacing w:val="16"/>
              </w:rPr>
              <w:t>六次（临时）</w:t>
            </w:r>
            <w:r>
              <w:rPr>
                <w:spacing w:val="-21"/>
              </w:rPr>
              <w:t xml:space="preserve"> </w:t>
            </w:r>
            <w:r>
              <w:rPr>
                <w:spacing w:val="16"/>
              </w:rPr>
              <w:t>会议</w:t>
            </w:r>
            <w:r>
              <w:rPr>
                <w:b/>
                <w:bCs/>
                <w:spacing w:val="16"/>
              </w:rPr>
              <w:t>参会人数及表决情况的</w:t>
            </w:r>
            <w:r>
              <w:rPr>
                <w:b/>
                <w:bCs/>
              </w:rPr>
              <w:t xml:space="preserve"> </w:t>
            </w:r>
            <w:r>
              <w:rPr>
                <w:b/>
                <w:bCs/>
                <w:spacing w:val="16"/>
              </w:rPr>
              <w:t>信息披露与实际情况不符</w:t>
            </w:r>
            <w:r>
              <w:rPr>
                <w:spacing w:val="16"/>
              </w:rPr>
              <w:t>；</w:t>
            </w:r>
            <w:r>
              <w:rPr>
                <w:spacing w:val="-21"/>
              </w:rPr>
              <w:t xml:space="preserve"> </w:t>
            </w:r>
            <w:r>
              <w:rPr>
                <w:spacing w:val="16"/>
              </w:rPr>
              <w:t>公司时任</w:t>
            </w:r>
            <w:r>
              <w:rPr>
                <w:b/>
                <w:bCs/>
                <w:spacing w:val="16"/>
              </w:rPr>
              <w:t>董事</w:t>
            </w:r>
            <w:r>
              <w:rPr>
                <w:b/>
                <w:bCs/>
              </w:rPr>
              <w:t xml:space="preserve"> </w:t>
            </w:r>
            <w:r>
              <w:rPr>
                <w:b/>
                <w:bCs/>
                <w:spacing w:val="16"/>
              </w:rPr>
              <w:t>前期被采取留置措施</w:t>
            </w:r>
            <w:r>
              <w:rPr>
                <w:b/>
                <w:bCs/>
                <w:spacing w:val="-21"/>
              </w:rPr>
              <w:t xml:space="preserve"> </w:t>
            </w:r>
            <w:r>
              <w:rPr>
                <w:spacing w:val="16"/>
              </w:rPr>
              <w:t>，无法履行董事职责</w:t>
            </w:r>
            <w:r>
              <w:rPr/>
              <w:t xml:space="preserve"> </w:t>
            </w:r>
            <w:r>
              <w:rPr>
                <w:spacing w:val="16"/>
              </w:rPr>
              <w:t>,  属于应当及时披露的重大事件</w:t>
            </w:r>
            <w:r>
              <w:rPr>
                <w:spacing w:val="-19"/>
              </w:rPr>
              <w:t xml:space="preserve"> </w:t>
            </w:r>
            <w:r>
              <w:rPr>
                <w:spacing w:val="16"/>
              </w:rPr>
              <w:t>，公司在</w:t>
            </w:r>
            <w:r>
              <w:rPr/>
              <w:t xml:space="preserve"> </w:t>
            </w:r>
            <w:r>
              <w:rPr>
                <w:spacing w:val="18"/>
              </w:rPr>
              <w:t>知悉该事项后未按规定及时履行披露义务</w:t>
            </w:r>
          </w:p>
          <w:p>
            <w:pPr>
              <w:pStyle w:val="TableText"/>
              <w:ind w:left="115"/>
              <w:spacing w:before="238" w:line="107" w:lineRule="exact"/>
              <w:rPr/>
            </w:pPr>
            <w:r>
              <w:rPr>
                <w:position w:val="3"/>
              </w:rPr>
              <w:t>。</w:t>
            </w:r>
          </w:p>
        </w:tc>
      </w:tr>
      <w:tr>
        <w:trPr>
          <w:trHeight w:val="1626" w:hRule="atLeast"/>
        </w:trPr>
        <w:tc>
          <w:tcPr>
            <w:shd w:val="clear" w:fill="B8CCE4"/>
            <w:tcW w:w="1789" w:type="dxa"/>
            <w:vAlign w:val="top"/>
          </w:tcPr>
          <w:p>
            <w:pPr>
              <w:spacing w:line="328" w:lineRule="auto"/>
              <w:rPr>
                <w:rFonts w:ascii="Arial"/>
                <w:sz w:val="21"/>
              </w:rPr>
            </w:pPr>
            <w:r/>
          </w:p>
          <w:p>
            <w:pPr>
              <w:spacing w:line="32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525"/>
              <w:spacing w:before="86" w:line="178" w:lineRule="auto"/>
              <w:rPr/>
            </w:pPr>
            <w:r>
              <w:rPr>
                <w:spacing w:val="3"/>
              </w:rPr>
              <w:t>000690</w:t>
            </w:r>
          </w:p>
        </w:tc>
        <w:tc>
          <w:tcPr>
            <w:shd w:val="clear" w:fill="B8CCE4"/>
            <w:tcW w:w="1484" w:type="dxa"/>
            <w:vAlign w:val="top"/>
          </w:tcPr>
          <w:p>
            <w:pPr>
              <w:spacing w:line="320" w:lineRule="auto"/>
              <w:rPr>
                <w:rFonts w:ascii="Arial"/>
                <w:sz w:val="21"/>
              </w:rPr>
            </w:pPr>
            <w:r/>
          </w:p>
          <w:p>
            <w:pPr>
              <w:spacing w:line="32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16"/>
              <w:spacing w:before="86" w:line="190" w:lineRule="auto"/>
              <w:rPr/>
            </w:pPr>
            <w:r>
              <w:rPr>
                <w:spacing w:val="8"/>
              </w:rPr>
              <w:t>宝新能源</w:t>
            </w:r>
          </w:p>
        </w:tc>
        <w:tc>
          <w:tcPr>
            <w:shd w:val="clear" w:fill="B8CCE4"/>
            <w:tcW w:w="1497" w:type="dxa"/>
            <w:vAlign w:val="top"/>
          </w:tcPr>
          <w:p>
            <w:pPr>
              <w:spacing w:line="320" w:lineRule="auto"/>
              <w:rPr>
                <w:rFonts w:ascii="Arial"/>
                <w:sz w:val="21"/>
              </w:rPr>
            </w:pPr>
            <w:r/>
          </w:p>
          <w:p>
            <w:pPr>
              <w:spacing w:line="32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30"/>
              <w:spacing w:before="86" w:line="189" w:lineRule="auto"/>
              <w:rPr/>
            </w:pPr>
            <w:r>
              <w:rPr>
                <w:spacing w:val="8"/>
              </w:rPr>
              <w:t>监管函</w:t>
            </w:r>
          </w:p>
        </w:tc>
        <w:tc>
          <w:tcPr>
            <w:shd w:val="clear" w:fill="B8CCE4"/>
            <w:tcW w:w="4150" w:type="dxa"/>
            <w:vAlign w:val="top"/>
          </w:tcPr>
          <w:p>
            <w:pPr>
              <w:spacing w:line="28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05" w:right="103" w:firstLine="2"/>
              <w:spacing w:before="86" w:line="231" w:lineRule="auto"/>
              <w:jc w:val="both"/>
              <w:rPr/>
            </w:pPr>
            <w:r>
              <w:rPr>
                <w:b/>
                <w:bCs/>
                <w:spacing w:val="16"/>
              </w:rPr>
              <w:t>实际控制人身份披露情况</w:t>
            </w:r>
            <w:r>
              <w:rPr>
                <w:spacing w:val="16"/>
              </w:rPr>
              <w:t>与实际不符；</w:t>
            </w:r>
            <w:r>
              <w:rPr>
                <w:spacing w:val="-25"/>
              </w:rPr>
              <w:t xml:space="preserve"> </w:t>
            </w:r>
            <w:r>
              <w:rPr>
                <w:b/>
                <w:bCs/>
                <w:spacing w:val="16"/>
              </w:rPr>
              <w:t>存</w:t>
            </w:r>
            <w:r>
              <w:rPr>
                <w:b/>
                <w:bCs/>
              </w:rPr>
              <w:t xml:space="preserve"> </w:t>
            </w:r>
            <w:r>
              <w:rPr>
                <w:b/>
                <w:bCs/>
                <w:spacing w:val="16"/>
              </w:rPr>
              <w:t>货管理</w:t>
            </w:r>
            <w:r>
              <w:rPr>
                <w:spacing w:val="16"/>
              </w:rPr>
              <w:t>不规范；</w:t>
            </w:r>
            <w:r>
              <w:rPr>
                <w:spacing w:val="-23"/>
              </w:rPr>
              <w:t xml:space="preserve"> </w:t>
            </w:r>
            <w:r>
              <w:rPr>
                <w:b/>
                <w:bCs/>
                <w:spacing w:val="16"/>
              </w:rPr>
              <w:t>重大信息内部报告权限</w:t>
            </w:r>
            <w:r>
              <w:rPr>
                <w:spacing w:val="16"/>
              </w:rPr>
              <w:t>设</w:t>
            </w:r>
            <w:r>
              <w:rPr/>
              <w:t xml:space="preserve"> </w:t>
            </w:r>
            <w:r>
              <w:rPr>
                <w:spacing w:val="7"/>
              </w:rPr>
              <w:t>置存在缺陷；</w:t>
            </w:r>
            <w:r>
              <w:rPr>
                <w:spacing w:val="-31"/>
              </w:rPr>
              <w:t xml:space="preserve"> </w:t>
            </w:r>
            <w:r>
              <w:rPr>
                <w:b/>
                <w:bCs/>
                <w:spacing w:val="7"/>
              </w:rPr>
              <w:t>内部控制</w:t>
            </w:r>
            <w:r>
              <w:rPr>
                <w:spacing w:val="7"/>
              </w:rPr>
              <w:t>手段落后。</w:t>
            </w:r>
          </w:p>
        </w:tc>
      </w:tr>
      <w:tr>
        <w:trPr>
          <w:trHeight w:val="979" w:hRule="atLeast"/>
        </w:trPr>
        <w:tc>
          <w:tcPr>
            <w:tcW w:w="1789" w:type="dxa"/>
            <w:vAlign w:val="top"/>
          </w:tcPr>
          <w:p>
            <w:pPr>
              <w:spacing w:line="33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525"/>
              <w:spacing w:before="86" w:line="178" w:lineRule="auto"/>
              <w:rPr/>
            </w:pPr>
            <w:r>
              <w:rPr>
                <w:spacing w:val="3"/>
              </w:rPr>
              <w:t>002687</w:t>
            </w:r>
          </w:p>
        </w:tc>
        <w:tc>
          <w:tcPr>
            <w:tcW w:w="1484" w:type="dxa"/>
            <w:vAlign w:val="top"/>
          </w:tcPr>
          <w:p>
            <w:pPr>
              <w:spacing w:line="31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16"/>
              <w:spacing w:before="86" w:line="190" w:lineRule="auto"/>
              <w:rPr/>
            </w:pPr>
            <w:r>
              <w:rPr>
                <w:spacing w:val="8"/>
              </w:rPr>
              <w:t>乔治白</w:t>
            </w:r>
          </w:p>
        </w:tc>
        <w:tc>
          <w:tcPr>
            <w:tcW w:w="1497" w:type="dxa"/>
            <w:vAlign w:val="top"/>
          </w:tcPr>
          <w:p>
            <w:pPr>
              <w:spacing w:line="32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30"/>
              <w:spacing w:before="85" w:line="189" w:lineRule="auto"/>
              <w:rPr/>
            </w:pPr>
            <w:r>
              <w:rPr>
                <w:spacing w:val="8"/>
              </w:rPr>
              <w:t>监管函</w:t>
            </w:r>
          </w:p>
        </w:tc>
        <w:tc>
          <w:tcPr>
            <w:tcW w:w="4150" w:type="dxa"/>
            <w:vAlign w:val="top"/>
          </w:tcPr>
          <w:p>
            <w:pPr>
              <w:spacing w:line="32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05"/>
              <w:spacing w:before="86" w:line="189" w:lineRule="auto"/>
              <w:rPr/>
            </w:pPr>
            <w:r>
              <w:rPr>
                <w:spacing w:val="8"/>
              </w:rPr>
              <w:t>大股东亲属</w:t>
            </w:r>
            <w:r>
              <w:rPr>
                <w:b/>
                <w:bCs/>
                <w:spacing w:val="8"/>
              </w:rPr>
              <w:t>短线交易。</w:t>
            </w:r>
          </w:p>
        </w:tc>
      </w:tr>
    </w:tbl>
    <w:p>
      <w:pPr>
        <w:pStyle w:val="BodyText"/>
        <w:spacing w:line="14" w:lineRule="auto"/>
        <w:rPr>
          <w:sz w:val="2"/>
        </w:rPr>
      </w:pPr>
      <w:r/>
    </w:p>
    <w:p>
      <w:pPr>
        <w:spacing w:line="14" w:lineRule="auto"/>
        <w:sectPr>
          <w:pgSz w:w="11910" w:h="16840"/>
          <w:pgMar w:top="374" w:right="967" w:bottom="323" w:left="460" w:header="0" w:footer="0" w:gutter="0"/>
        </w:sectPr>
        <w:rPr>
          <w:sz w:val="2"/>
          <w:szCs w:val="2"/>
        </w:rPr>
      </w:pPr>
    </w:p>
    <w:tbl>
      <w:tblPr>
        <w:tblStyle w:val="TableNormal"/>
        <w:tblW w:w="8920" w:type="dxa"/>
        <w:tblInd w:w="230" w:type="dxa"/>
        <w:tblLayout w:type="fixed"/>
        <w:tblBorders>
          <w:top w:val="single" w:color="4F81BD" w:sz="6" w:space="0"/>
          <w:left w:val="single" w:color="4F81BD" w:sz="6" w:space="0"/>
          <w:bottom w:val="single" w:color="4F81BD" w:sz="6" w:space="0"/>
          <w:right w:val="single" w:color="4F81BD" w:sz="6" w:space="0"/>
          <w:insideH w:val="single" w:color="4F81BD" w:sz="6" w:space="0"/>
          <w:insideV w:val="single" w:color="4F81BD" w:sz="6" w:space="0"/>
        </w:tblBorders>
      </w:tblPr>
      <w:tblGrid>
        <w:gridCol w:w="1789"/>
        <w:gridCol w:w="1484"/>
        <w:gridCol w:w="1497"/>
        <w:gridCol w:w="4150"/>
      </w:tblGrid>
      <w:tr>
        <w:trPr>
          <w:trHeight w:val="5768" w:hRule="atLeast"/>
        </w:trPr>
        <w:tc>
          <w:tcPr>
            <w:shd w:val="clear" w:fill="B8CCE4"/>
            <w:tcW w:w="1789" w:type="dxa"/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531"/>
              <w:spacing w:before="86" w:line="179" w:lineRule="auto"/>
              <w:rPr/>
            </w:pPr>
            <w:r>
              <w:rPr>
                <w:spacing w:val="3"/>
              </w:rPr>
              <w:t>301099</w:t>
            </w:r>
          </w:p>
        </w:tc>
        <w:tc>
          <w:tcPr>
            <w:shd w:val="clear" w:fill="B8CCE4"/>
            <w:tcW w:w="1484" w:type="dxa"/>
            <w:vAlign w:val="top"/>
          </w:tcPr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13"/>
              <w:spacing w:before="85" w:line="189" w:lineRule="auto"/>
              <w:rPr/>
            </w:pPr>
            <w:r>
              <w:rPr>
                <w:spacing w:val="8"/>
              </w:rPr>
              <w:t>雅创电子</w:t>
            </w:r>
          </w:p>
        </w:tc>
        <w:tc>
          <w:tcPr>
            <w:shd w:val="clear" w:fill="B8CCE4"/>
            <w:tcW w:w="1497" w:type="dxa"/>
            <w:vAlign w:val="top"/>
          </w:tcPr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30"/>
              <w:spacing w:before="85" w:line="189" w:lineRule="auto"/>
              <w:rPr/>
            </w:pPr>
            <w:r>
              <w:rPr>
                <w:spacing w:val="8"/>
              </w:rPr>
              <w:t>监管函</w:t>
            </w:r>
          </w:p>
        </w:tc>
        <w:tc>
          <w:tcPr>
            <w:shd w:val="clear" w:fill="B8CCE4"/>
            <w:tcW w:w="4150" w:type="dxa"/>
            <w:vAlign w:val="top"/>
          </w:tcPr>
          <w:p>
            <w:pPr>
              <w:pStyle w:val="TableText"/>
              <w:ind w:left="104" w:right="103"/>
              <w:spacing w:before="61" w:line="249" w:lineRule="auto"/>
              <w:jc w:val="both"/>
              <w:rPr/>
            </w:pPr>
            <w:r>
              <w:rPr>
                <w:spacing w:val="12"/>
              </w:rPr>
              <w:t>公司于2023</w:t>
            </w:r>
            <w:r>
              <w:rPr>
                <w:spacing w:val="8"/>
              </w:rPr>
              <w:t xml:space="preserve">  </w:t>
            </w:r>
            <w:r>
              <w:rPr>
                <w:spacing w:val="12"/>
              </w:rPr>
              <w:t>年11月10日披露《关于使用</w:t>
            </w:r>
            <w:r>
              <w:rPr/>
              <w:t xml:space="preserve"> </w:t>
            </w:r>
            <w:r>
              <w:rPr>
                <w:spacing w:val="18"/>
              </w:rPr>
              <w:t>募集资金置换预先投入募投项目及已支付</w:t>
            </w:r>
            <w:r>
              <w:rPr>
                <w:spacing w:val="2"/>
              </w:rPr>
              <w:t xml:space="preserve"> </w:t>
            </w:r>
            <w:r>
              <w:rPr>
                <w:spacing w:val="13"/>
              </w:rPr>
              <w:t>发行费用的自筹资金的公告》 ，</w:t>
            </w:r>
            <w:r>
              <w:rPr>
                <w:spacing w:val="-39"/>
              </w:rPr>
              <w:t xml:space="preserve"> </w:t>
            </w:r>
            <w:r>
              <w:rPr>
                <w:spacing w:val="13"/>
              </w:rPr>
              <w:t>显示公司</w:t>
            </w:r>
            <w:r>
              <w:rPr/>
              <w:t xml:space="preserve"> </w:t>
            </w:r>
            <w:r>
              <w:rPr>
                <w:spacing w:val="14"/>
              </w:rPr>
              <w:t>及子公司截至2023年9月30日预先投入募</w:t>
            </w:r>
            <w:r>
              <w:rPr>
                <w:spacing w:val="8"/>
              </w:rPr>
              <w:t xml:space="preserve"> </w:t>
            </w:r>
            <w:r>
              <w:rPr>
                <w:spacing w:val="45"/>
              </w:rPr>
              <w:t>投项目及支付发行费用的自筹资金为</w:t>
            </w:r>
            <w:r>
              <w:rPr>
                <w:spacing w:val="6"/>
              </w:rPr>
              <w:t xml:space="preserve"> </w:t>
            </w:r>
            <w:r>
              <w:rPr>
                <w:spacing w:val="7"/>
              </w:rPr>
              <w:t>12,926.72万元</w:t>
            </w:r>
            <w:r>
              <w:rPr>
                <w:spacing w:val="-12"/>
              </w:rPr>
              <w:t xml:space="preserve"> </w:t>
            </w:r>
            <w:r>
              <w:rPr>
                <w:spacing w:val="7"/>
              </w:rPr>
              <w:t>，公司将使用募集资金予以</w:t>
            </w:r>
            <w:r>
              <w:rPr/>
              <w:t xml:space="preserve"> </w:t>
            </w:r>
            <w:r>
              <w:rPr>
                <w:spacing w:val="10"/>
              </w:rPr>
              <w:t>置换。公司于2024年1月9日披露《关于重</w:t>
            </w:r>
            <w:r>
              <w:rPr>
                <w:spacing w:val="12"/>
              </w:rPr>
              <w:t xml:space="preserve"> </w:t>
            </w:r>
            <w:r>
              <w:rPr>
                <w:spacing w:val="18"/>
              </w:rPr>
              <w:t>新确认使用募集资金置换预先投入募投项</w:t>
            </w:r>
            <w:r>
              <w:rPr>
                <w:spacing w:val="2"/>
              </w:rPr>
              <w:t xml:space="preserve"> </w:t>
            </w:r>
            <w:r>
              <w:rPr>
                <w:spacing w:val="18"/>
              </w:rPr>
              <w:t>目及已支付发行费用的自筹资金的公告》</w:t>
            </w:r>
            <w:r>
              <w:rPr>
                <w:spacing w:val="1"/>
              </w:rPr>
              <w:t xml:space="preserve"> </w:t>
            </w:r>
            <w:r>
              <w:rPr>
                <w:spacing w:val="6"/>
              </w:rPr>
              <w:t>,</w:t>
            </w:r>
            <w:r>
              <w:rPr>
                <w:spacing w:val="31"/>
                <w:w w:val="101"/>
              </w:rPr>
              <w:t xml:space="preserve">  </w:t>
            </w:r>
            <w:r>
              <w:rPr>
                <w:spacing w:val="6"/>
              </w:rPr>
              <w:t>表</w:t>
            </w:r>
            <w:r>
              <w:rPr>
                <w:spacing w:val="-32"/>
              </w:rPr>
              <w:t xml:space="preserve"> </w:t>
            </w:r>
            <w:r>
              <w:rPr>
                <w:spacing w:val="6"/>
              </w:rPr>
              <w:t>示</w:t>
            </w:r>
            <w:r>
              <w:rPr>
                <w:spacing w:val="-31"/>
              </w:rPr>
              <w:t xml:space="preserve"> </w:t>
            </w:r>
            <w:r>
              <w:rPr>
                <w:spacing w:val="6"/>
              </w:rPr>
              <w:t>经</w:t>
            </w:r>
            <w:r>
              <w:rPr>
                <w:spacing w:val="-33"/>
              </w:rPr>
              <w:t xml:space="preserve"> </w:t>
            </w:r>
            <w:r>
              <w:rPr>
                <w:spacing w:val="6"/>
              </w:rPr>
              <w:t>公</w:t>
            </w:r>
            <w:r>
              <w:rPr>
                <w:spacing w:val="-30"/>
              </w:rPr>
              <w:t xml:space="preserve"> </w:t>
            </w:r>
            <w:r>
              <w:rPr>
                <w:spacing w:val="6"/>
              </w:rPr>
              <w:t>司再</w:t>
            </w:r>
            <w:r>
              <w:rPr>
                <w:spacing w:val="-34"/>
              </w:rPr>
              <w:t xml:space="preserve"> </w:t>
            </w:r>
            <w:r>
              <w:rPr>
                <w:spacing w:val="6"/>
              </w:rPr>
              <w:t>度</w:t>
            </w:r>
            <w:r>
              <w:rPr>
                <w:spacing w:val="-32"/>
              </w:rPr>
              <w:t xml:space="preserve"> </w:t>
            </w:r>
            <w:r>
              <w:rPr>
                <w:spacing w:val="6"/>
              </w:rPr>
              <w:t>核</w:t>
            </w:r>
            <w:r>
              <w:rPr>
                <w:spacing w:val="-33"/>
              </w:rPr>
              <w:t xml:space="preserve"> </w:t>
            </w:r>
            <w:r>
              <w:rPr>
                <w:spacing w:val="6"/>
              </w:rPr>
              <w:t>查</w:t>
            </w:r>
            <w:r>
              <w:rPr>
                <w:spacing w:val="-34"/>
              </w:rPr>
              <w:t xml:space="preserve"> </w:t>
            </w:r>
            <w:r>
              <w:rPr>
                <w:spacing w:val="6"/>
              </w:rPr>
              <w:t>确</w:t>
            </w:r>
            <w:r>
              <w:rPr>
                <w:spacing w:val="-32"/>
              </w:rPr>
              <w:t xml:space="preserve"> </w:t>
            </w:r>
            <w:r>
              <w:rPr>
                <w:spacing w:val="6"/>
              </w:rPr>
              <w:t>认 ，</w:t>
            </w:r>
            <w:r>
              <w:rPr>
                <w:spacing w:val="-27"/>
              </w:rPr>
              <w:t xml:space="preserve"> </w:t>
            </w:r>
            <w:r>
              <w:rPr>
                <w:spacing w:val="6"/>
              </w:rPr>
              <w:t>公</w:t>
            </w:r>
            <w:r>
              <w:rPr>
                <w:spacing w:val="-30"/>
              </w:rPr>
              <w:t xml:space="preserve"> </w:t>
            </w:r>
            <w:r>
              <w:rPr>
                <w:spacing w:val="6"/>
              </w:rPr>
              <w:t>司</w:t>
            </w:r>
            <w:r>
              <w:rPr>
                <w:spacing w:val="-33"/>
              </w:rPr>
              <w:t xml:space="preserve"> </w:t>
            </w:r>
            <w:r>
              <w:rPr>
                <w:spacing w:val="6"/>
              </w:rPr>
              <w:t>截至</w:t>
            </w:r>
            <w:r>
              <w:rPr/>
              <w:t xml:space="preserve"> </w:t>
            </w:r>
            <w:r>
              <w:rPr>
                <w:spacing w:val="14"/>
              </w:rPr>
              <w:t>2023年9月30日实际使用募集资金置换预</w:t>
            </w:r>
            <w:r>
              <w:rPr>
                <w:spacing w:val="8"/>
              </w:rPr>
              <w:t xml:space="preserve"> </w:t>
            </w:r>
            <w:r>
              <w:rPr>
                <w:spacing w:val="14"/>
              </w:rPr>
              <w:t>先投入自筹资金的金额应为9,386.99万元</w:t>
            </w:r>
            <w:r>
              <w:rPr>
                <w:spacing w:val="18"/>
              </w:rPr>
              <w:t xml:space="preserve"> </w:t>
            </w:r>
            <w:r>
              <w:rPr>
                <w:spacing w:val="11"/>
              </w:rPr>
              <w:t>,  公司</w:t>
            </w:r>
            <w:r>
              <w:rPr>
                <w:b/>
                <w:bCs/>
                <w:spacing w:val="11"/>
              </w:rPr>
              <w:t>前次多置换了3,352.45万元</w:t>
            </w:r>
            <w:r>
              <w:rPr>
                <w:b/>
                <w:bCs/>
                <w:spacing w:val="-19"/>
              </w:rPr>
              <w:t xml:space="preserve"> </w:t>
            </w:r>
            <w:r>
              <w:rPr>
                <w:spacing w:val="11"/>
              </w:rPr>
              <w:t>，公司</w:t>
            </w:r>
            <w:r>
              <w:rPr/>
              <w:t xml:space="preserve"> </w:t>
            </w:r>
            <w:r>
              <w:rPr>
                <w:spacing w:val="18"/>
              </w:rPr>
              <w:t>已将多置换的募集资金及相应利息退回至</w:t>
            </w:r>
            <w:r>
              <w:rPr>
                <w:spacing w:val="2"/>
              </w:rPr>
              <w:t xml:space="preserve"> </w:t>
            </w:r>
            <w:r>
              <w:rPr>
                <w:spacing w:val="18"/>
              </w:rPr>
              <w:t>全资子公司上海谭慕半导体科技有限公司</w:t>
            </w:r>
            <w:r>
              <w:rPr>
                <w:spacing w:val="2"/>
              </w:rPr>
              <w:t xml:space="preserve"> </w:t>
            </w:r>
            <w:r>
              <w:rPr>
                <w:spacing w:val="8"/>
              </w:rPr>
              <w:t>募集资金专户。</w:t>
            </w:r>
          </w:p>
        </w:tc>
      </w:tr>
      <w:tr>
        <w:trPr>
          <w:trHeight w:val="554" w:hRule="atLeast"/>
        </w:trPr>
        <w:tc>
          <w:tcPr>
            <w:tcW w:w="1789" w:type="dxa"/>
            <w:vAlign w:val="top"/>
          </w:tcPr>
          <w:p>
            <w:pPr>
              <w:pStyle w:val="TableText"/>
              <w:ind w:left="525"/>
              <w:spacing w:before="199" w:line="178" w:lineRule="auto"/>
              <w:rPr/>
            </w:pPr>
            <w:r>
              <w:rPr>
                <w:spacing w:val="3"/>
              </w:rPr>
              <w:t>000426</w:t>
            </w:r>
          </w:p>
        </w:tc>
        <w:tc>
          <w:tcPr>
            <w:tcW w:w="1484" w:type="dxa"/>
            <w:vAlign w:val="top"/>
          </w:tcPr>
          <w:p>
            <w:pPr>
              <w:pStyle w:val="TableText"/>
              <w:ind w:left="315"/>
              <w:spacing w:before="186" w:line="188" w:lineRule="auto"/>
              <w:rPr/>
            </w:pPr>
            <w:r>
              <w:rPr>
                <w:spacing w:val="8"/>
              </w:rPr>
              <w:t>兴业银锡</w:t>
            </w:r>
          </w:p>
        </w:tc>
        <w:tc>
          <w:tcPr>
            <w:tcW w:w="1497" w:type="dxa"/>
            <w:vAlign w:val="top"/>
          </w:tcPr>
          <w:p>
            <w:pPr>
              <w:pStyle w:val="TableText"/>
              <w:ind w:left="430"/>
              <w:spacing w:before="184" w:line="189" w:lineRule="auto"/>
              <w:rPr/>
            </w:pPr>
            <w:r>
              <w:rPr>
                <w:spacing w:val="8"/>
              </w:rPr>
              <w:t>监管函</w:t>
            </w:r>
          </w:p>
        </w:tc>
        <w:tc>
          <w:tcPr>
            <w:tcW w:w="4150" w:type="dxa"/>
            <w:vAlign w:val="top"/>
          </w:tcPr>
          <w:p>
            <w:pPr>
              <w:pStyle w:val="TableText"/>
              <w:ind w:left="106"/>
              <w:spacing w:before="184" w:line="189" w:lineRule="auto"/>
              <w:rPr/>
            </w:pPr>
            <w:r>
              <w:rPr>
                <w:spacing w:val="8"/>
              </w:rPr>
              <w:t>监事亲属</w:t>
            </w:r>
            <w:r>
              <w:rPr>
                <w:b/>
                <w:bCs/>
                <w:spacing w:val="8"/>
              </w:rPr>
              <w:t>短线交易。</w:t>
            </w:r>
          </w:p>
        </w:tc>
      </w:tr>
      <w:tr>
        <w:trPr>
          <w:trHeight w:val="2172" w:hRule="atLeast"/>
        </w:trPr>
        <w:tc>
          <w:tcPr>
            <w:shd w:val="clear" w:fill="B8CCE4"/>
            <w:tcW w:w="1789" w:type="dxa"/>
            <w:vAlign w:val="top"/>
          </w:tcPr>
          <w:p>
            <w:pPr>
              <w:spacing w:line="305" w:lineRule="auto"/>
              <w:rPr>
                <w:rFonts w:ascii="Arial"/>
                <w:sz w:val="21"/>
              </w:rPr>
            </w:pPr>
            <w:r/>
          </w:p>
          <w:p>
            <w:pPr>
              <w:spacing w:line="305" w:lineRule="auto"/>
              <w:rPr>
                <w:rFonts w:ascii="Arial"/>
                <w:sz w:val="21"/>
              </w:rPr>
            </w:pPr>
            <w:r/>
          </w:p>
          <w:p>
            <w:pPr>
              <w:spacing w:line="30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525"/>
              <w:spacing w:before="86" w:line="179" w:lineRule="auto"/>
              <w:rPr/>
            </w:pPr>
            <w:r>
              <w:rPr>
                <w:spacing w:val="3"/>
              </w:rPr>
              <w:t>002291</w:t>
            </w:r>
          </w:p>
        </w:tc>
        <w:tc>
          <w:tcPr>
            <w:shd w:val="clear" w:fill="B8CCE4"/>
            <w:tcW w:w="1484" w:type="dxa"/>
            <w:vAlign w:val="top"/>
          </w:tcPr>
          <w:p>
            <w:pPr>
              <w:spacing w:line="300" w:lineRule="auto"/>
              <w:rPr>
                <w:rFonts w:ascii="Arial"/>
                <w:sz w:val="21"/>
              </w:rPr>
            </w:pPr>
            <w:r/>
          </w:p>
          <w:p>
            <w:pPr>
              <w:spacing w:line="301" w:lineRule="auto"/>
              <w:rPr>
                <w:rFonts w:ascii="Arial"/>
                <w:sz w:val="21"/>
              </w:rPr>
            </w:pPr>
            <w:r/>
          </w:p>
          <w:p>
            <w:pPr>
              <w:spacing w:line="30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13"/>
              <w:spacing w:before="85" w:line="189" w:lineRule="auto"/>
              <w:rPr/>
            </w:pPr>
            <w:r>
              <w:rPr>
                <w:spacing w:val="8"/>
              </w:rPr>
              <w:t>遥望科技</w:t>
            </w:r>
          </w:p>
        </w:tc>
        <w:tc>
          <w:tcPr>
            <w:shd w:val="clear" w:fill="B8CCE4"/>
            <w:tcW w:w="1497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  <w:r/>
          </w:p>
          <w:p>
            <w:pPr>
              <w:spacing w:line="301" w:lineRule="auto"/>
              <w:rPr>
                <w:rFonts w:ascii="Arial"/>
                <w:sz w:val="21"/>
              </w:rPr>
            </w:pPr>
            <w:r/>
          </w:p>
          <w:p>
            <w:pPr>
              <w:spacing w:line="30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22"/>
              <w:spacing w:before="86" w:line="188" w:lineRule="auto"/>
              <w:rPr/>
            </w:pPr>
            <w:r>
              <w:rPr>
                <w:spacing w:val="8"/>
              </w:rPr>
              <w:t>通报批评</w:t>
            </w:r>
          </w:p>
        </w:tc>
        <w:tc>
          <w:tcPr>
            <w:shd w:val="clear" w:fill="B8CCE4"/>
            <w:tcW w:w="4150" w:type="dxa"/>
            <w:vAlign w:val="top"/>
          </w:tcPr>
          <w:p>
            <w:pPr>
              <w:pStyle w:val="TableText"/>
              <w:ind w:left="103" w:right="103" w:firstLine="10"/>
              <w:spacing w:before="94" w:line="241" w:lineRule="auto"/>
              <w:rPr/>
            </w:pPr>
            <w:r>
              <w:rPr>
                <w:spacing w:val="8"/>
              </w:rPr>
              <w:t>2021年至2022年期间公司</w:t>
            </w:r>
            <w:r>
              <w:rPr>
                <w:b/>
                <w:bCs/>
                <w:spacing w:val="8"/>
              </w:rPr>
              <w:t>存货账面值与实</w:t>
            </w:r>
            <w:r>
              <w:rPr>
                <w:b/>
                <w:bCs/>
                <w:spacing w:val="1"/>
              </w:rPr>
              <w:t xml:space="preserve"> </w:t>
            </w:r>
            <w:r>
              <w:rPr>
                <w:b/>
                <w:bCs/>
                <w:spacing w:val="10"/>
              </w:rPr>
              <w:t>际不符</w:t>
            </w:r>
            <w:r>
              <w:rPr>
                <w:spacing w:val="10"/>
              </w:rPr>
              <w:t>；</w:t>
            </w:r>
            <w:r>
              <w:rPr>
                <w:spacing w:val="-20"/>
              </w:rPr>
              <w:t xml:space="preserve"> </w:t>
            </w:r>
            <w:r>
              <w:rPr>
                <w:spacing w:val="10"/>
              </w:rPr>
              <w:t>2019年至  2020年期间部分</w:t>
            </w:r>
            <w:r>
              <w:rPr>
                <w:b/>
                <w:bCs/>
                <w:spacing w:val="10"/>
              </w:rPr>
              <w:t>收入</w:t>
            </w:r>
            <w:r>
              <w:rPr>
                <w:b/>
                <w:bCs/>
              </w:rPr>
              <w:t xml:space="preserve"> </w:t>
            </w:r>
            <w:r>
              <w:rPr>
                <w:b/>
                <w:bCs/>
                <w:spacing w:val="11"/>
              </w:rPr>
              <w:t>确认不恰当</w:t>
            </w:r>
            <w:r>
              <w:rPr>
                <w:spacing w:val="11"/>
              </w:rPr>
              <w:t>；</w:t>
            </w:r>
            <w:r>
              <w:rPr>
                <w:spacing w:val="-22"/>
              </w:rPr>
              <w:t xml:space="preserve"> </w:t>
            </w:r>
            <w:r>
              <w:rPr>
                <w:spacing w:val="11"/>
              </w:rPr>
              <w:t>2019年年报同时</w:t>
            </w:r>
            <w:r>
              <w:rPr>
                <w:b/>
                <w:bCs/>
                <w:spacing w:val="11"/>
              </w:rPr>
              <w:t>虚增收入和</w:t>
            </w:r>
            <w:r>
              <w:rPr>
                <w:b/>
                <w:bCs/>
              </w:rPr>
              <w:t xml:space="preserve"> </w:t>
            </w:r>
            <w:r>
              <w:rPr>
                <w:b/>
                <w:bCs/>
                <w:spacing w:val="18"/>
              </w:rPr>
              <w:t>利润</w:t>
            </w:r>
            <w:r>
              <w:rPr>
                <w:spacing w:val="18"/>
              </w:rPr>
              <w:t>； 2020年年报虚构</w:t>
            </w:r>
            <w:r>
              <w:rPr>
                <w:b/>
                <w:bCs/>
                <w:spacing w:val="18"/>
              </w:rPr>
              <w:t>应收账款回款</w:t>
            </w:r>
            <w:r>
              <w:rPr>
                <w:spacing w:val="18"/>
              </w:rPr>
              <w:t>；</w:t>
            </w:r>
            <w:r>
              <w:rPr>
                <w:spacing w:val="8"/>
              </w:rPr>
              <w:t xml:space="preserve"> </w:t>
            </w:r>
            <w:r>
              <w:rPr>
                <w:spacing w:val="8"/>
              </w:rPr>
              <w:t>2021年年报、2022年年报分别虚增</w:t>
            </w:r>
            <w:r>
              <w:rPr>
                <w:b/>
                <w:bCs/>
                <w:spacing w:val="8"/>
              </w:rPr>
              <w:t>咨询服</w:t>
            </w:r>
            <w:r>
              <w:rPr>
                <w:b/>
                <w:bCs/>
                <w:spacing w:val="12"/>
              </w:rPr>
              <w:t xml:space="preserve"> </w:t>
            </w:r>
            <w:r>
              <w:rPr>
                <w:b/>
                <w:bCs/>
                <w:spacing w:val="5"/>
              </w:rPr>
              <w:t>务费。</w:t>
            </w:r>
          </w:p>
        </w:tc>
      </w:tr>
    </w:tbl>
    <w:p>
      <w:pPr>
        <w:spacing w:before="313" w:line="210" w:lineRule="auto"/>
        <w:rPr>
          <w:rFonts w:ascii="Microsoft YaHei" w:hAnsi="Microsoft YaHei" w:eastAsia="Microsoft YaHei" w:cs="Microsoft YaHei"/>
          <w:sz w:val="24"/>
          <w:szCs w:val="24"/>
        </w:rPr>
      </w:pPr>
      <w:r>
        <w:rPr>
          <w:rFonts w:ascii="Microsoft YaHei" w:hAnsi="Microsoft YaHei" w:eastAsia="Microsoft YaHei" w:cs="Microsoft YaHei"/>
          <w:sz w:val="24"/>
          <w:szCs w:val="24"/>
          <w:b/>
          <w:bCs/>
          <w:spacing w:val="-18"/>
        </w:rPr>
        <w:t>（ 2</w:t>
      </w:r>
      <w:r>
        <w:rPr>
          <w:rFonts w:ascii="Microsoft YaHei" w:hAnsi="Microsoft YaHei" w:eastAsia="Microsoft YaHei" w:cs="Microsoft YaHei"/>
          <w:sz w:val="24"/>
          <w:szCs w:val="24"/>
          <w:b/>
          <w:bCs/>
          <w:spacing w:val="19"/>
          <w:w w:val="101"/>
        </w:rPr>
        <w:t xml:space="preserve"> </w:t>
      </w:r>
      <w:r>
        <w:rPr>
          <w:rFonts w:ascii="Microsoft YaHei" w:hAnsi="Microsoft YaHei" w:eastAsia="Microsoft YaHei" w:cs="Microsoft YaHei"/>
          <w:sz w:val="24"/>
          <w:szCs w:val="24"/>
          <w:b/>
          <w:bCs/>
          <w:spacing w:val="-18"/>
        </w:rPr>
        <w:t>）函件统计</w:t>
      </w:r>
    </w:p>
    <w:tbl>
      <w:tblPr>
        <w:tblStyle w:val="TableNormal"/>
        <w:tblW w:w="8938" w:type="dxa"/>
        <w:tblInd w:w="212" w:type="dxa"/>
        <w:tblLayout w:type="fixed"/>
        <w:tblBorders>
          <w:top w:val="single" w:color="4F81BD" w:sz="6" w:space="0"/>
          <w:left w:val="single" w:color="4F81BD" w:sz="6" w:space="0"/>
          <w:bottom w:val="single" w:color="4F81BD" w:sz="6" w:space="0"/>
          <w:right w:val="single" w:color="4F81BD" w:sz="6" w:space="0"/>
          <w:insideH w:val="single" w:color="4F81BD" w:sz="6" w:space="0"/>
          <w:insideV w:val="single" w:color="4F81BD" w:sz="6" w:space="0"/>
        </w:tblBorders>
      </w:tblPr>
      <w:tblGrid>
        <w:gridCol w:w="1781"/>
        <w:gridCol w:w="1510"/>
        <w:gridCol w:w="5647"/>
      </w:tblGrid>
      <w:tr>
        <w:trPr>
          <w:trHeight w:val="390" w:hRule="atLeast"/>
        </w:trPr>
        <w:tc>
          <w:tcPr>
            <w:shd w:val="clear" w:fill="4BACC6"/>
            <w:tcW w:w="1781" w:type="dxa"/>
            <w:vAlign w:val="top"/>
          </w:tcPr>
          <w:p>
            <w:pPr>
              <w:pStyle w:val="TableText"/>
              <w:ind w:left="445"/>
              <w:spacing w:before="92" w:line="183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b/>
                <w:bCs/>
                <w:color w:val="FFFFFF"/>
                <w:spacing w:val="-1"/>
              </w:rPr>
              <w:t>公司代码</w:t>
            </w:r>
          </w:p>
        </w:tc>
        <w:tc>
          <w:tcPr>
            <w:shd w:val="clear" w:fill="4BACC6"/>
            <w:tcW w:w="1510" w:type="dxa"/>
            <w:vAlign w:val="top"/>
          </w:tcPr>
          <w:p>
            <w:pPr>
              <w:pStyle w:val="TableText"/>
              <w:ind w:left="308"/>
              <w:spacing w:before="92" w:line="183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b/>
                <w:bCs/>
                <w:color w:val="FFFFFF"/>
                <w:spacing w:val="-1"/>
              </w:rPr>
              <w:t>公司简称</w:t>
            </w:r>
          </w:p>
        </w:tc>
        <w:tc>
          <w:tcPr>
            <w:shd w:val="clear" w:fill="4BACC6"/>
            <w:tcW w:w="5647" w:type="dxa"/>
            <w:vAlign w:val="top"/>
          </w:tcPr>
          <w:p>
            <w:pPr>
              <w:pStyle w:val="TableText"/>
              <w:ind w:left="2387"/>
              <w:spacing w:before="92" w:line="183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b/>
                <w:bCs/>
                <w:color w:val="FFFFFF"/>
                <w:spacing w:val="-3"/>
              </w:rPr>
              <w:t>问询类型</w:t>
            </w:r>
          </w:p>
        </w:tc>
      </w:tr>
      <w:tr>
        <w:trPr>
          <w:trHeight w:val="462" w:hRule="atLeast"/>
        </w:trPr>
        <w:tc>
          <w:tcPr>
            <w:tcW w:w="1781" w:type="dxa"/>
            <w:vAlign w:val="top"/>
          </w:tcPr>
          <w:p>
            <w:pPr>
              <w:pStyle w:val="TableText"/>
              <w:ind w:left="519"/>
              <w:spacing w:before="146" w:line="178" w:lineRule="auto"/>
              <w:rPr/>
            </w:pPr>
            <w:r>
              <w:rPr>
                <w:spacing w:val="3"/>
              </w:rPr>
              <w:t>002325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ind w:left="326"/>
              <w:spacing w:before="133" w:line="188" w:lineRule="auto"/>
              <w:rPr/>
            </w:pPr>
            <w:r>
              <w:rPr>
                <w:spacing w:val="8"/>
              </w:rPr>
              <w:t>洪涛股份</w:t>
            </w:r>
          </w:p>
        </w:tc>
        <w:tc>
          <w:tcPr>
            <w:tcW w:w="5647" w:type="dxa"/>
            <w:vAlign w:val="top"/>
          </w:tcPr>
          <w:p>
            <w:pPr>
              <w:pStyle w:val="TableText"/>
              <w:ind w:left="2503"/>
              <w:spacing w:before="131" w:line="189" w:lineRule="auto"/>
              <w:rPr/>
            </w:pPr>
            <w:r>
              <w:rPr>
                <w:spacing w:val="8"/>
              </w:rPr>
              <w:t>关注函</w:t>
            </w:r>
          </w:p>
        </w:tc>
      </w:tr>
      <w:tr>
        <w:trPr>
          <w:trHeight w:val="462" w:hRule="atLeast"/>
        </w:trPr>
        <w:tc>
          <w:tcPr>
            <w:shd w:val="clear" w:fill="C7DAF1"/>
            <w:tcW w:w="1781" w:type="dxa"/>
            <w:vAlign w:val="top"/>
          </w:tcPr>
          <w:p>
            <w:pPr>
              <w:pStyle w:val="TableText"/>
              <w:ind w:left="519"/>
              <w:spacing w:before="149" w:line="178" w:lineRule="auto"/>
              <w:rPr/>
            </w:pPr>
            <w:r>
              <w:rPr>
                <w:spacing w:val="3"/>
              </w:rPr>
              <w:t>002377</w:t>
            </w:r>
          </w:p>
        </w:tc>
        <w:tc>
          <w:tcPr>
            <w:shd w:val="clear" w:fill="C7DAF1"/>
            <w:tcW w:w="1510" w:type="dxa"/>
            <w:vAlign w:val="top"/>
          </w:tcPr>
          <w:p>
            <w:pPr>
              <w:pStyle w:val="TableText"/>
              <w:ind w:left="338"/>
              <w:spacing w:before="133" w:line="190" w:lineRule="auto"/>
              <w:rPr/>
            </w:pPr>
            <w:r>
              <w:rPr>
                <w:spacing w:val="5"/>
              </w:rPr>
              <w:t>国创高新</w:t>
            </w:r>
          </w:p>
        </w:tc>
        <w:tc>
          <w:tcPr>
            <w:shd w:val="clear" w:fill="C7DAF1"/>
            <w:tcW w:w="5647" w:type="dxa"/>
            <w:vAlign w:val="top"/>
          </w:tcPr>
          <w:p>
            <w:pPr>
              <w:pStyle w:val="TableText"/>
              <w:ind w:left="2503"/>
              <w:spacing w:before="134" w:line="189" w:lineRule="auto"/>
              <w:rPr/>
            </w:pPr>
            <w:r>
              <w:rPr>
                <w:spacing w:val="8"/>
              </w:rPr>
              <w:t>关注函</w:t>
            </w:r>
          </w:p>
        </w:tc>
      </w:tr>
      <w:tr>
        <w:trPr>
          <w:trHeight w:val="463" w:hRule="atLeast"/>
        </w:trPr>
        <w:tc>
          <w:tcPr>
            <w:tcW w:w="1781" w:type="dxa"/>
            <w:vAlign w:val="top"/>
          </w:tcPr>
          <w:p>
            <w:pPr>
              <w:pStyle w:val="TableText"/>
              <w:ind w:left="519"/>
              <w:spacing w:before="150" w:line="179" w:lineRule="auto"/>
              <w:rPr/>
            </w:pPr>
            <w:r>
              <w:rPr>
                <w:spacing w:val="3"/>
              </w:rPr>
              <w:t>002217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ind w:left="431"/>
              <w:spacing w:before="137" w:line="189" w:lineRule="auto"/>
              <w:rPr/>
            </w:pPr>
            <w:r>
              <w:rPr>
                <w:spacing w:val="8"/>
              </w:rPr>
              <w:t>合力泰</w:t>
            </w:r>
          </w:p>
        </w:tc>
        <w:tc>
          <w:tcPr>
            <w:tcW w:w="5647" w:type="dxa"/>
            <w:vAlign w:val="top"/>
          </w:tcPr>
          <w:p>
            <w:pPr>
              <w:pStyle w:val="TableText"/>
              <w:ind w:left="2503"/>
              <w:spacing w:before="137" w:line="189" w:lineRule="auto"/>
              <w:rPr/>
            </w:pPr>
            <w:r>
              <w:rPr>
                <w:spacing w:val="8"/>
              </w:rPr>
              <w:t>关注函</w:t>
            </w:r>
          </w:p>
        </w:tc>
      </w:tr>
      <w:tr>
        <w:trPr>
          <w:trHeight w:val="463" w:hRule="atLeast"/>
        </w:trPr>
        <w:tc>
          <w:tcPr>
            <w:shd w:val="clear" w:fill="C7DAF1"/>
            <w:tcW w:w="1781" w:type="dxa"/>
            <w:vAlign w:val="top"/>
          </w:tcPr>
          <w:p>
            <w:pPr>
              <w:pStyle w:val="TableText"/>
              <w:ind w:left="519"/>
              <w:spacing w:before="152" w:line="178" w:lineRule="auto"/>
              <w:rPr/>
            </w:pPr>
            <w:r>
              <w:rPr>
                <w:spacing w:val="3"/>
              </w:rPr>
              <w:t>000976</w:t>
            </w:r>
          </w:p>
        </w:tc>
        <w:tc>
          <w:tcPr>
            <w:shd w:val="clear" w:fill="C7DAF1"/>
            <w:tcW w:w="1510" w:type="dxa"/>
            <w:vAlign w:val="top"/>
          </w:tcPr>
          <w:p>
            <w:pPr>
              <w:pStyle w:val="TableText"/>
              <w:ind w:left="424"/>
              <w:spacing w:before="137" w:line="189" w:lineRule="auto"/>
              <w:rPr/>
            </w:pPr>
            <w:r>
              <w:rPr/>
              <w:t>ST</w:t>
            </w:r>
            <w:r>
              <w:rPr>
                <w:spacing w:val="8"/>
              </w:rPr>
              <w:t>华铁</w:t>
            </w:r>
          </w:p>
        </w:tc>
        <w:tc>
          <w:tcPr>
            <w:shd w:val="clear" w:fill="C7DAF1"/>
            <w:tcW w:w="5647" w:type="dxa"/>
            <w:vAlign w:val="top"/>
          </w:tcPr>
          <w:p>
            <w:pPr>
              <w:pStyle w:val="TableText"/>
              <w:ind w:left="2503"/>
              <w:spacing w:before="137" w:line="189" w:lineRule="auto"/>
              <w:rPr/>
            </w:pPr>
            <w:r>
              <w:rPr>
                <w:spacing w:val="8"/>
              </w:rPr>
              <w:t>关注函</w:t>
            </w:r>
          </w:p>
        </w:tc>
      </w:tr>
      <w:tr>
        <w:trPr>
          <w:trHeight w:val="463" w:hRule="atLeast"/>
        </w:trPr>
        <w:tc>
          <w:tcPr>
            <w:tcW w:w="1781" w:type="dxa"/>
            <w:vAlign w:val="top"/>
          </w:tcPr>
          <w:p>
            <w:pPr>
              <w:pStyle w:val="TableText"/>
              <w:ind w:left="525"/>
              <w:spacing w:before="152" w:line="179" w:lineRule="auto"/>
              <w:rPr/>
            </w:pPr>
            <w:r>
              <w:rPr>
                <w:spacing w:val="3"/>
              </w:rPr>
              <w:t>300109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ind w:left="431"/>
              <w:spacing w:before="139" w:line="189" w:lineRule="auto"/>
              <w:rPr/>
            </w:pPr>
            <w:r>
              <w:rPr>
                <w:spacing w:val="8"/>
              </w:rPr>
              <w:t>新开源</w:t>
            </w:r>
          </w:p>
        </w:tc>
        <w:tc>
          <w:tcPr>
            <w:tcW w:w="5647" w:type="dxa"/>
            <w:vAlign w:val="top"/>
          </w:tcPr>
          <w:p>
            <w:pPr>
              <w:pStyle w:val="TableText"/>
              <w:ind w:left="2503"/>
              <w:spacing w:before="139" w:line="189" w:lineRule="auto"/>
              <w:rPr/>
            </w:pPr>
            <w:r>
              <w:rPr>
                <w:spacing w:val="8"/>
              </w:rPr>
              <w:t>关注函</w:t>
            </w:r>
          </w:p>
        </w:tc>
      </w:tr>
      <w:tr>
        <w:trPr>
          <w:trHeight w:val="463" w:hRule="atLeast"/>
        </w:trPr>
        <w:tc>
          <w:tcPr>
            <w:shd w:val="clear" w:fill="C7DAF1"/>
            <w:tcW w:w="1781" w:type="dxa"/>
            <w:vAlign w:val="top"/>
          </w:tcPr>
          <w:p>
            <w:pPr>
              <w:pStyle w:val="TableText"/>
              <w:ind w:left="525"/>
              <w:spacing w:before="153" w:line="178" w:lineRule="auto"/>
              <w:rPr/>
            </w:pPr>
            <w:r>
              <w:rPr>
                <w:spacing w:val="3"/>
              </w:rPr>
              <w:t>300300</w:t>
            </w:r>
          </w:p>
        </w:tc>
        <w:tc>
          <w:tcPr>
            <w:shd w:val="clear" w:fill="C7DAF1"/>
            <w:tcW w:w="1510" w:type="dxa"/>
            <w:vAlign w:val="top"/>
          </w:tcPr>
          <w:p>
            <w:pPr>
              <w:pStyle w:val="TableText"/>
              <w:ind w:left="325"/>
              <w:spacing w:before="138" w:line="189" w:lineRule="auto"/>
              <w:rPr/>
            </w:pPr>
            <w:r>
              <w:rPr>
                <w:spacing w:val="8"/>
              </w:rPr>
              <w:t>海峡创新</w:t>
            </w:r>
          </w:p>
        </w:tc>
        <w:tc>
          <w:tcPr>
            <w:shd w:val="clear" w:fill="C7DAF1"/>
            <w:tcW w:w="5647" w:type="dxa"/>
            <w:vAlign w:val="top"/>
          </w:tcPr>
          <w:p>
            <w:pPr>
              <w:pStyle w:val="TableText"/>
              <w:ind w:left="2503"/>
              <w:spacing w:before="138" w:line="189" w:lineRule="auto"/>
              <w:rPr/>
            </w:pPr>
            <w:r>
              <w:rPr>
                <w:spacing w:val="8"/>
              </w:rPr>
              <w:t>关注函</w:t>
            </w:r>
          </w:p>
        </w:tc>
      </w:tr>
      <w:tr>
        <w:trPr>
          <w:trHeight w:val="462" w:hRule="atLeast"/>
        </w:trPr>
        <w:tc>
          <w:tcPr>
            <w:tcW w:w="1781" w:type="dxa"/>
            <w:vAlign w:val="top"/>
          </w:tcPr>
          <w:p>
            <w:pPr>
              <w:pStyle w:val="TableText"/>
              <w:ind w:left="525"/>
              <w:spacing w:before="155" w:line="178" w:lineRule="auto"/>
              <w:rPr/>
            </w:pPr>
            <w:r>
              <w:rPr>
                <w:spacing w:val="3"/>
              </w:rPr>
              <w:t>300245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ind w:left="325"/>
              <w:spacing w:before="142" w:line="188" w:lineRule="auto"/>
              <w:rPr/>
            </w:pPr>
            <w:r>
              <w:rPr>
                <w:spacing w:val="8"/>
              </w:rPr>
              <w:t>天玑科技</w:t>
            </w:r>
          </w:p>
        </w:tc>
        <w:tc>
          <w:tcPr>
            <w:tcW w:w="5647" w:type="dxa"/>
            <w:vAlign w:val="top"/>
          </w:tcPr>
          <w:p>
            <w:pPr>
              <w:pStyle w:val="TableText"/>
              <w:ind w:left="2503"/>
              <w:spacing w:before="140" w:line="189" w:lineRule="auto"/>
              <w:rPr/>
            </w:pPr>
            <w:r>
              <w:rPr>
                <w:spacing w:val="8"/>
              </w:rPr>
              <w:t>关注函</w:t>
            </w:r>
          </w:p>
        </w:tc>
      </w:tr>
      <w:tr>
        <w:trPr>
          <w:trHeight w:val="463" w:hRule="atLeast"/>
        </w:trPr>
        <w:tc>
          <w:tcPr>
            <w:shd w:val="clear" w:fill="C7DAF1"/>
            <w:tcW w:w="1781" w:type="dxa"/>
            <w:vAlign w:val="top"/>
          </w:tcPr>
          <w:p>
            <w:pPr>
              <w:pStyle w:val="TableText"/>
              <w:ind w:left="525"/>
              <w:spacing w:before="156" w:line="178" w:lineRule="auto"/>
              <w:rPr/>
            </w:pPr>
            <w:r>
              <w:rPr>
                <w:spacing w:val="3"/>
              </w:rPr>
              <w:t>300427</w:t>
            </w:r>
          </w:p>
        </w:tc>
        <w:tc>
          <w:tcPr>
            <w:shd w:val="clear" w:fill="C7DAF1"/>
            <w:tcW w:w="1510" w:type="dxa"/>
            <w:vAlign w:val="top"/>
          </w:tcPr>
          <w:p>
            <w:pPr>
              <w:pStyle w:val="TableText"/>
              <w:ind w:left="374"/>
              <w:spacing w:before="141" w:line="189" w:lineRule="auto"/>
              <w:rPr/>
            </w:pPr>
            <w:r>
              <w:rPr>
                <w:spacing w:val="8"/>
              </w:rPr>
              <w:t>*</w:t>
            </w:r>
            <w:r>
              <w:rPr/>
              <w:t>ST</w:t>
            </w:r>
            <w:r>
              <w:rPr>
                <w:spacing w:val="8"/>
              </w:rPr>
              <w:t>红相</w:t>
            </w:r>
          </w:p>
        </w:tc>
        <w:tc>
          <w:tcPr>
            <w:shd w:val="clear" w:fill="C7DAF1"/>
            <w:tcW w:w="5647" w:type="dxa"/>
            <w:vAlign w:val="top"/>
          </w:tcPr>
          <w:p>
            <w:pPr>
              <w:pStyle w:val="TableText"/>
              <w:ind w:left="2503"/>
              <w:spacing w:before="141" w:line="189" w:lineRule="auto"/>
              <w:rPr/>
            </w:pPr>
            <w:r>
              <w:rPr>
                <w:spacing w:val="8"/>
              </w:rPr>
              <w:t>关注函</w:t>
            </w:r>
          </w:p>
        </w:tc>
      </w:tr>
      <w:tr>
        <w:trPr>
          <w:trHeight w:val="463" w:hRule="atLeast"/>
        </w:trPr>
        <w:tc>
          <w:tcPr>
            <w:tcW w:w="1781" w:type="dxa"/>
            <w:vAlign w:val="top"/>
          </w:tcPr>
          <w:p>
            <w:pPr>
              <w:pStyle w:val="TableText"/>
              <w:ind w:left="525"/>
              <w:spacing w:before="156" w:line="179" w:lineRule="auto"/>
              <w:rPr/>
            </w:pPr>
            <w:r>
              <w:rPr>
                <w:spacing w:val="3"/>
              </w:rPr>
              <w:t>301318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ind w:left="431"/>
              <w:spacing w:before="143" w:line="189" w:lineRule="auto"/>
              <w:rPr/>
            </w:pPr>
            <w:r>
              <w:rPr>
                <w:spacing w:val="8"/>
              </w:rPr>
              <w:t>维海德</w:t>
            </w:r>
          </w:p>
        </w:tc>
        <w:tc>
          <w:tcPr>
            <w:tcW w:w="5647" w:type="dxa"/>
            <w:vAlign w:val="top"/>
          </w:tcPr>
          <w:p>
            <w:pPr>
              <w:pStyle w:val="TableText"/>
              <w:ind w:left="2503"/>
              <w:spacing w:before="143" w:line="189" w:lineRule="auto"/>
              <w:rPr/>
            </w:pPr>
            <w:r>
              <w:rPr>
                <w:spacing w:val="8"/>
              </w:rPr>
              <w:t>关注函</w:t>
            </w:r>
          </w:p>
        </w:tc>
      </w:tr>
      <w:tr>
        <w:trPr>
          <w:trHeight w:val="472" w:hRule="atLeast"/>
        </w:trPr>
        <w:tc>
          <w:tcPr>
            <w:shd w:val="clear" w:fill="C7DAF1"/>
            <w:tcW w:w="1781" w:type="dxa"/>
            <w:vAlign w:val="top"/>
          </w:tcPr>
          <w:p>
            <w:pPr>
              <w:pStyle w:val="TableText"/>
              <w:ind w:left="525"/>
              <w:spacing w:before="160" w:line="178" w:lineRule="auto"/>
              <w:rPr/>
            </w:pPr>
            <w:r>
              <w:rPr>
                <w:spacing w:val="3"/>
              </w:rPr>
              <w:t>300280</w:t>
            </w:r>
          </w:p>
        </w:tc>
        <w:tc>
          <w:tcPr>
            <w:shd w:val="clear" w:fill="C7DAF1"/>
            <w:tcW w:w="1510" w:type="dxa"/>
            <w:vAlign w:val="top"/>
          </w:tcPr>
          <w:p>
            <w:pPr>
              <w:pStyle w:val="TableText"/>
              <w:ind w:left="327"/>
              <w:spacing w:before="146" w:line="188" w:lineRule="auto"/>
              <w:rPr/>
            </w:pPr>
            <w:r>
              <w:rPr>
                <w:spacing w:val="8"/>
              </w:rPr>
              <w:t>紫天科技</w:t>
            </w:r>
          </w:p>
        </w:tc>
        <w:tc>
          <w:tcPr>
            <w:shd w:val="clear" w:fill="C7DAF1"/>
            <w:tcW w:w="5647" w:type="dxa"/>
            <w:vAlign w:val="top"/>
          </w:tcPr>
          <w:p>
            <w:pPr>
              <w:pStyle w:val="TableText"/>
              <w:ind w:left="2503"/>
              <w:spacing w:before="145" w:line="189" w:lineRule="auto"/>
              <w:rPr/>
            </w:pPr>
            <w:r>
              <w:rPr>
                <w:spacing w:val="8"/>
              </w:rPr>
              <w:t>关注函</w:t>
            </w:r>
          </w:p>
        </w:tc>
      </w:tr>
    </w:tbl>
    <w:p>
      <w:pPr>
        <w:pStyle w:val="BodyText"/>
        <w:rPr/>
      </w:pPr>
      <w:r/>
    </w:p>
    <w:p>
      <w:pPr>
        <w:sectPr>
          <w:pgSz w:w="11910" w:h="16840"/>
          <w:pgMar w:top="400" w:right="1425" w:bottom="400" w:left="1325" w:header="0" w:footer="0" w:gutter="0"/>
        </w:sectPr>
        <w:rPr/>
      </w:pPr>
    </w:p>
    <w:p>
      <w:pPr>
        <w:pStyle w:val="BodyText"/>
        <w:spacing w:line="243" w:lineRule="auto"/>
        <w:rPr/>
      </w:pPr>
      <w:r/>
    </w:p>
    <w:p>
      <w:pPr>
        <w:pStyle w:val="BodyText"/>
        <w:spacing w:line="243" w:lineRule="auto"/>
        <w:rPr/>
      </w:pPr>
      <w:r/>
    </w:p>
    <w:p>
      <w:pPr>
        <w:pStyle w:val="BodyText"/>
        <w:spacing w:line="243" w:lineRule="auto"/>
        <w:rPr/>
      </w:pPr>
      <w:r/>
    </w:p>
    <w:p>
      <w:pPr>
        <w:spacing w:before="103" w:line="183" w:lineRule="auto"/>
        <w:rPr>
          <w:rFonts w:ascii="Microsoft YaHei" w:hAnsi="Microsoft YaHei" w:eastAsia="Microsoft YaHei" w:cs="Microsoft YaHei"/>
          <w:sz w:val="24"/>
          <w:szCs w:val="24"/>
        </w:rPr>
      </w:pPr>
      <w:r>
        <w:rPr>
          <w:rFonts w:ascii="Microsoft YaHei" w:hAnsi="Microsoft YaHei" w:eastAsia="Microsoft YaHei" w:cs="Microsoft YaHei"/>
          <w:sz w:val="24"/>
          <w:szCs w:val="24"/>
          <w:b/>
          <w:bCs/>
          <w:color w:val="333333"/>
          <w:spacing w:val="-5"/>
        </w:rPr>
        <w:t>2、市场交易监管动态</w:t>
      </w:r>
    </w:p>
    <w:p>
      <w:pPr>
        <w:pStyle w:val="BodyText"/>
        <w:spacing w:line="253" w:lineRule="auto"/>
        <w:rPr/>
      </w:pPr>
      <w:r/>
    </w:p>
    <w:p>
      <w:pPr>
        <w:ind w:left="77" w:firstLine="439"/>
        <w:spacing w:before="94" w:line="184" w:lineRule="auto"/>
        <w:jc w:val="both"/>
        <w:rPr>
          <w:rFonts w:ascii="Microsoft YaHei" w:hAnsi="Microsoft YaHei" w:eastAsia="Microsoft YaHei" w:cs="Microsoft YaHei"/>
          <w:sz w:val="22"/>
          <w:szCs w:val="22"/>
        </w:rPr>
      </w:pPr>
      <w:r>
        <w:rPr>
          <w:rFonts w:ascii="Microsoft YaHei" w:hAnsi="Microsoft YaHei" w:eastAsia="Microsoft YaHei" w:cs="Microsoft YaHei"/>
          <w:sz w:val="22"/>
          <w:szCs w:val="22"/>
          <w:spacing w:val="-6"/>
        </w:rPr>
        <w:t>2024年2月26日-3月3日，深交所共对84起证券异常交易行为采取了</w:t>
      </w:r>
      <w:r>
        <w:rPr>
          <w:rFonts w:ascii="Microsoft YaHei" w:hAnsi="Microsoft YaHei" w:eastAsia="Microsoft YaHei" w:cs="Microsoft YaHei"/>
          <w:sz w:val="22"/>
          <w:szCs w:val="22"/>
          <w:spacing w:val="-7"/>
        </w:rPr>
        <w:t>自律监管措施，涉及盘中拉抬打压、</w:t>
      </w:r>
      <w:r>
        <w:rPr>
          <w:rFonts w:ascii="Microsoft YaHei" w:hAnsi="Microsoft YaHei" w:eastAsia="Microsoft YaHei" w:cs="Microsoft YaHei"/>
          <w:sz w:val="22"/>
          <w:szCs w:val="22"/>
        </w:rPr>
        <w:t xml:space="preserve"> </w:t>
      </w:r>
      <w:r>
        <w:rPr>
          <w:rFonts w:ascii="Microsoft YaHei" w:hAnsi="Microsoft YaHei" w:eastAsia="Microsoft YaHei" w:cs="Microsoft YaHei"/>
          <w:sz w:val="22"/>
          <w:szCs w:val="22"/>
          <w:spacing w:val="-6"/>
        </w:rPr>
        <w:t>虚假申报等异常交易情形；对“*ST左江”等涨跌异常证券进行重点监控；共对3起上市公司重大事项进行核</w:t>
      </w:r>
      <w:r>
        <w:rPr>
          <w:rFonts w:ascii="Microsoft YaHei" w:hAnsi="Microsoft YaHei" w:eastAsia="Microsoft YaHei" w:cs="Microsoft YaHei"/>
          <w:sz w:val="22"/>
          <w:szCs w:val="22"/>
          <w:spacing w:val="8"/>
        </w:rPr>
        <w:t xml:space="preserve">  </w:t>
      </w:r>
      <w:r>
        <w:rPr>
          <w:rFonts w:ascii="Microsoft YaHei" w:hAnsi="Microsoft YaHei" w:eastAsia="Microsoft YaHei" w:cs="Microsoft YaHei"/>
          <w:sz w:val="22"/>
          <w:szCs w:val="22"/>
        </w:rPr>
        <w:t>查。</w:t>
      </w:r>
    </w:p>
    <w:p>
      <w:pPr>
        <w:pStyle w:val="BodyText"/>
        <w:spacing w:line="303" w:lineRule="auto"/>
        <w:rPr/>
      </w:pPr>
      <w:r/>
    </w:p>
    <w:p>
      <w:pPr>
        <w:ind w:left="5"/>
        <w:spacing w:before="103" w:line="183" w:lineRule="auto"/>
        <w:rPr>
          <w:rFonts w:ascii="Microsoft YaHei" w:hAnsi="Microsoft YaHei" w:eastAsia="Microsoft YaHei" w:cs="Microsoft YaHei"/>
          <w:sz w:val="24"/>
          <w:szCs w:val="24"/>
        </w:rPr>
      </w:pPr>
      <w:r>
        <w:rPr>
          <w:rFonts w:ascii="Microsoft YaHei" w:hAnsi="Microsoft YaHei" w:eastAsia="Microsoft YaHei" w:cs="Microsoft YaHei"/>
          <w:sz w:val="24"/>
          <w:szCs w:val="24"/>
          <w:b/>
          <w:bCs/>
          <w:color w:val="333333"/>
          <w:spacing w:val="-5"/>
        </w:rPr>
        <w:t>3、会员监管动态</w:t>
      </w:r>
    </w:p>
    <w:p>
      <w:pPr>
        <w:pStyle w:val="BodyText"/>
        <w:spacing w:line="249" w:lineRule="auto"/>
        <w:rPr/>
      </w:pPr>
      <w:r/>
    </w:p>
    <w:p>
      <w:pPr>
        <w:ind w:left="80" w:right="169" w:firstLine="435"/>
        <w:spacing w:before="94" w:line="185" w:lineRule="auto"/>
        <w:rPr>
          <w:rFonts w:ascii="Microsoft YaHei" w:hAnsi="Microsoft YaHei" w:eastAsia="Microsoft YaHei" w:cs="Microsoft YaHei"/>
          <w:sz w:val="22"/>
          <w:szCs w:val="22"/>
        </w:rPr>
      </w:pPr>
      <w:r>
        <w:rPr>
          <w:rFonts w:ascii="Microsoft YaHei" w:hAnsi="Microsoft YaHei" w:eastAsia="Microsoft YaHei" w:cs="Microsoft YaHei"/>
          <w:sz w:val="22"/>
          <w:szCs w:val="22"/>
          <w:spacing w:val="-5"/>
        </w:rPr>
        <w:t>2024年2月26日-3月3日，深交所针对客户交易行为管</w:t>
      </w:r>
      <w:r>
        <w:rPr>
          <w:rFonts w:ascii="Microsoft YaHei" w:hAnsi="Microsoft YaHei" w:eastAsia="Microsoft YaHei" w:cs="Microsoft YaHei"/>
          <w:sz w:val="22"/>
          <w:szCs w:val="22"/>
          <w:spacing w:val="-6"/>
        </w:rPr>
        <w:t>理履职不到位的情形，对16家会员分别采取了约</w:t>
      </w:r>
      <w:r>
        <w:rPr>
          <w:rFonts w:ascii="Microsoft YaHei" w:hAnsi="Microsoft YaHei" w:eastAsia="Microsoft YaHei" w:cs="Microsoft YaHei"/>
          <w:sz w:val="22"/>
          <w:szCs w:val="22"/>
        </w:rPr>
        <w:t xml:space="preserve"> </w:t>
      </w:r>
      <w:r>
        <w:rPr>
          <w:rFonts w:ascii="Microsoft YaHei" w:hAnsi="Microsoft YaHei" w:eastAsia="Microsoft YaHei" w:cs="Microsoft YaHei"/>
          <w:sz w:val="22"/>
          <w:szCs w:val="22"/>
          <w:spacing w:val="-7"/>
        </w:rPr>
        <w:t>见谈话、</w:t>
      </w:r>
      <w:r>
        <w:rPr>
          <w:rFonts w:ascii="Microsoft YaHei" w:hAnsi="Microsoft YaHei" w:eastAsia="Microsoft YaHei" w:cs="Microsoft YaHei"/>
          <w:sz w:val="22"/>
          <w:szCs w:val="22"/>
          <w:spacing w:val="-44"/>
        </w:rPr>
        <w:t xml:space="preserve"> </w:t>
      </w:r>
      <w:r>
        <w:rPr>
          <w:rFonts w:ascii="Microsoft YaHei" w:hAnsi="Microsoft YaHei" w:eastAsia="Microsoft YaHei" w:cs="Microsoft YaHei"/>
          <w:sz w:val="22"/>
          <w:szCs w:val="22"/>
          <w:spacing w:val="-7"/>
        </w:rPr>
        <w:t>口头警示的监管措施。</w:t>
      </w:r>
    </w:p>
    <w:sectPr>
      <w:pgSz w:w="11910" w:h="16840"/>
      <w:pgMar w:top="400" w:right="366" w:bottom="400" w:left="1253" w:header="0" w:footer="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spacing w:line="14" w:lineRule="auto"/>
      <w:rPr>
        <w:sz w:val="2"/>
      </w:rPr>
    </w:pPr>
    <w:r/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spacing w:line="14" w:lineRule="auto"/>
      <w:rPr>
        <w:sz w:val="2"/>
      </w:rPr>
    </w:pPr>
    <w:r>
      <w:drawing>
        <wp:anchor distT="0" distB="0" distL="0" distR="0" simplePos="0" relativeHeight="251658240" behindDoc="1" locked="0" layoutInCell="0" allowOverlap="1">
          <wp:simplePos x="0" y="0"/>
          <wp:positionH relativeFrom="page">
            <wp:posOffset>19811</wp:posOffset>
          </wp:positionH>
          <wp:positionV relativeFrom="page">
            <wp:posOffset>0</wp:posOffset>
          </wp:positionV>
          <wp:extent cx="7543038" cy="7498080"/>
          <wp:effectExtent l="0" t="0" r="0" b="0"/>
          <wp:wrapNone/>
          <wp:docPr id="2" name="IM 2"/>
          <wp:cNvGraphicFramePr/>
          <a:graphic>
            <a:graphicData uri="http://schemas.openxmlformats.org/drawingml/2006/picture">
              <pic:pic>
                <pic:nvPicPr>
                  <pic:cNvPr id="2" name="IM 2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 rot="0">
                    <a:off x="0" y="0"/>
                    <a:ext cx="7543038" cy="749808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/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spacing w:line="14" w:lineRule="auto"/>
      <w:rPr>
        <w:sz w:val="2"/>
      </w:rPr>
    </w:pPr>
    <w:r/>
  </w:p>
</w:hdr>
</file>
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sl="http://schemas.openxmlformats.org/schemaLibrary/2006/main" xmlns:w14="http://schemas.microsoft.com/office/word/2010/wordml" mc:Ignorable="w14">
  <w:docDefaults>
    <w:rPrDefault>
      <w:rPr>
        <w:rFonts w:ascii="Arial" w:hAnsi="Arial" w:eastAsia="Arial" w:cs="Arial"/>
        <w:sz w:val="21"/>
        <w:szCs w:val="21"/>
        <w:lang w:val="en-US" w:eastAsia="en-US" w:bidi="ar-SA"/>
        <w:color w:val="000000"/>
        <w:kern w:val="0"/>
        <w:snapToGrid w:val="0"/>
      </w:rPr>
    </w:rPrDefault>
  </w:docDefaults>
  <w:style w:type="paragraph" w:styleId="Normal" w:default="1">
    <w:name w:val="Normal"/>
    <w:semiHidden/>
    <w:qFormat/>
    <w:pPr>
      <w:spacing w:line="240" w:lineRule="auto"/>
      <w:jc w:val="left"/>
      <w:autoSpaceDE w:val="0"/>
      <w:autoSpaceDN w:val="0"/>
      <w:adjustRightInd w:val="0"/>
      <w:snapToGrid w:val="0"/>
      <w:kinsoku w:val="0"/>
      <w:textAlignment w:val="baseline"/>
    </w:pPr>
    <w:rPr>
      <w:color w:val="000000"/>
      <w:kern w:val="0"/>
      <w:snapToGrid w:val="0"/>
      <w:noProof w:val="1"/>
    </w:rPr>
  </w:style>
  <w:style w:type="table" w:styleId="TableNormal" w:default="1">
    <w:name w:val="Table Normal"/>
    <w:semiHidden/>
    <w:unhideWhenUsed/>
    <w:qFormat/>
    <w:tblPr>
      <w:tblCellMar>
        <w:left w:w="0" w:type="dxa"/>
        <w:right w:w="0" w:type="dxa"/>
        <w:bottom w:w="0" w:type="dxa"/>
        <w:top w:w="0" w:type="dxa"/>
      </w:tblCellMar>
    </w:tblPr>
  </w:style>
  <w:style w:type="paragraph" w:styleId="BodyText">
    <w:name w:val="Body Text"/>
    <w:basedOn w:val="Normal"/>
    <w:semiHidden/>
    <w:qFormat/>
    <w:pPr/>
    <w:rPr>
      <w:rFonts w:ascii="Arial" w:hAnsi="Arial" w:eastAsia="Arial" w:cs="Arial"/>
      <w:sz w:val="21"/>
      <w:szCs w:val="21"/>
      <w:lang w:val="en-US" w:eastAsia="en-US" w:bidi="ar-SA"/>
    </w:rPr>
  </w:style>
  <w:style w:type="paragraph" w:styleId="TableText">
    <w:name w:val="Table Text"/>
    <w:basedOn w:val="Normal"/>
    <w:semiHidden/>
    <w:qFormat/>
    <w:pPr/>
    <w:rPr>
      <w:rFonts w:ascii="Microsoft YaHei" w:hAnsi="Microsoft YaHei" w:eastAsia="Microsoft YaHei" w:cs="Microsoft YaHei"/>
      <w:sz w:val="20"/>
      <w:szCs w:val="20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1.xml"/><Relationship Id="rId8" Type="http://schemas.openxmlformats.org/officeDocument/2006/relationships/image" Target="media/image7.jpeg"/><Relationship Id="rId7" Type="http://schemas.openxmlformats.org/officeDocument/2006/relationships/image" Target="media/image6.jpeg"/><Relationship Id="rId6" Type="http://schemas.openxmlformats.org/officeDocument/2006/relationships/image" Target="media/image5.jpeg"/><Relationship Id="rId5" Type="http://schemas.openxmlformats.org/officeDocument/2006/relationships/image" Target="media/image4.jpeg"/><Relationship Id="rId4" Type="http://schemas.openxmlformats.org/officeDocument/2006/relationships/image" Target="media/image3.jpeg"/><Relationship Id="rId3" Type="http://schemas.openxmlformats.org/officeDocument/2006/relationships/image" Target="media/image2.jpeg"/><Relationship Id="rId2" Type="http://schemas.openxmlformats.org/officeDocument/2006/relationships/header" Target="header2.xml"/><Relationship Id="rId15" Type="http://schemas.openxmlformats.org/officeDocument/2006/relationships/fontTable" Target="fontTable.xml"/><Relationship Id="rId14" Type="http://schemas.openxmlformats.org/officeDocument/2006/relationships/styles" Target="styles.xml"/><Relationship Id="rId13" Type="http://schemas.openxmlformats.org/officeDocument/2006/relationships/settings" Target="settings.xml"/><Relationship Id="rId12" Type="http://schemas.openxmlformats.org/officeDocument/2006/relationships/image" Target="media/image10.jpeg"/><Relationship Id="rId11" Type="http://schemas.openxmlformats.org/officeDocument/2006/relationships/image" Target="media/image9.jpeg"/><Relationship Id="rId10" Type="http://schemas.openxmlformats.org/officeDocument/2006/relationships/image" Target="media/image8.jpeg"/><Relationship Id="rId1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docProps/app.xml><?xml version="1.0" encoding="utf-8"?>
<ap:Properties xmlns:vt="http://schemas.openxmlformats.org/officeDocument/2006/docPropsVTypes" xmlns:ap="http://schemas.openxmlformats.org/officeDocument/2006/extended-properties">
  <ap:Application>WPS 文字</ap:Application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白尚武</dc:creator>
  <dcterms:created xsi:type="dcterms:W3CDTF">2024-03-04T11:28:38Z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2024-04-02T17:05:20</vt:filetime>
  </property>
</Properties>
</file>