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2584"/>
        <w:spacing w:before="351" w:line="215" w:lineRule="auto"/>
        <w:outlineLvl w:val="0"/>
        <w:rPr>
          <w:rFonts w:ascii="Microsoft YaHei" w:hAnsi="Microsoft YaHei" w:eastAsia="Microsoft YaHei" w:cs="Microsoft YaHei"/>
          <w:sz w:val="82"/>
          <w:szCs w:val="82"/>
        </w:rPr>
      </w:pPr>
      <w:r>
        <w:rPr>
          <w:rFonts w:ascii="Microsoft YaHei" w:hAnsi="Microsoft YaHei" w:eastAsia="Microsoft YaHei" w:cs="Microsoft YaHei"/>
          <w:sz w:val="82"/>
          <w:szCs w:val="82"/>
          <w:b/>
          <w:bCs/>
          <w:color w:val="FFFFFF"/>
          <w:spacing w:val="19"/>
        </w:rPr>
        <w:t>一周法规速递|监管动态</w:t>
      </w:r>
    </w:p>
    <w:p>
      <w:pPr>
        <w:ind w:left="5554"/>
        <w:spacing w:line="183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2"/>
        </w:rPr>
        <w:t>2024年02月19日-2024年02月25日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3671"/>
        <w:spacing w:before="129" w:line="202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b/>
          <w:bCs/>
          <w:spacing w:val="26"/>
        </w:rPr>
        <w:t>深圳价值在线咨询顾问有限公司</w:t>
      </w:r>
    </w:p>
    <w:p>
      <w:pPr>
        <w:ind w:left="4571"/>
        <w:spacing w:line="187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b/>
          <w:bCs/>
          <w:spacing w:val="11"/>
        </w:rPr>
        <w:t>2024年02月26日</w:t>
      </w:r>
    </w:p>
    <w:p>
      <w:pPr>
        <w:spacing w:line="187" w:lineRule="auto"/>
        <w:sectPr>
          <w:headerReference w:type="default" r:id="rId1"/>
          <w:pgSz w:w="11910" w:h="16840"/>
          <w:pgMar w:top="400" w:right="0" w:bottom="0" w:left="31" w:header="0" w:footer="0" w:gutter="0"/>
        </w:sectPr>
        <w:rPr>
          <w:rFonts w:ascii="Microsoft YaHei" w:hAnsi="Microsoft YaHei" w:eastAsia="Microsoft YaHei" w:cs="Microsoft YaHei"/>
          <w:sz w:val="30"/>
          <w:szCs w:val="30"/>
        </w:rPr>
      </w:pPr>
    </w:p>
    <w:p>
      <w:pPr>
        <w:ind w:left="1698"/>
        <w:spacing w:before="309" w:line="186" w:lineRule="auto"/>
        <w:outlineLvl w:val="0"/>
        <w:rPr>
          <w:rFonts w:ascii="Microsoft YaHei" w:hAnsi="Microsoft YaHei" w:eastAsia="Microsoft YaHei" w:cs="Microsoft YaHei"/>
          <w:sz w:val="42"/>
          <w:szCs w:val="42"/>
        </w:rPr>
      </w:pPr>
      <w:r>
        <w:pict>
          <v:rect id="_x0000_s2" style="position:absolute;margin-left:63.24pt;margin-top:65.76pt;mso-position-vertical-relative:page;mso-position-horizontal-relative:page;width:525.6pt;height:2.65pt;z-index:251659264;" o:allowincell="f" fillcolor="#A61C20" filled="true" stroked="false"/>
        </w:pict>
      </w:r>
      <w:r>
        <w:pict>
          <v:group id="_x0000_s4" style="position:absolute;margin-left:0pt;margin-top:20.04pt;mso-position-vertical-relative:page;mso-position-horizontal-relative:page;width:63.25pt;height:49.25pt;z-index:251658240;" o:allowincell="f" filled="false" stroked="false" coordsize="1265,985" coordorigin="0,0">
            <v:shape id="_x0000_s6" style="position:absolute;left:0;top:0;width:1265;height:985;" fillcolor="#A61C20" filled="true" stroked="false" coordsize="1265,985" coordorigin="0,0" path="m,l1264,0l1264,984l0,984l0,0xe"/>
            <v:shape id="_x0000_s8" style="position:absolute;left:167;top:0;width:876;height:936;" fillcolor="#FFFFFF" filled="true" stroked="false" coordsize="876,936" coordorigin="0,0" path="m439,936m439,936l367,928l300,909l237,878l180,840l127,787l84,729l48,662l21,590l7,513l0,429l7,350l21,271l48,199l84,132l127,74l180,21l213,0l379,0l369,0l307,19l247,52l194,96l148,148l110,208l84,278l64,352l57,429l64,508l84,583l110,652l148,712l194,768l247,808l307,842l369,864l439,868l655,868l640,878l578,909l511,928l439,936xm655,868m655,868l439,868l506,864l571,842l631,808l683,768l729,712l768,652l794,583l813,508l820,429l813,352l794,278l768,208l729,148l683,96l631,52l571,19l506,0l496,0l664,0l698,21l751,74l791,132l828,199l854,271l871,350l876,429l871,513l854,590l828,662l791,729l751,787l698,840l655,868xm439,194m439,194l415,187l396,172l384,148l379,122l384,96l396,74l415,60l439,55l463,60l480,74l492,96l499,122l492,148l480,172l463,187l439,194xm516,374m516,374l465,374l467,374l585,242l623,199l638,194l650,199l655,213l650,228l571,314l530,360l516,374xm446,494m446,494l429,494l410,484l396,468l386,444l386,420l396,398l410,379l429,369l451,367l460,372l463,374l516,374l492,398l444,398l424,403l415,424l417,448l434,463l484,463l475,477l463,487l446,494xm484,463m484,463l434,463l456,456l465,434l463,412l444,398l492,398l490,403l488,404l489,405l492,412l492,417l492,422l492,424l494,424l600,446l633,453l643,458l487,458l484,463xm626,489m626,489l523,468l489,458l643,458l645,463l650,475l643,487l626,489xm439,808m439,808l422,804l407,794l400,777l396,758l400,739l407,722l422,712l439,710l456,712l470,722l480,739l482,758l480,777l470,794l456,804l439,808e"/>
          </v:group>
        </w:pict>
      </w:r>
      <w:r>
        <w:rPr>
          <w:rFonts w:ascii="Microsoft YaHei" w:hAnsi="Microsoft YaHei" w:eastAsia="Microsoft YaHei" w:cs="Microsoft YaHei"/>
          <w:sz w:val="42"/>
          <w:szCs w:val="42"/>
          <w:spacing w:val="20"/>
        </w:rPr>
        <w:t>法规速递</w:t>
      </w:r>
    </w:p>
    <w:p>
      <w:pPr>
        <w:pStyle w:val="BodyText"/>
        <w:spacing w:line="380" w:lineRule="auto"/>
        <w:rPr/>
      </w:pPr>
      <w:r/>
    </w:p>
    <w:p>
      <w:pPr>
        <w:ind w:left="960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1、2024年2月20日深交所要闻——深交所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量化交易报告制度平稳落地</w:t>
      </w:r>
    </w:p>
    <w:p>
      <w:pPr>
        <w:ind w:left="923" w:right="321" w:firstLine="455"/>
        <w:spacing w:before="301" w:line="228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2023年9月1日</w:t>
      </w:r>
      <w:r>
        <w:rPr>
          <w:rFonts w:ascii="Microsoft YaHei" w:hAnsi="Microsoft YaHei" w:eastAsia="Microsoft YaHei" w:cs="Microsoft YaHei"/>
          <w:sz w:val="22"/>
          <w:szCs w:val="22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，本所发布了《关于股票程序化交易报告工作有关事项的通知》和《关于加强程序化交易管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理有关事项的通知》，建立起针对量化交易的专门报告制度和相应监管安排</w:t>
      </w:r>
      <w:r>
        <w:rPr>
          <w:rFonts w:ascii="Microsoft YaHei" w:hAnsi="Microsoft YaHei" w:eastAsia="Microsoft YaHei" w:cs="Microsoft YaHei"/>
          <w:sz w:val="22"/>
          <w:szCs w:val="22"/>
          <w:spacing w:val="-36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，于2023年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10月9日正式实施。</w:t>
      </w:r>
    </w:p>
    <w:p>
      <w:pPr>
        <w:ind w:left="9915"/>
        <w:spacing w:before="296" w:line="637" w:lineRule="exac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2"/>
          <w:position w:val="32"/>
        </w:rPr>
        <w:t>深圳证券交易所</w:t>
      </w:r>
    </w:p>
    <w:p>
      <w:pPr>
        <w:ind w:left="9780"/>
        <w:spacing w:before="1" w:line="183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2024年02月20日</w:t>
      </w:r>
    </w:p>
    <w:p>
      <w:pPr>
        <w:ind w:firstLine="4572"/>
        <w:spacing w:before="181" w:line="2700" w:lineRule="exact"/>
        <w:rPr/>
      </w:pPr>
      <w:r>
        <w:rPr>
          <w:position w:val="-53"/>
        </w:rPr>
        <w:drawing>
          <wp:inline distT="0" distB="0" distL="0" distR="0">
            <wp:extent cx="1714500" cy="1714499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4500" cy="1714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9" w:lineRule="auto"/>
        <w:rPr/>
      </w:pPr>
      <w:r/>
    </w:p>
    <w:p>
      <w:pPr>
        <w:ind w:left="4107"/>
        <w:spacing w:before="104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深交所量化交易报告制度平稳落地</w:t>
      </w:r>
    </w:p>
    <w:p>
      <w:pPr>
        <w:spacing w:line="183" w:lineRule="auto"/>
        <w:sectPr>
          <w:headerReference w:type="default" r:id="rId2"/>
          <w:pgSz w:w="11910" w:h="16840"/>
          <w:pgMar w:top="400" w:right="133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11"/>
        <w:spacing w:before="117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2、2024年2月20日上交所热点动态——上交所量化交易报告制度平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稳落地</w:t>
      </w:r>
    </w:p>
    <w:p>
      <w:pPr>
        <w:ind w:right="122" w:firstLine="446"/>
        <w:spacing w:before="327" w:line="223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2023年9月1日，上交所发布了《关于股票程序化交易报告工作有关事项的通知》和《关于加强程序化交易</w:t>
      </w:r>
      <w:r>
        <w:rPr>
          <w:rFonts w:ascii="Microsoft YaHei" w:hAnsi="Microsoft YaHei" w:eastAsia="Microsoft YaHei" w:cs="Microsoft YaHei"/>
          <w:sz w:val="22"/>
          <w:szCs w:val="22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管理有关事项的通知》，建立起针对量化交易的专门报告制度和相应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监管安排，于2023年10月9日正式实施。</w:t>
      </w:r>
    </w:p>
    <w:p>
      <w:pPr>
        <w:spacing w:before="264" w:line="641" w:lineRule="exact"/>
        <w:jc w:val="righ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  <w:position w:val="33"/>
        </w:rPr>
        <w:t>上海证券交易所</w:t>
      </w:r>
    </w:p>
    <w:p>
      <w:pPr>
        <w:spacing w:before="1" w:line="183" w:lineRule="auto"/>
        <w:jc w:val="righ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2024年02月20日</w:t>
      </w:r>
    </w:p>
    <w:p>
      <w:pPr>
        <w:ind w:firstLine="3913"/>
        <w:spacing w:before="202" w:line="2700" w:lineRule="exact"/>
        <w:rPr/>
      </w:pPr>
      <w:r>
        <w:rPr>
          <w:position w:val="-54"/>
        </w:rPr>
        <w:drawing>
          <wp:inline distT="0" distB="0" distL="0" distR="0">
            <wp:extent cx="1714500" cy="1714500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5" w:lineRule="auto"/>
        <w:rPr/>
      </w:pPr>
      <w:r/>
    </w:p>
    <w:p>
      <w:pPr>
        <w:ind w:left="3463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上交所量化交易报告制度平稳落地</w:t>
      </w:r>
    </w:p>
    <w:p>
      <w:pPr>
        <w:spacing w:line="183" w:lineRule="auto"/>
        <w:sectPr>
          <w:pgSz w:w="11910" w:h="16840"/>
          <w:pgMar w:top="400" w:right="457" w:bottom="0" w:left="932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pStyle w:val="BodyText"/>
        <w:spacing w:line="268" w:lineRule="auto"/>
        <w:rPr/>
      </w:pPr>
      <w:r>
        <w:pict>
          <v:rect id="_x0000_s10" style="position:absolute;margin-left:67.8pt;margin-top:91.8pt;mso-position-vertical-relative:page;mso-position-horizontal-relative:page;width:525.65pt;height:2.65pt;z-index:251663360;" o:allowincell="f" fillcolor="#A61C20" filled="true" stroked="false"/>
        </w:pict>
      </w:r>
      <w:r>
        <w:pict>
          <v:group id="_x0000_s12" style="position:absolute;margin-left:0pt;margin-top:38.04pt;mso-position-vertical-relative:page;mso-position-horizontal-relative:page;width:67.85pt;height:56.8pt;z-index:251662336;" o:allowincell="f" filled="false" stroked="false" coordsize="1356,1135" coordorigin="0,0">
            <v:shape id="_x0000_s14" style="position:absolute;left:0;top:0;width:1356;height:1135;" fillcolor="#A61C20" filled="true" stroked="false" coordsize="1356,1135" coordorigin="0,0" path="m,l1356,0l1356,1135l0,1135l0,0xe"/>
            <v:shape id="_x0000_s16" style="position:absolute;left:223;top:170;width:819;height:911;" fillcolor="#FFFFFF" filled="true" stroked="false" coordsize="819,911" coordorigin="0,0" path="m595,777l223,777l213,770l213,731l223,724l595,724l604,731l604,770l595,777xm580,708l237,708l225,698l225,688l213,635l179,583l136,532l88,480l43,424l11,362l0,297l0,290l4,237l21,187l50,144l83,105l127,71l175,48l230,26l287,11l347,2l410,0l470,2l530,11l588,26l640,48l688,71l732,105l736,108l364,108l360,117l360,124l355,148l352,151l232,151l201,175l189,184l177,194l172,199l172,208l177,215l206,242l208,244l208,249l201,259l196,268l191,280l184,290l184,291l182,291l179,292l170,292l124,297l115,302l115,371l124,374l136,376l180,381l182,381l184,382l184,384l191,395l196,405l201,415l208,424l208,429l201,436l191,444l177,460l172,465l172,472l177,480l225,515l232,520l352,520l355,540l360,549l360,559l364,564l648,564l636,578l604,628l592,688l592,698l580,708xm524,182l523,182l496,172l482,168l468,164l466,164l468,163l465,160l465,148l460,136l460,124l458,117l451,108l736,108l768,144l772,151l585,151l576,153l566,158l529,181l528,182l525,182m292,182l290,181l287,182l280,175l271,170l261,163l251,158l242,153l232,151l352,151l352,160l351,162l349,164l347,165l335,168l321,172l307,177l293,181l292,182m686,520l585,520l648,472l645,465l640,460l624,444l616,436l607,428l607,427l609,424l616,415l621,405l626,395l631,384l631,384l636,381l638,381l684,376l693,374l703,371l703,302l693,297l684,297l648,292l638,292l636,292l631,291l631,290l626,280l621,268l616,259l609,248l607,247l607,244l609,242l640,215l645,208l648,199l640,194l628,184l616,175l592,158l585,151l772,151l794,187l811,237l818,290l818,297l804,362l772,422l729,475l686,520xm410,448l355,439l307,415l278,379l266,335l278,295l307,259l355,235l410,228l465,235l508,259l540,295l549,335l540,379l508,415l465,439l410,448xm352,520l242,520l251,515l261,511l271,504l280,499l288,493l290,491l292,491l307,496l321,504l335,506l347,508l352,511l352,515l352,520xm648,564l451,564l458,559l460,549l460,540l465,525l464,513l466,511l466,510l468,508l496,504l508,496l523,491l527,491l530,494l540,499l547,504l556,511l566,515l576,520l686,520l681,528l648,564xm559,911l256,911l247,904l247,864l256,859l559,859l568,864l568,904l559,911xm580,844l235,844l227,840l227,796l235,791l580,791l592,796l592,840l580,844e"/>
          </v:group>
        </w:pict>
      </w:r>
      <w:r/>
    </w:p>
    <w:p>
      <w:pPr>
        <w:pStyle w:val="BodyText"/>
        <w:spacing w:line="268" w:lineRule="auto"/>
        <w:rPr/>
      </w:pPr>
      <w:r/>
    </w:p>
    <w:p>
      <w:pPr>
        <w:ind w:left="1715"/>
        <w:spacing w:before="180" w:line="186" w:lineRule="auto"/>
        <w:rPr>
          <w:rFonts w:ascii="Microsoft YaHei" w:hAnsi="Microsoft YaHei" w:eastAsia="Microsoft YaHei" w:cs="Microsoft YaHei"/>
          <w:sz w:val="42"/>
          <w:szCs w:val="42"/>
        </w:rPr>
      </w:pPr>
      <w:r>
        <w:rPr>
          <w:rFonts w:ascii="Microsoft YaHei" w:hAnsi="Microsoft YaHei" w:eastAsia="Microsoft YaHei" w:cs="Microsoft YaHei"/>
          <w:sz w:val="42"/>
          <w:szCs w:val="42"/>
          <w:spacing w:val="18"/>
        </w:rPr>
        <w:t>监管动态</w:t>
      </w:r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firstLine="19"/>
        <w:spacing w:line="924" w:lineRule="exact"/>
        <w:rPr/>
      </w:pPr>
      <w:r>
        <w:rPr>
          <w:position w:val="-18"/>
        </w:rPr>
        <w:pict>
          <v:group id="_x0000_s18" style="mso-position-vertical-relative:line;mso-position-horizontal-relative:char;width:112.1pt;height:46.25pt;" filled="false" stroked="false" coordsize="2241,925" coordorigin="0,0">
            <v:shape id="_x0000_s20" style="position:absolute;left:0;top:0;width:2241;height:925;" filled="false" stroked="false" type="#_x0000_t75">
              <v:imagedata o:title="" r:id="rId5"/>
            </v:shape>
            <v:shape id="_x0000_s22" style="position:absolute;left:-20;top:-20;width:2281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97"/>
                      <w:spacing w:before="29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4"/>
                      </w:rPr>
                      <w:t>市场监管概览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14" w:lineRule="auto"/>
        <w:rPr/>
      </w:pPr>
      <w:r/>
    </w:p>
    <w:p>
      <w:pPr>
        <w:ind w:left="446" w:right="239" w:firstLine="456"/>
        <w:spacing w:before="94" w:line="198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2024年2月19日-2月25日</w:t>
      </w:r>
      <w:r>
        <w:rPr>
          <w:rFonts w:ascii="Microsoft YaHei" w:hAnsi="Microsoft YaHei" w:eastAsia="Microsoft YaHei" w:cs="Microsoft YaHei"/>
          <w:sz w:val="22"/>
          <w:szCs w:val="22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，证监会作出2份监管文书；证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监局作出23份监管文书；上交所作出12份监管文书；深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交所作出16份监管文书。</w:t>
      </w:r>
    </w:p>
    <w:p>
      <w:pPr>
        <w:pStyle w:val="BodyText"/>
        <w:spacing w:line="272" w:lineRule="auto"/>
        <w:rPr/>
      </w:pPr>
      <w:r/>
    </w:p>
    <w:p>
      <w:pPr>
        <w:ind w:left="442" w:right="549" w:firstLine="448"/>
        <w:spacing w:before="94" w:line="198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上周  ，证监会作出1份行政处罚决定书，对1个对象立案调查；证监局作出8份行政处罚决定书</w:t>
      </w:r>
      <w:r>
        <w:rPr>
          <w:rFonts w:ascii="Microsoft YaHei" w:hAnsi="Microsoft YaHei" w:eastAsia="Microsoft YaHei" w:cs="Microsoft YaHei"/>
          <w:sz w:val="22"/>
          <w:szCs w:val="22"/>
          <w:spacing w:val="-3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，1份行政处罚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决定事先告知书，</w:t>
      </w:r>
      <w:r>
        <w:rPr>
          <w:rFonts w:ascii="Microsoft YaHei" w:hAnsi="Microsoft YaHei" w:eastAsia="Microsoft YaHei" w:cs="Microsoft YaHei"/>
          <w:sz w:val="22"/>
          <w:szCs w:val="22"/>
          <w:spacing w:val="-4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14份行政监管措施决定书。</w:t>
      </w:r>
    </w:p>
    <w:p>
      <w:pPr>
        <w:pStyle w:val="BodyText"/>
        <w:spacing w:line="277" w:lineRule="auto"/>
        <w:rPr/>
      </w:pPr>
      <w:r/>
    </w:p>
    <w:p>
      <w:pPr>
        <w:ind w:left="463" w:right="585" w:firstLine="429"/>
        <w:spacing w:before="94" w:line="198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上周  ，上交所公司监管部门作出6份监管警示函</w:t>
      </w:r>
      <w:r>
        <w:rPr>
          <w:rFonts w:ascii="Microsoft YaHei" w:hAnsi="Microsoft YaHei" w:eastAsia="Microsoft YaHei" w:cs="Microsoft YaHei"/>
          <w:sz w:val="22"/>
          <w:szCs w:val="22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，对6宗行为予以纪律处分。同时，加大信息披露和股价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异常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的联动监管</w:t>
      </w:r>
      <w:r>
        <w:rPr>
          <w:rFonts w:ascii="Microsoft YaHei" w:hAnsi="Microsoft YaHei" w:eastAsia="Microsoft YaHei" w:cs="Microsoft YaHei"/>
          <w:sz w:val="22"/>
          <w:szCs w:val="22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，针对公司披露敏感信息或股价发生明显异常的，提请启动内幕交易、异常交易核查61单。</w:t>
      </w:r>
    </w:p>
    <w:p>
      <w:pPr>
        <w:pStyle w:val="BodyText"/>
        <w:spacing w:line="276" w:lineRule="auto"/>
        <w:rPr/>
      </w:pPr>
      <w:r/>
    </w:p>
    <w:p>
      <w:pPr>
        <w:ind w:left="893"/>
        <w:spacing w:before="95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上周  ，深交所发出15份监管函</w:t>
      </w:r>
      <w:r>
        <w:rPr>
          <w:rFonts w:ascii="Microsoft YaHei" w:hAnsi="Microsoft YaHei" w:eastAsia="Microsoft YaHei" w:cs="Microsoft YaHei"/>
          <w:sz w:val="22"/>
          <w:szCs w:val="22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，对1宗行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为予以纪律处分；共发出关注函11份</w:t>
      </w:r>
      <w:r>
        <w:rPr>
          <w:rFonts w:ascii="Microsoft YaHei" w:hAnsi="Microsoft YaHei" w:eastAsia="Microsoft YaHei" w:cs="Microsoft YaHei"/>
          <w:sz w:val="22"/>
          <w:szCs w:val="22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，并购重组问询函1份。</w:t>
      </w:r>
    </w:p>
    <w:p>
      <w:pPr>
        <w:pStyle w:val="BodyText"/>
        <w:spacing w:line="318" w:lineRule="auto"/>
        <w:rPr/>
      </w:pPr>
      <w:r/>
    </w:p>
    <w:p>
      <w:pPr>
        <w:ind w:firstLine="1930"/>
        <w:spacing w:before="1" w:line="3315" w:lineRule="exact"/>
        <w:rPr/>
      </w:pPr>
      <w:r>
        <w:rPr>
          <w:position w:val="-66"/>
        </w:rPr>
        <w:drawing>
          <wp:inline distT="0" distB="0" distL="0" distR="0">
            <wp:extent cx="5137784" cy="210502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37784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firstLine="1848"/>
        <w:spacing w:before="1" w:line="4156" w:lineRule="exact"/>
        <w:rPr/>
      </w:pPr>
      <w:r>
        <w:rPr>
          <w:position w:val="-83"/>
        </w:rPr>
        <w:drawing>
          <wp:inline distT="0" distB="0" distL="0" distR="0">
            <wp:extent cx="5402580" cy="2639059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02580" cy="263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56" w:lineRule="exact"/>
        <w:sectPr>
          <w:pgSz w:w="11910" w:h="16840"/>
          <w:pgMar w:top="400" w:right="41" w:bottom="0" w:left="0" w:header="0" w:footer="0" w:gutter="0"/>
        </w:sectPr>
        <w:rPr/>
      </w:pPr>
    </w:p>
    <w:p>
      <w:pPr>
        <w:spacing w:line="924" w:lineRule="exact"/>
        <w:rPr/>
      </w:pPr>
      <w:r>
        <w:rPr>
          <w:position w:val="-18"/>
        </w:rPr>
        <w:pict>
          <v:group id="_x0000_s24" style="mso-position-vertical-relative:line;mso-position-horizontal-relative:char;width:188.3pt;height:46.25pt;" filled="false" stroked="false" coordsize="3766,925" coordorigin="0,0">
            <v:shape id="_x0000_s26" style="position:absolute;left:0;top:0;width:3766;height:925;" filled="false" stroked="false" type="#_x0000_t75">
              <v:imagedata o:title="" r:id="rId9"/>
            </v:shape>
            <v:shape id="_x0000_s28" style="position:absolute;left:-20;top:-20;width:380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91"/>
                      <w:spacing w:before="29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2"/>
                      </w:rPr>
                      <w:t>证监会证监局监管动态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17" w:lineRule="auto"/>
        <w:rPr/>
      </w:pPr>
      <w:r/>
    </w:p>
    <w:p>
      <w:pPr>
        <w:ind w:left="883"/>
        <w:spacing w:before="94" w:line="185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2024年2月19日-2月25日</w:t>
      </w:r>
      <w:r>
        <w:rPr>
          <w:rFonts w:ascii="Microsoft YaHei" w:hAnsi="Microsoft YaHei" w:eastAsia="Microsoft YaHei" w:cs="Microsoft YaHei"/>
          <w:sz w:val="22"/>
          <w:szCs w:val="22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，证监会作出1份行政处罚决定书，对1个对象立案调查；证</w:t>
      </w:r>
    </w:p>
    <w:p>
      <w:pPr>
        <w:ind w:left="439"/>
        <w:spacing w:before="44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监局作出8份行政处罚决定书</w:t>
      </w:r>
      <w:r>
        <w:rPr>
          <w:rFonts w:ascii="Microsoft YaHei" w:hAnsi="Microsoft YaHei" w:eastAsia="Microsoft YaHei" w:cs="Microsoft YaHei"/>
          <w:sz w:val="22"/>
          <w:szCs w:val="22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，1份行政处罚决定事先告知书，</w:t>
      </w:r>
      <w:r>
        <w:rPr>
          <w:rFonts w:ascii="Microsoft YaHei" w:hAnsi="Microsoft YaHei" w:eastAsia="Microsoft YaHei" w:cs="Microsoft YaHei"/>
          <w:sz w:val="22"/>
          <w:szCs w:val="22"/>
          <w:spacing w:val="-4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14份行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政监管措施决定书。</w:t>
      </w:r>
    </w:p>
    <w:p>
      <w:pPr>
        <w:ind w:left="874"/>
        <w:spacing w:before="305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4"/>
          <w:w w:val="98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5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4"/>
          <w:w w:val="98"/>
        </w:rPr>
        <w:t>1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3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4"/>
          <w:w w:val="98"/>
        </w:rPr>
        <w:t>）行政处罚决定书</w:t>
      </w:r>
    </w:p>
    <w:tbl>
      <w:tblPr>
        <w:tblStyle w:val="TableNormal"/>
        <w:tblW w:w="8068" w:type="dxa"/>
        <w:tblInd w:w="579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068"/>
        <w:gridCol w:w="1263"/>
        <w:gridCol w:w="5737"/>
      </w:tblGrid>
      <w:tr>
        <w:trPr>
          <w:trHeight w:val="387" w:hRule="atLeast"/>
        </w:trPr>
        <w:tc>
          <w:tcPr>
            <w:shd w:val="clear" w:fill="4F81BD"/>
            <w:tcW w:w="1068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107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263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203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737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2441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369" w:hRule="atLeast"/>
        </w:trPr>
        <w:tc>
          <w:tcPr>
            <w:shd w:val="clear" w:fill="B8CCE4"/>
            <w:tcW w:w="1068" w:type="dxa"/>
            <w:vAlign w:val="top"/>
            <w:tcBorders>
              <w:top w:val="single" w:color="4F81BD" w:sz="2" w:space="0"/>
            </w:tcBorders>
          </w:tcPr>
          <w:p>
            <w:pPr>
              <w:pStyle w:val="TableText"/>
              <w:ind w:left="171"/>
              <w:spacing w:before="101" w:line="178" w:lineRule="auto"/>
              <w:rPr/>
            </w:pPr>
            <w:r>
              <w:rPr>
                <w:spacing w:val="3"/>
              </w:rPr>
              <w:t>300495</w:t>
            </w:r>
          </w:p>
        </w:tc>
        <w:tc>
          <w:tcPr>
            <w:shd w:val="clear" w:fill="B8CCE4"/>
            <w:tcW w:w="1263" w:type="dxa"/>
            <w:vAlign w:val="top"/>
            <w:tcBorders>
              <w:top w:val="single" w:color="4F81BD" w:sz="2" w:space="0"/>
            </w:tcBorders>
          </w:tcPr>
          <w:p>
            <w:pPr>
              <w:pStyle w:val="TableText"/>
              <w:ind w:left="248"/>
              <w:spacing w:before="85" w:line="190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美尚</w:t>
            </w:r>
          </w:p>
        </w:tc>
        <w:tc>
          <w:tcPr>
            <w:shd w:val="clear" w:fill="B8CCE4"/>
            <w:tcW w:w="5737" w:type="dxa"/>
            <w:vAlign w:val="top"/>
            <w:tcBorders>
              <w:top w:val="single" w:color="4F81BD" w:sz="2" w:space="0"/>
            </w:tcBorders>
          </w:tcPr>
          <w:p>
            <w:pPr>
              <w:pStyle w:val="TableText"/>
              <w:ind w:left="101"/>
              <w:spacing w:before="86" w:line="189" w:lineRule="auto"/>
              <w:rPr/>
            </w:pPr>
            <w:r>
              <w:rPr>
                <w:spacing w:val="8"/>
              </w:rPr>
              <w:t>控股股东</w:t>
            </w:r>
            <w:r>
              <w:rPr>
                <w:b/>
                <w:bCs/>
                <w:spacing w:val="8"/>
              </w:rPr>
              <w:t>操纵证券市场。</w:t>
            </w:r>
          </w:p>
        </w:tc>
      </w:tr>
      <w:tr>
        <w:trPr>
          <w:trHeight w:val="725" w:hRule="atLeast"/>
        </w:trPr>
        <w:tc>
          <w:tcPr>
            <w:tcW w:w="8068" w:type="dxa"/>
            <w:vAlign w:val="top"/>
            <w:gridSpan w:val="3"/>
          </w:tcPr>
          <w:p>
            <w:pPr>
              <w:pStyle w:val="TableText"/>
              <w:ind w:left="118" w:right="103" w:firstLine="2"/>
              <w:spacing w:before="39" w:line="236" w:lineRule="auto"/>
              <w:rPr/>
            </w:pPr>
            <w:r>
              <w:rPr>
                <w:b/>
                <w:bCs/>
                <w:spacing w:val="10"/>
              </w:rPr>
              <w:t>【行政处罚决定】</w:t>
            </w:r>
            <w:r>
              <w:rPr>
                <w:spacing w:val="10"/>
              </w:rPr>
              <w:t>中国证监会决定</w:t>
            </w:r>
            <w:r>
              <w:rPr/>
              <w:t xml:space="preserve"> </w:t>
            </w:r>
            <w:r>
              <w:rPr>
                <w:spacing w:val="10"/>
              </w:rPr>
              <w:t>：对控股股东王某燕、季某处以800万元罚款</w:t>
            </w:r>
            <w:r>
              <w:rPr>
                <w:spacing w:val="-24"/>
              </w:rPr>
              <w:t xml:space="preserve"> </w:t>
            </w:r>
            <w:r>
              <w:rPr>
                <w:spacing w:val="10"/>
              </w:rPr>
              <w:t>，其</w:t>
            </w:r>
            <w:r>
              <w:rPr/>
              <w:t xml:space="preserve"> </w:t>
            </w:r>
            <w:r>
              <w:rPr>
                <w:spacing w:val="8"/>
              </w:rPr>
              <w:t>中对王某燕处以500万元罚款、对季某处以300万元罚款。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068" w:type="dxa"/>
            <w:vAlign w:val="top"/>
          </w:tcPr>
          <w:p>
            <w:pPr>
              <w:pStyle w:val="TableText"/>
              <w:ind w:left="168"/>
              <w:spacing w:before="278" w:line="178" w:lineRule="auto"/>
              <w:rPr/>
            </w:pPr>
            <w:r>
              <w:rPr>
                <w:spacing w:val="3"/>
              </w:rPr>
              <w:t>688555</w:t>
            </w:r>
          </w:p>
        </w:tc>
        <w:tc>
          <w:tcPr>
            <w:shd w:val="clear" w:fill="B8CCE4"/>
            <w:tcW w:w="1263" w:type="dxa"/>
            <w:vAlign w:val="top"/>
          </w:tcPr>
          <w:p>
            <w:pPr>
              <w:pStyle w:val="TableText"/>
              <w:ind w:left="202"/>
              <w:spacing w:before="261" w:line="190" w:lineRule="auto"/>
              <w:rPr/>
            </w:pPr>
            <w:r>
              <w:rPr>
                <w:spacing w:val="8"/>
              </w:rPr>
              <w:t>退市泽达</w:t>
            </w:r>
          </w:p>
        </w:tc>
        <w:tc>
          <w:tcPr>
            <w:shd w:val="clear" w:fill="B8CCE4"/>
            <w:tcW w:w="5737" w:type="dxa"/>
            <w:vAlign w:val="top"/>
          </w:tcPr>
          <w:p>
            <w:pPr>
              <w:pStyle w:val="TableText"/>
              <w:ind w:left="102" w:right="102" w:hanging="2"/>
              <w:spacing w:before="81" w:line="221" w:lineRule="auto"/>
              <w:rPr/>
            </w:pPr>
            <w:r>
              <w:rPr>
                <w:spacing w:val="12"/>
              </w:rPr>
              <w:t>截至2023年4月30日即法定披露截止日</w:t>
            </w:r>
            <w:r>
              <w:rPr>
                <w:spacing w:val="-15"/>
              </w:rPr>
              <w:t xml:space="preserve"> </w:t>
            </w:r>
            <w:r>
              <w:rPr>
                <w:spacing w:val="12"/>
              </w:rPr>
              <w:t>，公司</w:t>
            </w:r>
            <w:r>
              <w:rPr>
                <w:b/>
                <w:bCs/>
                <w:spacing w:val="12"/>
              </w:rPr>
              <w:t>未披露2022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6"/>
              </w:rPr>
              <w:t>年年报。</w:t>
            </w:r>
          </w:p>
        </w:tc>
      </w:tr>
      <w:tr>
        <w:trPr>
          <w:trHeight w:val="2165" w:hRule="atLeast"/>
        </w:trPr>
        <w:tc>
          <w:tcPr>
            <w:tcW w:w="8068" w:type="dxa"/>
            <w:vAlign w:val="top"/>
            <w:gridSpan w:val="3"/>
          </w:tcPr>
          <w:p>
            <w:pPr>
              <w:pStyle w:val="TableText"/>
              <w:ind w:left="121"/>
              <w:spacing w:before="42" w:line="237" w:lineRule="auto"/>
              <w:rPr/>
            </w:pPr>
            <w:r>
              <w:rPr>
                <w:b/>
                <w:bCs/>
                <w:spacing w:val="9"/>
              </w:rPr>
              <w:t>【行政处罚决定】</w:t>
            </w:r>
            <w:r>
              <w:rPr>
                <w:spacing w:val="9"/>
              </w:rPr>
              <w:t>中国证券监督管理委员会天</w:t>
            </w:r>
            <w:r>
              <w:rPr>
                <w:spacing w:val="8"/>
              </w:rPr>
              <w:t>津监管局决定：</w:t>
            </w:r>
          </w:p>
          <w:p>
            <w:pPr>
              <w:pStyle w:val="TableText"/>
              <w:ind w:left="104" w:right="103" w:firstLine="33"/>
              <w:spacing w:before="25" w:line="234" w:lineRule="auto"/>
              <w:rPr/>
            </w:pPr>
            <w:r>
              <w:rPr>
                <w:spacing w:val="8"/>
              </w:rPr>
              <w:t>（一）对泽达易盛（天津）科技股份有限公司责令改正</w:t>
            </w:r>
            <w:r>
              <w:rPr>
                <w:spacing w:val="-21"/>
              </w:rPr>
              <w:t xml:space="preserve"> </w:t>
            </w:r>
            <w:r>
              <w:rPr>
                <w:spacing w:val="8"/>
              </w:rPr>
              <w:t>，给予警告</w:t>
            </w:r>
            <w:r>
              <w:rPr>
                <w:spacing w:val="-26"/>
              </w:rPr>
              <w:t xml:space="preserve"> </w:t>
            </w:r>
            <w:r>
              <w:rPr>
                <w:spacing w:val="8"/>
              </w:rPr>
              <w:t>，并处以50万元罚</w:t>
            </w:r>
            <w:r>
              <w:rPr/>
              <w:t xml:space="preserve"> </w:t>
            </w:r>
            <w:r>
              <w:rPr>
                <w:spacing w:val="3"/>
              </w:rPr>
              <w:t>款。</w:t>
            </w:r>
          </w:p>
          <w:p>
            <w:pPr>
              <w:pStyle w:val="TableText"/>
              <w:ind w:left="137"/>
              <w:spacing w:before="50" w:line="229" w:lineRule="auto"/>
              <w:rPr/>
            </w:pPr>
            <w:r>
              <w:rPr>
                <w:spacing w:val="7"/>
              </w:rPr>
              <w:t>（二）对时任董事长,时任总经理林某给予警告</w:t>
            </w:r>
            <w:r>
              <w:rPr>
                <w:spacing w:val="-28"/>
              </w:rPr>
              <w:t xml:space="preserve"> </w:t>
            </w:r>
            <w:r>
              <w:rPr>
                <w:spacing w:val="7"/>
              </w:rPr>
              <w:t>，并处以20万元罚款。</w:t>
            </w:r>
          </w:p>
          <w:p>
            <w:pPr>
              <w:pStyle w:val="TableText"/>
              <w:ind w:left="104" w:right="105" w:firstLine="33"/>
              <w:spacing w:before="31" w:line="234" w:lineRule="auto"/>
              <w:rPr/>
            </w:pPr>
            <w:r>
              <w:rPr>
                <w:spacing w:val="10"/>
              </w:rPr>
              <w:t>（三）对时任高管,时任董事,时任董秘,时任财务总监应某给予警告</w:t>
            </w:r>
            <w:r>
              <w:rPr>
                <w:spacing w:val="-25"/>
              </w:rPr>
              <w:t xml:space="preserve"> </w:t>
            </w:r>
            <w:r>
              <w:rPr>
                <w:spacing w:val="10"/>
              </w:rPr>
              <w:t>，并处以</w:t>
            </w:r>
            <w:r>
              <w:rPr>
                <w:spacing w:val="9"/>
              </w:rPr>
              <w:t>20万元罚</w:t>
            </w:r>
            <w:r>
              <w:rPr/>
              <w:t xml:space="preserve"> </w:t>
            </w:r>
            <w:r>
              <w:rPr>
                <w:spacing w:val="3"/>
              </w:rPr>
              <w:t>款。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06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5"/>
              <w:spacing w:before="86" w:line="179" w:lineRule="auto"/>
              <w:rPr/>
            </w:pPr>
            <w:r>
              <w:rPr>
                <w:spacing w:val="3"/>
              </w:rPr>
              <w:t>002196</w:t>
            </w:r>
          </w:p>
        </w:tc>
        <w:tc>
          <w:tcPr>
            <w:shd w:val="clear" w:fill="B8CCE4"/>
            <w:tcW w:w="126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1"/>
              <w:spacing w:before="85" w:line="189" w:lineRule="auto"/>
              <w:rPr/>
            </w:pPr>
            <w:r>
              <w:rPr>
                <w:spacing w:val="8"/>
              </w:rPr>
              <w:t>方正电机</w:t>
            </w:r>
          </w:p>
        </w:tc>
        <w:tc>
          <w:tcPr>
            <w:shd w:val="clear" w:fill="B8CCE4"/>
            <w:tcW w:w="5737" w:type="dxa"/>
            <w:vAlign w:val="top"/>
          </w:tcPr>
          <w:p>
            <w:pPr>
              <w:pStyle w:val="TableText"/>
              <w:ind w:left="101" w:right="103"/>
              <w:spacing w:before="85" w:line="237" w:lineRule="auto"/>
              <w:jc w:val="both"/>
              <w:rPr/>
            </w:pPr>
            <w:r>
              <w:rPr>
                <w:spacing w:val="11"/>
              </w:rPr>
              <w:t>对“三包费</w:t>
            </w:r>
            <w:r>
              <w:rPr>
                <w:spacing w:val="-32"/>
              </w:rPr>
              <w:t xml:space="preserve"> </w:t>
            </w:r>
            <w:r>
              <w:rPr>
                <w:spacing w:val="11"/>
              </w:rPr>
              <w:t>”的会计估计不合理；不恰当地扩大上海海能商</w:t>
            </w:r>
            <w:r>
              <w:rPr/>
              <w:t xml:space="preserve"> </w:t>
            </w:r>
            <w:r>
              <w:rPr>
                <w:spacing w:val="12"/>
              </w:rPr>
              <w:t>誉相关资产组。方正电机发布《关于前期</w:t>
            </w:r>
            <w:r>
              <w:rPr>
                <w:b/>
                <w:bCs/>
                <w:spacing w:val="12"/>
              </w:rPr>
              <w:t>会计差错更正</w:t>
            </w:r>
            <w:r>
              <w:rPr>
                <w:spacing w:val="12"/>
              </w:rPr>
              <w:t>及追</w:t>
            </w:r>
            <w:r>
              <w:rPr>
                <w:spacing w:val="4"/>
              </w:rPr>
              <w:t xml:space="preserve"> </w:t>
            </w:r>
            <w:r>
              <w:rPr>
                <w:spacing w:val="11"/>
              </w:rPr>
              <w:t>溯调整的公告》</w:t>
            </w:r>
            <w:r>
              <w:rPr>
                <w:spacing w:val="-3"/>
              </w:rPr>
              <w:t xml:space="preserve"> </w:t>
            </w:r>
            <w:r>
              <w:rPr>
                <w:spacing w:val="11"/>
              </w:rPr>
              <w:t>，追溯调整2018年至2022年年度财务报表</w:t>
            </w:r>
          </w:p>
          <w:p>
            <w:pPr>
              <w:pStyle w:val="TableText"/>
              <w:ind w:left="111"/>
              <w:spacing w:before="214" w:line="116" w:lineRule="exact"/>
              <w:rPr/>
            </w:pPr>
            <w:r>
              <w:rPr>
                <w:position w:val="3"/>
              </w:rPr>
              <w:t>。</w:t>
            </w:r>
          </w:p>
        </w:tc>
      </w:tr>
      <w:tr>
        <w:trPr>
          <w:trHeight w:val="725" w:hRule="atLeast"/>
        </w:trPr>
        <w:tc>
          <w:tcPr>
            <w:tcW w:w="8068" w:type="dxa"/>
            <w:vAlign w:val="top"/>
            <w:gridSpan w:val="3"/>
          </w:tcPr>
          <w:p>
            <w:pPr>
              <w:pStyle w:val="TableText"/>
              <w:ind w:left="108" w:right="103" w:firstLine="12"/>
              <w:spacing w:before="45" w:line="234" w:lineRule="auto"/>
              <w:rPr/>
            </w:pPr>
            <w:r>
              <w:rPr>
                <w:b/>
                <w:bCs/>
                <w:spacing w:val="10"/>
              </w:rPr>
              <w:t>【行政处罚决定】</w:t>
            </w:r>
            <w:r>
              <w:rPr>
                <w:spacing w:val="10"/>
              </w:rPr>
              <w:t>中国证券监督管理委员会浙江监管局决定</w:t>
            </w:r>
            <w:r>
              <w:rPr>
                <w:spacing w:val="-3"/>
              </w:rPr>
              <w:t xml:space="preserve"> </w:t>
            </w:r>
            <w:r>
              <w:rPr>
                <w:spacing w:val="10"/>
              </w:rPr>
              <w:t>：对时任董事长顾某峰给</w:t>
            </w:r>
            <w:r>
              <w:rPr/>
              <w:t xml:space="preserve"> </w:t>
            </w:r>
            <w:r>
              <w:rPr>
                <w:spacing w:val="5"/>
              </w:rPr>
              <w:t>予警告</w:t>
            </w:r>
            <w:r>
              <w:rPr>
                <w:spacing w:val="-19"/>
              </w:rPr>
              <w:t xml:space="preserve"> </w:t>
            </w:r>
            <w:r>
              <w:rPr>
                <w:spacing w:val="5"/>
              </w:rPr>
              <w:t>，并处以70万元罚款。</w:t>
            </w:r>
          </w:p>
        </w:tc>
      </w:tr>
      <w:tr>
        <w:trPr>
          <w:trHeight w:val="365" w:hRule="atLeast"/>
        </w:trPr>
        <w:tc>
          <w:tcPr>
            <w:shd w:val="clear" w:fill="B8CCE4"/>
            <w:tcW w:w="1068" w:type="dxa"/>
            <w:vAlign w:val="top"/>
          </w:tcPr>
          <w:p>
            <w:pPr>
              <w:pStyle w:val="TableText"/>
              <w:ind w:left="168"/>
              <w:spacing w:before="104" w:line="175" w:lineRule="auto"/>
              <w:rPr/>
            </w:pPr>
            <w:r>
              <w:rPr>
                <w:spacing w:val="3"/>
              </w:rPr>
              <w:t>600203</w:t>
            </w:r>
          </w:p>
        </w:tc>
        <w:tc>
          <w:tcPr>
            <w:shd w:val="clear" w:fill="B8CCE4"/>
            <w:tcW w:w="1263" w:type="dxa"/>
            <w:vAlign w:val="top"/>
          </w:tcPr>
          <w:p>
            <w:pPr>
              <w:pStyle w:val="TableText"/>
              <w:ind w:left="202"/>
              <w:spacing w:before="90" w:line="185" w:lineRule="auto"/>
              <w:rPr/>
            </w:pPr>
            <w:r>
              <w:rPr>
                <w:spacing w:val="8"/>
              </w:rPr>
              <w:t>福日电子</w:t>
            </w:r>
          </w:p>
        </w:tc>
        <w:tc>
          <w:tcPr>
            <w:shd w:val="clear" w:fill="B8CCE4"/>
            <w:tcW w:w="5737" w:type="dxa"/>
            <w:vAlign w:val="top"/>
          </w:tcPr>
          <w:p>
            <w:pPr>
              <w:pStyle w:val="TableText"/>
              <w:ind w:left="114"/>
              <w:spacing w:before="90" w:line="185" w:lineRule="auto"/>
              <w:rPr/>
            </w:pPr>
            <w:r>
              <w:rPr>
                <w:b/>
                <w:bCs/>
                <w:spacing w:val="6"/>
              </w:rPr>
              <w:t>内幕交易</w:t>
            </w:r>
            <w:r>
              <w:rPr>
                <w:spacing w:val="6"/>
              </w:rPr>
              <w:t>公司股票。</w:t>
            </w:r>
          </w:p>
        </w:tc>
      </w:tr>
      <w:tr>
        <w:trPr>
          <w:trHeight w:val="1085" w:hRule="atLeast"/>
        </w:trPr>
        <w:tc>
          <w:tcPr>
            <w:tcW w:w="8068" w:type="dxa"/>
            <w:vAlign w:val="top"/>
            <w:gridSpan w:val="3"/>
          </w:tcPr>
          <w:p>
            <w:pPr>
              <w:pStyle w:val="TableText"/>
              <w:ind w:left="103" w:right="103" w:firstLine="18"/>
              <w:spacing w:before="45"/>
              <w:jc w:val="both"/>
              <w:rPr/>
            </w:pPr>
            <w:r>
              <w:rPr>
                <w:b/>
                <w:bCs/>
                <w:spacing w:val="23"/>
              </w:rPr>
              <w:t>【行政处罚决定】</w:t>
            </w:r>
            <w:r>
              <w:rPr>
                <w:spacing w:val="23"/>
              </w:rPr>
              <w:t>中国证券监督管理委员会重庆监管局决定：</w:t>
            </w:r>
            <w:r>
              <w:rPr>
                <w:spacing w:val="-36"/>
              </w:rPr>
              <w:t xml:space="preserve"> </w:t>
            </w:r>
            <w:r>
              <w:rPr>
                <w:spacing w:val="23"/>
              </w:rPr>
              <w:t>没收于某违法</w:t>
            </w:r>
            <w:r>
              <w:rPr>
                <w:spacing w:val="22"/>
              </w:rPr>
              <w:t>所得</w:t>
            </w:r>
            <w:r>
              <w:rPr/>
              <w:t xml:space="preserve"> </w:t>
            </w:r>
            <w:r>
              <w:rPr>
                <w:spacing w:val="6"/>
              </w:rPr>
              <w:t>70,166.36元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，并处以210,499.08元罚款。没收汪某政违法所得15,856</w:t>
            </w:r>
            <w:r>
              <w:rPr>
                <w:spacing w:val="5"/>
              </w:rPr>
              <w:t>,370.04元</w:t>
            </w:r>
            <w:r>
              <w:rPr>
                <w:spacing w:val="-25"/>
              </w:rPr>
              <w:t xml:space="preserve"> </w:t>
            </w:r>
            <w:r>
              <w:rPr>
                <w:spacing w:val="5"/>
              </w:rPr>
              <w:t>，并</w:t>
            </w:r>
            <w:r>
              <w:rPr/>
              <w:t xml:space="preserve"> </w:t>
            </w:r>
            <w:r>
              <w:rPr>
                <w:spacing w:val="6"/>
              </w:rPr>
              <w:t>处以47,569,110.12元罚款。</w:t>
            </w:r>
          </w:p>
        </w:tc>
      </w:tr>
      <w:tr>
        <w:trPr>
          <w:trHeight w:val="365" w:hRule="atLeast"/>
        </w:trPr>
        <w:tc>
          <w:tcPr>
            <w:shd w:val="clear" w:fill="B8CCE4"/>
            <w:tcW w:w="1068" w:type="dxa"/>
            <w:vAlign w:val="top"/>
          </w:tcPr>
          <w:p>
            <w:pPr>
              <w:pStyle w:val="TableText"/>
              <w:ind w:left="168"/>
              <w:spacing w:before="104" w:line="175" w:lineRule="auto"/>
              <w:rPr/>
            </w:pPr>
            <w:r>
              <w:rPr>
                <w:spacing w:val="3"/>
              </w:rPr>
              <w:t>600798</w:t>
            </w:r>
          </w:p>
        </w:tc>
        <w:tc>
          <w:tcPr>
            <w:shd w:val="clear" w:fill="B8CCE4"/>
            <w:tcW w:w="1263" w:type="dxa"/>
            <w:vAlign w:val="top"/>
          </w:tcPr>
          <w:p>
            <w:pPr>
              <w:pStyle w:val="TableText"/>
              <w:ind w:left="205"/>
              <w:spacing w:before="90" w:line="185" w:lineRule="auto"/>
              <w:rPr/>
            </w:pPr>
            <w:r>
              <w:rPr>
                <w:spacing w:val="8"/>
              </w:rPr>
              <w:t>宁波海运</w:t>
            </w:r>
          </w:p>
        </w:tc>
        <w:tc>
          <w:tcPr>
            <w:shd w:val="clear" w:fill="B8CCE4"/>
            <w:tcW w:w="5737" w:type="dxa"/>
            <w:vAlign w:val="top"/>
          </w:tcPr>
          <w:p>
            <w:pPr>
              <w:pStyle w:val="TableText"/>
              <w:ind w:left="101"/>
              <w:spacing w:before="90" w:line="185" w:lineRule="auto"/>
              <w:rPr/>
            </w:pPr>
            <w:r>
              <w:rPr>
                <w:b/>
                <w:bCs/>
                <w:spacing w:val="7"/>
              </w:rPr>
              <w:t>泄露内幕</w:t>
            </w:r>
            <w:r>
              <w:rPr>
                <w:spacing w:val="7"/>
              </w:rPr>
              <w:t>信息。</w:t>
            </w:r>
          </w:p>
        </w:tc>
      </w:tr>
      <w:tr>
        <w:trPr>
          <w:trHeight w:val="724" w:hRule="atLeast"/>
        </w:trPr>
        <w:tc>
          <w:tcPr>
            <w:tcW w:w="8068" w:type="dxa"/>
            <w:vAlign w:val="top"/>
            <w:gridSpan w:val="3"/>
          </w:tcPr>
          <w:p>
            <w:pPr>
              <w:pStyle w:val="TableText"/>
              <w:ind w:left="104" w:right="103" w:firstLine="16"/>
              <w:spacing w:before="47" w:line="233" w:lineRule="auto"/>
              <w:rPr/>
            </w:pPr>
            <w:r>
              <w:rPr>
                <w:b/>
                <w:bCs/>
                <w:spacing w:val="11"/>
              </w:rPr>
              <w:t>【行政处罚决定】</w:t>
            </w:r>
            <w:r>
              <w:rPr>
                <w:spacing w:val="11"/>
              </w:rPr>
              <w:t>中国证券监督管理委员会新疆监管局决定</w:t>
            </w:r>
            <w:r>
              <w:rPr>
                <w:spacing w:val="-15"/>
              </w:rPr>
              <w:t xml:space="preserve"> </w:t>
            </w:r>
            <w:r>
              <w:rPr>
                <w:spacing w:val="11"/>
              </w:rPr>
              <w:t>：对章某栋</w:t>
            </w:r>
            <w:r>
              <w:rPr>
                <w:spacing w:val="10"/>
              </w:rPr>
              <w:t>处以200,000</w:t>
            </w:r>
            <w:r>
              <w:rPr/>
              <w:t xml:space="preserve"> </w:t>
            </w:r>
            <w:r>
              <w:rPr>
                <w:spacing w:val="6"/>
              </w:rPr>
              <w:t>元罚款。</w:t>
            </w:r>
          </w:p>
        </w:tc>
      </w:tr>
      <w:tr>
        <w:trPr>
          <w:trHeight w:val="366" w:hRule="atLeast"/>
        </w:trPr>
        <w:tc>
          <w:tcPr>
            <w:shd w:val="clear" w:fill="B8CCE4"/>
            <w:tcW w:w="1068" w:type="dxa"/>
            <w:vAlign w:val="top"/>
          </w:tcPr>
          <w:p>
            <w:pPr>
              <w:pStyle w:val="TableText"/>
              <w:ind w:left="165"/>
              <w:spacing w:before="105" w:line="175" w:lineRule="auto"/>
              <w:rPr/>
            </w:pPr>
            <w:r>
              <w:rPr>
                <w:spacing w:val="3"/>
              </w:rPr>
              <w:t>000416</w:t>
            </w:r>
          </w:p>
        </w:tc>
        <w:tc>
          <w:tcPr>
            <w:shd w:val="clear" w:fill="B8CCE4"/>
            <w:tcW w:w="1263" w:type="dxa"/>
            <w:vAlign w:val="top"/>
          </w:tcPr>
          <w:p>
            <w:pPr>
              <w:pStyle w:val="TableText"/>
              <w:ind w:left="248"/>
              <w:spacing w:before="92" w:line="184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民控</w:t>
            </w:r>
          </w:p>
        </w:tc>
        <w:tc>
          <w:tcPr>
            <w:shd w:val="clear" w:fill="B8CCE4"/>
            <w:tcW w:w="5737" w:type="dxa"/>
            <w:vAlign w:val="top"/>
          </w:tcPr>
          <w:p>
            <w:pPr>
              <w:pStyle w:val="TableText"/>
              <w:ind w:left="101"/>
              <w:spacing w:before="92" w:line="184" w:lineRule="auto"/>
              <w:rPr/>
            </w:pPr>
            <w:r>
              <w:rPr>
                <w:b/>
                <w:bCs/>
                <w:spacing w:val="7"/>
              </w:rPr>
              <w:t>泄露内幕</w:t>
            </w:r>
            <w:r>
              <w:rPr>
                <w:spacing w:val="7"/>
              </w:rPr>
              <w:t>信息。</w:t>
            </w:r>
          </w:p>
        </w:tc>
      </w:tr>
      <w:tr>
        <w:trPr>
          <w:trHeight w:val="724" w:hRule="atLeast"/>
        </w:trPr>
        <w:tc>
          <w:tcPr>
            <w:tcW w:w="8068" w:type="dxa"/>
            <w:vAlign w:val="top"/>
            <w:gridSpan w:val="3"/>
          </w:tcPr>
          <w:p>
            <w:pPr>
              <w:pStyle w:val="TableText"/>
              <w:ind w:left="113" w:right="103" w:firstLine="8"/>
              <w:spacing w:before="47" w:line="233" w:lineRule="auto"/>
              <w:rPr/>
            </w:pPr>
            <w:r>
              <w:rPr>
                <w:b/>
                <w:bCs/>
                <w:spacing w:val="12"/>
              </w:rPr>
              <w:t>【行政处罚决定】</w:t>
            </w:r>
            <w:r>
              <w:rPr>
                <w:spacing w:val="12"/>
              </w:rPr>
              <w:t>中国证券监督管理委员会北京监管局决定:对董事长王某处以8万元</w:t>
            </w:r>
            <w:r>
              <w:rPr>
                <w:spacing w:val="5"/>
              </w:rPr>
              <w:t xml:space="preserve"> </w:t>
            </w:r>
            <w:r>
              <w:rPr>
                <w:spacing w:val="4"/>
              </w:rPr>
              <w:t>的罚款。</w:t>
            </w:r>
          </w:p>
        </w:tc>
      </w:tr>
      <w:tr>
        <w:trPr>
          <w:trHeight w:val="365" w:hRule="atLeast"/>
        </w:trPr>
        <w:tc>
          <w:tcPr>
            <w:shd w:val="clear" w:fill="B8CCE4"/>
            <w:tcW w:w="1068" w:type="dxa"/>
            <w:vAlign w:val="top"/>
          </w:tcPr>
          <w:p>
            <w:pPr>
              <w:pStyle w:val="TableText"/>
              <w:ind w:left="165"/>
              <w:spacing w:before="107" w:line="173" w:lineRule="auto"/>
              <w:rPr/>
            </w:pPr>
            <w:r>
              <w:rPr>
                <w:spacing w:val="3"/>
              </w:rPr>
              <w:t>000416</w:t>
            </w:r>
          </w:p>
        </w:tc>
        <w:tc>
          <w:tcPr>
            <w:shd w:val="clear" w:fill="B8CCE4"/>
            <w:tcW w:w="1263" w:type="dxa"/>
            <w:vAlign w:val="top"/>
          </w:tcPr>
          <w:p>
            <w:pPr>
              <w:pStyle w:val="TableText"/>
              <w:ind w:left="248"/>
              <w:spacing w:before="93" w:line="183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民控</w:t>
            </w:r>
          </w:p>
        </w:tc>
        <w:tc>
          <w:tcPr>
            <w:shd w:val="clear" w:fill="B8CCE4"/>
            <w:tcW w:w="5737" w:type="dxa"/>
            <w:vAlign w:val="top"/>
          </w:tcPr>
          <w:p>
            <w:pPr>
              <w:pStyle w:val="TableText"/>
              <w:ind w:left="114"/>
              <w:spacing w:before="93" w:line="183" w:lineRule="auto"/>
              <w:rPr/>
            </w:pPr>
            <w:r>
              <w:rPr>
                <w:b/>
                <w:bCs/>
                <w:spacing w:val="6"/>
              </w:rPr>
              <w:t>内幕交易</w:t>
            </w:r>
            <w:r>
              <w:rPr>
                <w:spacing w:val="6"/>
              </w:rPr>
              <w:t>公司股票。</w:t>
            </w:r>
          </w:p>
        </w:tc>
      </w:tr>
      <w:tr>
        <w:trPr>
          <w:trHeight w:val="1444" w:hRule="atLeast"/>
        </w:trPr>
        <w:tc>
          <w:tcPr>
            <w:tcW w:w="8068" w:type="dxa"/>
            <w:vAlign w:val="top"/>
            <w:gridSpan w:val="3"/>
          </w:tcPr>
          <w:p>
            <w:pPr>
              <w:pStyle w:val="TableText"/>
              <w:ind w:left="121"/>
              <w:spacing w:before="49" w:line="237" w:lineRule="auto"/>
              <w:rPr/>
            </w:pPr>
            <w:r>
              <w:rPr>
                <w:b/>
                <w:bCs/>
                <w:spacing w:val="9"/>
              </w:rPr>
              <w:t>【行政处罚决定】</w:t>
            </w:r>
            <w:r>
              <w:rPr>
                <w:spacing w:val="9"/>
              </w:rPr>
              <w:t>中国证券监督管理委员会北京监管局决</w:t>
            </w:r>
            <w:r>
              <w:rPr>
                <w:spacing w:val="8"/>
              </w:rPr>
              <w:t>定:</w:t>
            </w:r>
          </w:p>
          <w:p>
            <w:pPr>
              <w:pStyle w:val="TableText"/>
              <w:ind w:left="111" w:right="103" w:firstLine="26"/>
              <w:spacing w:before="25" w:line="234" w:lineRule="auto"/>
              <w:rPr/>
            </w:pPr>
            <w:r>
              <w:rPr>
                <w:spacing w:val="9"/>
              </w:rPr>
              <w:t>（一）责令红槿资本依法处理违法持有的证券,没收违法所得44,831,574</w:t>
            </w:r>
            <w:r>
              <w:rPr>
                <w:spacing w:val="8"/>
              </w:rPr>
              <w:t>.41元,并处以</w:t>
            </w:r>
            <w:r>
              <w:rPr/>
              <w:t xml:space="preserve"> </w:t>
            </w:r>
            <w:r>
              <w:rPr>
                <w:spacing w:val="5"/>
              </w:rPr>
              <w:t>89,663,148.81元的罚款;</w:t>
            </w:r>
          </w:p>
          <w:p>
            <w:pPr>
              <w:pStyle w:val="TableText"/>
              <w:ind w:left="137"/>
              <w:spacing w:before="50" w:line="210" w:lineRule="auto"/>
              <w:rPr/>
            </w:pPr>
            <w:r>
              <w:rPr>
                <w:spacing w:val="8"/>
              </w:rPr>
              <w:t>（二）对直接负责的主管人员徐某晶处以30万元</w:t>
            </w:r>
            <w:r>
              <w:rPr>
                <w:spacing w:val="7"/>
              </w:rPr>
              <w:t>的罚款。</w:t>
            </w:r>
          </w:p>
        </w:tc>
      </w:tr>
      <w:tr>
        <w:trPr>
          <w:trHeight w:val="365" w:hRule="atLeast"/>
        </w:trPr>
        <w:tc>
          <w:tcPr>
            <w:shd w:val="clear" w:fill="B8CCE4"/>
            <w:tcW w:w="1068" w:type="dxa"/>
            <w:vAlign w:val="top"/>
          </w:tcPr>
          <w:p>
            <w:pPr>
              <w:pStyle w:val="TableText"/>
              <w:ind w:left="165"/>
              <w:spacing w:before="109" w:line="172" w:lineRule="auto"/>
              <w:rPr/>
            </w:pPr>
            <w:r>
              <w:rPr>
                <w:spacing w:val="3"/>
              </w:rPr>
              <w:t>000416</w:t>
            </w:r>
          </w:p>
        </w:tc>
        <w:tc>
          <w:tcPr>
            <w:shd w:val="clear" w:fill="B8CCE4"/>
            <w:tcW w:w="1263" w:type="dxa"/>
            <w:vAlign w:val="top"/>
          </w:tcPr>
          <w:p>
            <w:pPr>
              <w:pStyle w:val="TableText"/>
              <w:ind w:left="248"/>
              <w:spacing w:before="94" w:line="182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民控</w:t>
            </w:r>
          </w:p>
        </w:tc>
        <w:tc>
          <w:tcPr>
            <w:shd w:val="clear" w:fill="B8CCE4"/>
            <w:tcW w:w="5737" w:type="dxa"/>
            <w:vAlign w:val="top"/>
          </w:tcPr>
          <w:p>
            <w:pPr>
              <w:pStyle w:val="TableText"/>
              <w:ind w:left="114"/>
              <w:spacing w:before="96" w:line="181" w:lineRule="auto"/>
              <w:rPr/>
            </w:pPr>
            <w:r>
              <w:rPr>
                <w:b/>
                <w:bCs/>
                <w:spacing w:val="6"/>
              </w:rPr>
              <w:t>内幕交易</w:t>
            </w:r>
            <w:r>
              <w:rPr>
                <w:spacing w:val="6"/>
              </w:rPr>
              <w:t>公司股票。</w:t>
            </w:r>
          </w:p>
        </w:tc>
      </w:tr>
      <w:tr>
        <w:trPr>
          <w:trHeight w:val="725" w:hRule="atLeast"/>
        </w:trPr>
        <w:tc>
          <w:tcPr>
            <w:tcW w:w="8068" w:type="dxa"/>
            <w:vAlign w:val="top"/>
            <w:gridSpan w:val="3"/>
          </w:tcPr>
          <w:p>
            <w:pPr>
              <w:pStyle w:val="TableText"/>
              <w:ind w:left="113" w:right="103" w:firstLine="7"/>
              <w:spacing w:before="51" w:line="232" w:lineRule="auto"/>
              <w:rPr/>
            </w:pPr>
            <w:r>
              <w:rPr>
                <w:b/>
                <w:bCs/>
                <w:spacing w:val="22"/>
              </w:rPr>
              <w:t>【行政处罚决定】</w:t>
            </w:r>
            <w:r>
              <w:rPr>
                <w:spacing w:val="22"/>
              </w:rPr>
              <w:t>中国证券监督管理委员会北京监管</w:t>
            </w:r>
            <w:r>
              <w:rPr>
                <w:spacing w:val="21"/>
              </w:rPr>
              <w:t>局决定:没收杨某林违法所得</w:t>
            </w:r>
            <w:r>
              <w:rPr/>
              <w:t xml:space="preserve"> </w:t>
            </w:r>
            <w:r>
              <w:rPr>
                <w:spacing w:val="5"/>
              </w:rPr>
              <w:t>2,192,066.65元,并处以6,576,199.95元的罚款。</w:t>
            </w:r>
          </w:p>
        </w:tc>
      </w:tr>
      <w:tr>
        <w:trPr>
          <w:trHeight w:val="372" w:hRule="atLeast"/>
        </w:trPr>
        <w:tc>
          <w:tcPr>
            <w:shd w:val="clear" w:fill="B8CCE4"/>
            <w:tcW w:w="1068" w:type="dxa"/>
            <w:vAlign w:val="top"/>
          </w:tcPr>
          <w:p>
            <w:pPr>
              <w:pStyle w:val="TableText"/>
              <w:ind w:left="165"/>
              <w:spacing w:before="110" w:line="176" w:lineRule="auto"/>
              <w:rPr/>
            </w:pPr>
            <w:r>
              <w:rPr>
                <w:spacing w:val="3"/>
              </w:rPr>
              <w:t>000416</w:t>
            </w:r>
          </w:p>
        </w:tc>
        <w:tc>
          <w:tcPr>
            <w:shd w:val="clear" w:fill="B8CCE4"/>
            <w:tcW w:w="1263" w:type="dxa"/>
            <w:vAlign w:val="top"/>
          </w:tcPr>
          <w:p>
            <w:pPr>
              <w:pStyle w:val="TableText"/>
              <w:ind w:left="248"/>
              <w:spacing w:before="96" w:line="186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民控</w:t>
            </w:r>
          </w:p>
        </w:tc>
        <w:tc>
          <w:tcPr>
            <w:shd w:val="clear" w:fill="B8CCE4"/>
            <w:tcW w:w="5737" w:type="dxa"/>
            <w:vAlign w:val="top"/>
          </w:tcPr>
          <w:p>
            <w:pPr>
              <w:pStyle w:val="TableText"/>
              <w:ind w:left="114"/>
              <w:spacing w:before="96" w:line="186" w:lineRule="auto"/>
              <w:rPr/>
            </w:pPr>
            <w:r>
              <w:rPr>
                <w:b/>
                <w:bCs/>
                <w:spacing w:val="6"/>
              </w:rPr>
              <w:t>内幕交易</w:t>
            </w:r>
            <w:r>
              <w:rPr>
                <w:spacing w:val="6"/>
              </w:rPr>
              <w:t>公司股票。</w:t>
            </w:r>
          </w:p>
        </w:tc>
      </w:tr>
    </w:tbl>
    <w:p>
      <w:pPr>
        <w:pStyle w:val="BodyText"/>
        <w:spacing w:line="113" w:lineRule="exact"/>
        <w:rPr>
          <w:sz w:val="9"/>
        </w:rPr>
      </w:pPr>
      <w:r/>
    </w:p>
    <w:p>
      <w:pPr>
        <w:spacing w:line="113" w:lineRule="exact"/>
        <w:sectPr>
          <w:footerReference w:type="default" r:id="rId8"/>
          <w:pgSz w:w="11910" w:h="16840"/>
          <w:pgMar w:top="374" w:right="1786" w:bottom="1" w:left="875" w:header="0" w:footer="0" w:gutter="0"/>
        </w:sectPr>
        <w:rPr>
          <w:sz w:val="9"/>
          <w:szCs w:val="9"/>
        </w:rPr>
      </w:pPr>
    </w:p>
    <w:tbl>
      <w:tblPr>
        <w:tblStyle w:val="TableNormal"/>
        <w:tblW w:w="8068" w:type="dxa"/>
        <w:tblInd w:w="561" w:type="dxa"/>
        <w:tblLayout w:type="fixed"/>
        <w:tblBorders>
          <w:left w:val="single" w:color="4F81BD" w:sz="6" w:space="0"/>
          <w:bottom w:val="single" w:color="4F81BD" w:sz="6" w:space="0"/>
          <w:right w:val="single" w:color="4F81BD" w:sz="6" w:space="0"/>
          <w:top w:val="single" w:color="4F81BD" w:sz="2" w:space="0"/>
        </w:tblBorders>
      </w:tblPr>
      <w:tblGrid>
        <w:gridCol w:w="8068"/>
      </w:tblGrid>
      <w:tr>
        <w:trPr>
          <w:trHeight w:val="739" w:hRule="atLeast"/>
        </w:trPr>
        <w:tc>
          <w:tcPr>
            <w:tcW w:w="8068" w:type="dxa"/>
            <w:vAlign w:val="top"/>
          </w:tcPr>
          <w:p>
            <w:pPr>
              <w:pStyle w:val="TableText"/>
              <w:ind w:left="104" w:right="103" w:firstLine="17"/>
              <w:spacing w:before="59" w:line="234" w:lineRule="auto"/>
              <w:rPr/>
            </w:pPr>
            <w:r>
              <w:pict>
                <v:rect id="_x0000_s30" style="position:absolute;margin-left:481.17pt;margin-top:92.61pt;mso-position-vertical-relative:page;mso-position-horizontal-relative:page;width:1pt;height:249pt;z-index:251666432;" o:allowincell="f" fillcolor="#4F81BD" filled="true" stroked="false"/>
              </w:pict>
            </w:r>
            <w:r>
              <w:rPr>
                <w:b/>
                <w:bCs/>
                <w:spacing w:val="10"/>
              </w:rPr>
              <w:t>【行政处罚决定】</w:t>
            </w:r>
            <w:r>
              <w:rPr>
                <w:spacing w:val="10"/>
              </w:rPr>
              <w:t>中国证券监督管理委员会北京监管局决定:责令刘某久依法处理</w:t>
            </w:r>
            <w:r>
              <w:rPr>
                <w:spacing w:val="9"/>
              </w:rPr>
              <w:t>非法</w:t>
            </w:r>
            <w:r>
              <w:rPr/>
              <w:t xml:space="preserve"> </w:t>
            </w:r>
            <w:r>
              <w:rPr>
                <w:spacing w:val="7"/>
              </w:rPr>
              <w:t>持有的证券,没收违法所得1,656,015.55元,并处以4,96</w:t>
            </w:r>
            <w:r>
              <w:rPr>
                <w:spacing w:val="6"/>
              </w:rPr>
              <w:t>8,046.65元的罚款。</w:t>
            </w:r>
          </w:p>
        </w:tc>
      </w:tr>
    </w:tbl>
    <w:p>
      <w:pPr>
        <w:spacing w:before="313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0"/>
          <w:w w:val="97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4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0"/>
          <w:w w:val="97"/>
        </w:rPr>
        <w:t>2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3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0"/>
          <w:w w:val="97"/>
        </w:rPr>
        <w:t>）行政处罚决定事先告知书</w:t>
      </w:r>
    </w:p>
    <w:tbl>
      <w:tblPr>
        <w:tblStyle w:val="TableNormal"/>
        <w:tblW w:w="8189" w:type="dxa"/>
        <w:tblInd w:w="558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47"/>
        <w:gridCol w:w="1173"/>
        <w:gridCol w:w="5769"/>
      </w:tblGrid>
      <w:tr>
        <w:trPr>
          <w:trHeight w:val="806" w:hRule="atLeast"/>
        </w:trPr>
        <w:tc>
          <w:tcPr>
            <w:shd w:val="clear" w:fill="4F81BD"/>
            <w:tcW w:w="1247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197"/>
              <w:spacing w:before="320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173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157"/>
              <w:spacing w:before="320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769" w:type="dxa"/>
            <w:vAlign w:val="top"/>
            <w:tcBorders>
              <w:bottom w:val="single" w:color="4F81BD" w:sz="2" w:space="0"/>
              <w:right w:val="nil"/>
            </w:tcBorders>
          </w:tcPr>
          <w:p>
            <w:pPr>
              <w:pStyle w:val="TableText"/>
              <w:ind w:left="2451"/>
              <w:spacing w:before="320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128" w:hRule="atLeast"/>
        </w:trPr>
        <w:tc>
          <w:tcPr>
            <w:shd w:val="clear" w:fill="B8CCE4"/>
            <w:tcW w:w="1247" w:type="dxa"/>
            <w:vAlign w:val="top"/>
            <w:tcBorders>
              <w:top w:val="single" w:color="4F81BD" w:sz="2" w:space="0"/>
            </w:tcBorders>
          </w:tcPr>
          <w:p>
            <w:pPr>
              <w:spacing w:line="3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5"/>
              <w:spacing w:before="86" w:line="179" w:lineRule="auto"/>
              <w:rPr/>
            </w:pPr>
            <w:r>
              <w:rPr>
                <w:spacing w:val="3"/>
              </w:rPr>
              <w:t>600136</w:t>
            </w:r>
          </w:p>
        </w:tc>
        <w:tc>
          <w:tcPr>
            <w:shd w:val="clear" w:fill="B8CCE4"/>
            <w:tcW w:w="1173" w:type="dxa"/>
            <w:vAlign w:val="top"/>
            <w:tcBorders>
              <w:top w:val="single" w:color="4F81BD" w:sz="2" w:space="0"/>
            </w:tcBorders>
          </w:tcPr>
          <w:p>
            <w:pPr>
              <w:spacing w:line="3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2"/>
              <w:spacing w:before="86" w:line="188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明诚</w:t>
            </w:r>
          </w:p>
        </w:tc>
        <w:tc>
          <w:tcPr>
            <w:shd w:val="clear" w:fill="B8CCE4"/>
            <w:tcW w:w="5769" w:type="dxa"/>
            <w:vAlign w:val="top"/>
            <w:tcBorders>
              <w:top w:val="single" w:color="4F81BD" w:sz="2" w:space="0"/>
              <w:right w:val="nil"/>
            </w:tcBorders>
          </w:tcPr>
          <w:p>
            <w:pPr>
              <w:pStyle w:val="TableText"/>
              <w:ind w:left="99" w:right="118" w:firstLine="9"/>
              <w:spacing w:before="108" w:line="231" w:lineRule="auto"/>
              <w:jc w:val="both"/>
              <w:rPr/>
            </w:pPr>
            <w:r>
              <w:rPr>
                <w:spacing w:val="9"/>
              </w:rPr>
              <w:t>2020年年报披露的</w:t>
            </w:r>
            <w:r>
              <w:rPr>
                <w:b/>
                <w:bCs/>
                <w:spacing w:val="9"/>
              </w:rPr>
              <w:t>担保事项</w:t>
            </w:r>
            <w:r>
              <w:rPr>
                <w:spacing w:val="9"/>
              </w:rPr>
              <w:t>存在重大遗漏；</w:t>
            </w:r>
            <w:r>
              <w:rPr>
                <w:spacing w:val="-31"/>
              </w:rPr>
              <w:t xml:space="preserve"> </w:t>
            </w:r>
            <w:r>
              <w:rPr>
                <w:spacing w:val="9"/>
              </w:rPr>
              <w:t>202</w:t>
            </w:r>
            <w:r>
              <w:rPr>
                <w:spacing w:val="8"/>
              </w:rPr>
              <w:t>0年、</w:t>
            </w:r>
            <w:r>
              <w:rPr>
                <w:spacing w:val="-36"/>
              </w:rPr>
              <w:t xml:space="preserve"> </w:t>
            </w:r>
            <w:r>
              <w:rPr>
                <w:spacing w:val="8"/>
              </w:rPr>
              <w:t>2021</w:t>
            </w:r>
            <w:r>
              <w:rPr/>
              <w:t xml:space="preserve"> </w:t>
            </w:r>
            <w:r>
              <w:rPr>
                <w:spacing w:val="11"/>
              </w:rPr>
              <w:t>年年报存在</w:t>
            </w:r>
            <w:r>
              <w:rPr>
                <w:b/>
                <w:bCs/>
                <w:spacing w:val="11"/>
              </w:rPr>
              <w:t>虚假记载</w:t>
            </w:r>
            <w:r>
              <w:rPr>
                <w:spacing w:val="11"/>
              </w:rPr>
              <w:t>；</w:t>
            </w:r>
            <w:r>
              <w:rPr>
                <w:spacing w:val="-24"/>
              </w:rPr>
              <w:t xml:space="preserve"> </w:t>
            </w:r>
            <w:r>
              <w:rPr>
                <w:spacing w:val="11"/>
              </w:rPr>
              <w:t>未及时披露</w:t>
            </w:r>
            <w:r>
              <w:rPr>
                <w:b/>
                <w:bCs/>
                <w:spacing w:val="11"/>
              </w:rPr>
              <w:t>仲裁</w:t>
            </w:r>
            <w:r>
              <w:rPr>
                <w:spacing w:val="11"/>
              </w:rPr>
              <w:t>信息；</w:t>
            </w:r>
            <w:r>
              <w:rPr>
                <w:spacing w:val="-38"/>
              </w:rPr>
              <w:t xml:space="preserve"> </w:t>
            </w:r>
            <w:r>
              <w:rPr>
                <w:spacing w:val="11"/>
              </w:rPr>
              <w:t>未及时披露</w:t>
            </w:r>
            <w:r>
              <w:rPr>
                <w:b/>
                <w:bCs/>
                <w:spacing w:val="11"/>
              </w:rPr>
              <w:t>关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6"/>
              </w:rPr>
              <w:t>联交易</w:t>
            </w:r>
            <w:r>
              <w:rPr>
                <w:spacing w:val="6"/>
              </w:rPr>
              <w:t>。</w:t>
            </w:r>
          </w:p>
        </w:tc>
      </w:tr>
      <w:tr>
        <w:trPr>
          <w:trHeight w:val="3014" w:hRule="atLeast"/>
        </w:trPr>
        <w:tc>
          <w:tcPr>
            <w:tcW w:w="8189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104" w:right="1614" w:firstLine="17"/>
              <w:spacing w:before="287" w:line="236" w:lineRule="auto"/>
              <w:rPr/>
            </w:pPr>
            <w:r>
              <w:rPr>
                <w:b/>
                <w:bCs/>
                <w:spacing w:val="8"/>
              </w:rPr>
              <w:t>【行政处罚决定（拟）】</w:t>
            </w:r>
            <w:r>
              <w:rPr>
                <w:spacing w:val="8"/>
              </w:rPr>
              <w:t>中国证券监督管理委员会湖北监管局</w:t>
            </w:r>
            <w:r>
              <w:rPr>
                <w:spacing w:val="7"/>
              </w:rPr>
              <w:t>拟决定：</w:t>
            </w:r>
            <w:r>
              <w:rPr/>
              <w:t xml:space="preserve"> </w:t>
            </w:r>
            <w:r>
              <w:rPr>
                <w:spacing w:val="7"/>
              </w:rPr>
              <w:t>对当代明诚给予警告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，并处以760万元罚款；</w:t>
            </w:r>
          </w:p>
          <w:p>
            <w:pPr>
              <w:pStyle w:val="TableText"/>
              <w:ind w:left="104"/>
              <w:spacing w:before="89" w:line="189" w:lineRule="auto"/>
              <w:rPr/>
            </w:pPr>
            <w:r>
              <w:rPr>
                <w:spacing w:val="8"/>
              </w:rPr>
              <w:t>对时任董事长,时任董秘易某涛给予警告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，并处以4</w:t>
            </w:r>
            <w:r>
              <w:rPr>
                <w:spacing w:val="7"/>
              </w:rPr>
              <w:t>00万元罚款；</w:t>
            </w:r>
          </w:p>
          <w:p>
            <w:pPr>
              <w:pStyle w:val="TableText"/>
              <w:ind w:left="104"/>
              <w:spacing w:before="87" w:line="360" w:lineRule="exact"/>
              <w:rPr/>
            </w:pPr>
            <w:r>
              <w:rPr>
                <w:spacing w:val="8"/>
                <w:position w:val="11"/>
              </w:rPr>
              <w:t>对时任高管,时任财务总监李某玉给予警告</w:t>
            </w:r>
            <w:r>
              <w:rPr>
                <w:spacing w:val="-28"/>
                <w:position w:val="11"/>
              </w:rPr>
              <w:t xml:space="preserve"> </w:t>
            </w:r>
            <w:r>
              <w:rPr>
                <w:spacing w:val="8"/>
                <w:position w:val="11"/>
              </w:rPr>
              <w:t>，并处以17</w:t>
            </w:r>
            <w:r>
              <w:rPr>
                <w:spacing w:val="7"/>
                <w:position w:val="11"/>
              </w:rPr>
              <w:t>0万元罚款；</w:t>
            </w:r>
          </w:p>
          <w:p>
            <w:pPr>
              <w:pStyle w:val="TableText"/>
              <w:ind w:left="104"/>
              <w:spacing w:line="190" w:lineRule="auto"/>
              <w:rPr/>
            </w:pPr>
            <w:r>
              <w:rPr>
                <w:spacing w:val="7"/>
              </w:rPr>
              <w:t>对时任高管,时任董秘高某给予警告</w:t>
            </w:r>
            <w:r>
              <w:rPr>
                <w:spacing w:val="-10"/>
              </w:rPr>
              <w:t xml:space="preserve"> </w:t>
            </w:r>
            <w:r>
              <w:rPr>
                <w:spacing w:val="7"/>
              </w:rPr>
              <w:t>，并处以100万元罚款；</w:t>
            </w:r>
          </w:p>
          <w:p>
            <w:pPr>
              <w:pStyle w:val="TableText"/>
              <w:ind w:left="104"/>
              <w:spacing w:before="90" w:line="360" w:lineRule="exact"/>
              <w:rPr/>
            </w:pPr>
            <w:r>
              <w:rPr>
                <w:spacing w:val="8"/>
                <w:position w:val="12"/>
              </w:rPr>
              <w:t>对时任董事,时任总经理闫某华给予警告</w:t>
            </w:r>
            <w:r>
              <w:rPr>
                <w:spacing w:val="-26"/>
                <w:position w:val="12"/>
              </w:rPr>
              <w:t xml:space="preserve"> </w:t>
            </w:r>
            <w:r>
              <w:rPr>
                <w:spacing w:val="8"/>
                <w:position w:val="12"/>
              </w:rPr>
              <w:t>，并处</w:t>
            </w:r>
            <w:r>
              <w:rPr>
                <w:spacing w:val="7"/>
                <w:position w:val="12"/>
              </w:rPr>
              <w:t>以70万元罚款；</w:t>
            </w:r>
          </w:p>
          <w:p>
            <w:pPr>
              <w:pStyle w:val="TableText"/>
              <w:ind w:left="104"/>
              <w:spacing w:before="1" w:line="188" w:lineRule="auto"/>
              <w:rPr/>
            </w:pPr>
            <w:r>
              <w:rPr>
                <w:spacing w:val="7"/>
              </w:rPr>
              <w:t>对董事喻某霄给予警告</w:t>
            </w:r>
            <w:r>
              <w:rPr>
                <w:spacing w:val="-20"/>
              </w:rPr>
              <w:t xml:space="preserve"> </w:t>
            </w:r>
            <w:r>
              <w:rPr>
                <w:spacing w:val="7"/>
              </w:rPr>
              <w:t>，并处以50万元罚款。</w:t>
            </w:r>
          </w:p>
        </w:tc>
      </w:tr>
    </w:tbl>
    <w:p>
      <w:pPr>
        <w:spacing w:before="129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2"/>
          <w:w w:val="96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2"/>
          <w:w w:val="96"/>
        </w:rPr>
        <w:t>3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2"/>
          <w:w w:val="96"/>
        </w:rPr>
        <w:t>）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2"/>
          <w:w w:val="96"/>
        </w:rPr>
        <w:t>行政监管措施</w:t>
      </w:r>
    </w:p>
    <w:tbl>
      <w:tblPr>
        <w:tblStyle w:val="TableNormal"/>
        <w:tblW w:w="8195" w:type="dxa"/>
        <w:tblInd w:w="498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078"/>
        <w:gridCol w:w="1054"/>
        <w:gridCol w:w="6063"/>
      </w:tblGrid>
      <w:tr>
        <w:trPr>
          <w:trHeight w:val="386" w:hRule="atLeast"/>
        </w:trPr>
        <w:tc>
          <w:tcPr>
            <w:shd w:val="clear" w:fill="4F81BD"/>
            <w:tcW w:w="1078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106"/>
              <w:spacing w:before="110" w:line="186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054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98"/>
              <w:spacing w:before="110" w:line="186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6063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99"/>
              <w:spacing w:before="110" w:line="186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805" w:hRule="atLeast"/>
        </w:trPr>
        <w:tc>
          <w:tcPr>
            <w:shd w:val="clear" w:fill="B8CCE4"/>
            <w:tcW w:w="1078" w:type="dxa"/>
            <w:vAlign w:val="top"/>
            <w:tcBorders>
              <w:top w:val="single" w:color="4F81BD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86" w:line="179" w:lineRule="auto"/>
              <w:rPr/>
            </w:pPr>
            <w:r>
              <w:rPr>
                <w:spacing w:val="3"/>
              </w:rPr>
              <w:t>600185</w:t>
            </w:r>
          </w:p>
        </w:tc>
        <w:tc>
          <w:tcPr>
            <w:shd w:val="clear" w:fill="B8CCE4"/>
            <w:tcW w:w="1054" w:type="dxa"/>
            <w:vAlign w:val="top"/>
            <w:tcBorders>
              <w:top w:val="single" w:color="4F81BD" w:sz="2" w:space="0"/>
            </w:tcBorders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7"/>
              <w:spacing w:before="86" w:line="189" w:lineRule="auto"/>
              <w:rPr/>
            </w:pPr>
            <w:r>
              <w:rPr>
                <w:spacing w:val="8"/>
              </w:rPr>
              <w:t>格力地产</w:t>
            </w:r>
          </w:p>
        </w:tc>
        <w:tc>
          <w:tcPr>
            <w:shd w:val="clear" w:fill="B8CCE4"/>
            <w:tcW w:w="6063" w:type="dxa"/>
            <w:vAlign w:val="top"/>
            <w:tcBorders>
              <w:top w:val="single" w:color="4F81BD" w:sz="2" w:space="0"/>
            </w:tcBorders>
          </w:tcPr>
          <w:p>
            <w:pPr>
              <w:pStyle w:val="TableText"/>
              <w:ind w:left="99" w:right="5" w:firstLine="9"/>
              <w:spacing w:before="86" w:line="239" w:lineRule="auto"/>
              <w:jc w:val="both"/>
              <w:rPr/>
            </w:pPr>
            <w:r>
              <w:rPr>
                <w:spacing w:val="8"/>
              </w:rPr>
              <w:t>2018年年度报告、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2019年年度报告、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2020年年度报告、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2021  </w:t>
            </w:r>
            <w:r>
              <w:rPr>
                <w:spacing w:val="11"/>
              </w:rPr>
              <w:t>年年度报告、</w:t>
            </w:r>
            <w:r>
              <w:rPr>
                <w:spacing w:val="-19"/>
              </w:rPr>
              <w:t xml:space="preserve"> </w:t>
            </w:r>
            <w:r>
              <w:rPr>
                <w:spacing w:val="11"/>
              </w:rPr>
              <w:t>2022年年度报告</w:t>
            </w:r>
            <w:r>
              <w:rPr>
                <w:spacing w:val="-20"/>
              </w:rPr>
              <w:t xml:space="preserve"> </w:t>
            </w:r>
            <w:r>
              <w:rPr>
                <w:spacing w:val="11"/>
              </w:rPr>
              <w:t>，</w:t>
            </w:r>
            <w:r>
              <w:rPr>
                <w:spacing w:val="-35"/>
              </w:rPr>
              <w:t xml:space="preserve"> </w:t>
            </w:r>
            <w:r>
              <w:rPr>
                <w:spacing w:val="11"/>
              </w:rPr>
              <w:t>“</w:t>
            </w:r>
            <w:r>
              <w:rPr>
                <w:spacing w:val="-40"/>
              </w:rPr>
              <w:t xml:space="preserve"> </w:t>
            </w:r>
            <w:r>
              <w:rPr>
                <w:spacing w:val="11"/>
              </w:rPr>
              <w:t>21格地02</w:t>
            </w:r>
            <w:r>
              <w:rPr>
                <w:spacing w:val="-40"/>
              </w:rPr>
              <w:t xml:space="preserve"> </w:t>
            </w:r>
            <w:r>
              <w:rPr>
                <w:spacing w:val="11"/>
              </w:rPr>
              <w:t>”“</w:t>
            </w:r>
            <w:r>
              <w:rPr>
                <w:spacing w:val="-38"/>
              </w:rPr>
              <w:t xml:space="preserve"> </w:t>
            </w:r>
            <w:r>
              <w:rPr>
                <w:spacing w:val="11"/>
              </w:rPr>
              <w:t>22格地02</w:t>
            </w:r>
            <w:r>
              <w:rPr>
                <w:spacing w:val="-40"/>
              </w:rPr>
              <w:t xml:space="preserve"> </w:t>
            </w:r>
            <w:r>
              <w:rPr>
                <w:spacing w:val="11"/>
              </w:rPr>
              <w:t>”</w:t>
            </w:r>
            <w:r>
              <w:rPr/>
              <w:t xml:space="preserve"> </w:t>
            </w:r>
            <w:r>
              <w:rPr>
                <w:spacing w:val="10"/>
              </w:rPr>
              <w:t>“</w:t>
            </w:r>
            <w:r>
              <w:rPr>
                <w:spacing w:val="-43"/>
              </w:rPr>
              <w:t xml:space="preserve"> </w:t>
            </w:r>
            <w:r>
              <w:rPr>
                <w:spacing w:val="10"/>
              </w:rPr>
              <w:t>23格地01</w:t>
            </w:r>
            <w:r>
              <w:rPr>
                <w:spacing w:val="-42"/>
              </w:rPr>
              <w:t xml:space="preserve"> </w:t>
            </w:r>
            <w:r>
              <w:rPr>
                <w:spacing w:val="10"/>
              </w:rPr>
              <w:t>”债券发行公告、募集说明书等文件</w:t>
            </w:r>
            <w:r>
              <w:rPr>
                <w:spacing w:val="-23"/>
              </w:rPr>
              <w:t xml:space="preserve"> </w:t>
            </w:r>
            <w:r>
              <w:rPr>
                <w:spacing w:val="10"/>
              </w:rPr>
              <w:t>，银行</w:t>
            </w:r>
            <w:r>
              <w:rPr>
                <w:spacing w:val="9"/>
              </w:rPr>
              <w:t>间债券  </w:t>
            </w:r>
            <w:r>
              <w:rPr>
                <w:spacing w:val="11"/>
              </w:rPr>
              <w:t>市场2018年年度报告、</w:t>
            </w:r>
            <w:r>
              <w:rPr>
                <w:spacing w:val="-23"/>
              </w:rPr>
              <w:t xml:space="preserve"> </w:t>
            </w:r>
            <w:r>
              <w:rPr>
                <w:spacing w:val="11"/>
              </w:rPr>
              <w:t>2019年年度报告、</w:t>
            </w:r>
            <w:r>
              <w:rPr>
                <w:spacing w:val="-34"/>
              </w:rPr>
              <w:t xml:space="preserve"> </w:t>
            </w:r>
            <w:r>
              <w:rPr>
                <w:spacing w:val="11"/>
              </w:rPr>
              <w:t>2020年年度报告</w:t>
            </w:r>
            <w:r>
              <w:rPr>
                <w:b/>
                <w:bCs/>
                <w:spacing w:val="11"/>
              </w:rPr>
              <w:t>存  </w:t>
            </w:r>
            <w:r>
              <w:rPr>
                <w:b/>
                <w:bCs/>
                <w:spacing w:val="6"/>
              </w:rPr>
              <w:t>在错报。</w:t>
            </w:r>
          </w:p>
        </w:tc>
      </w:tr>
      <w:tr>
        <w:trPr>
          <w:trHeight w:val="1083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4" w:right="105" w:firstLine="17"/>
              <w:spacing w:before="47" w:line="239" w:lineRule="auto"/>
              <w:jc w:val="both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中国证券监督管理委员会广东监管局决</w:t>
            </w:r>
            <w:r>
              <w:rPr>
                <w:spacing w:val="12"/>
              </w:rPr>
              <w:t>定对董事长陈某、</w:t>
            </w:r>
            <w:r>
              <w:rPr>
                <w:spacing w:val="-37"/>
              </w:rPr>
              <w:t xml:space="preserve"> </w:t>
            </w:r>
            <w:r>
              <w:rPr>
                <w:spacing w:val="12"/>
              </w:rPr>
              <w:t>时任高管,</w:t>
            </w:r>
            <w:r>
              <w:rPr/>
              <w:t xml:space="preserve"> </w:t>
            </w:r>
            <w:r>
              <w:rPr>
                <w:spacing w:val="12"/>
              </w:rPr>
              <w:t>时任董事周某琴、董事,高管周某芬、董事会秘书邹某、董事会秘书,董事黄某桓、监事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滕某、独立董事方某雄、独立董事路某燕采取监管谈话的行政监管措施。</w:t>
            </w:r>
          </w:p>
        </w:tc>
      </w:tr>
      <w:tr>
        <w:trPr>
          <w:trHeight w:val="1083" w:hRule="atLeast"/>
        </w:trPr>
        <w:tc>
          <w:tcPr>
            <w:shd w:val="clear" w:fill="B8CCE4"/>
            <w:tcW w:w="1078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85" w:line="178" w:lineRule="auto"/>
              <w:rPr/>
            </w:pPr>
            <w:r>
              <w:rPr>
                <w:spacing w:val="3"/>
              </w:rPr>
              <w:t>688090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6"/>
              <w:spacing w:before="86" w:line="188" w:lineRule="auto"/>
              <w:rPr/>
            </w:pPr>
            <w:r>
              <w:rPr>
                <w:spacing w:val="8"/>
              </w:rPr>
              <w:t>瑞松科技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7" w:right="102" w:firstLine="1"/>
              <w:spacing w:before="90" w:line="229" w:lineRule="auto"/>
              <w:jc w:val="both"/>
              <w:rPr/>
            </w:pPr>
            <w:r>
              <w:rPr>
                <w:spacing w:val="15"/>
              </w:rPr>
              <w:t>广州瑞松智能科技股份有限公司对</w:t>
            </w:r>
            <w:r>
              <w:rPr>
                <w:b/>
                <w:bCs/>
                <w:spacing w:val="15"/>
              </w:rPr>
              <w:t>会计差错</w:t>
            </w:r>
            <w:r>
              <w:rPr>
                <w:spacing w:val="15"/>
              </w:rPr>
              <w:t>进行了更正</w:t>
            </w:r>
            <w:r>
              <w:rPr>
                <w:spacing w:val="-19"/>
              </w:rPr>
              <w:t xml:space="preserve"> </w:t>
            </w:r>
            <w:r>
              <w:rPr>
                <w:spacing w:val="15"/>
              </w:rPr>
              <w:t>，并追</w:t>
            </w:r>
            <w:r>
              <w:rPr/>
              <w:t xml:space="preserve"> </w:t>
            </w:r>
            <w:r>
              <w:rPr>
                <w:spacing w:val="12"/>
              </w:rPr>
              <w:t>溯调整2021年第三季度、</w:t>
            </w:r>
            <w:r>
              <w:rPr>
                <w:spacing w:val="-31"/>
              </w:rPr>
              <w:t xml:space="preserve"> </w:t>
            </w:r>
            <w:r>
              <w:rPr>
                <w:spacing w:val="12"/>
              </w:rPr>
              <w:t>2021年年度、</w:t>
            </w:r>
            <w:r>
              <w:rPr>
                <w:spacing w:val="-32"/>
              </w:rPr>
              <w:t xml:space="preserve"> </w:t>
            </w:r>
            <w:r>
              <w:rPr>
                <w:spacing w:val="12"/>
              </w:rPr>
              <w:t>2022年第一季</w:t>
            </w:r>
            <w:r>
              <w:rPr>
                <w:spacing w:val="11"/>
              </w:rPr>
              <w:t>度等财</w:t>
            </w:r>
            <w:r>
              <w:rPr/>
              <w:t xml:space="preserve"> </w:t>
            </w:r>
            <w:r>
              <w:rPr>
                <w:spacing w:val="6"/>
              </w:rPr>
              <w:t>务报表。</w:t>
            </w:r>
          </w:p>
        </w:tc>
      </w:tr>
      <w:tr>
        <w:trPr>
          <w:trHeight w:val="723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3" w:right="105" w:firstLine="18"/>
              <w:spacing w:before="52" w:line="231" w:lineRule="auto"/>
              <w:rPr/>
            </w:pPr>
            <w:r>
              <w:rPr>
                <w:b/>
                <w:bCs/>
                <w:spacing w:val="13"/>
              </w:rPr>
              <w:t>【行政监管措施】</w:t>
            </w:r>
            <w:r>
              <w:rPr>
                <w:spacing w:val="13"/>
              </w:rPr>
              <w:t>中国证券监督管理委员会广东监管局决定对瑞松科技、董事长,总经</w:t>
            </w:r>
            <w:r>
              <w:rPr>
                <w:spacing w:val="9"/>
              </w:rPr>
              <w:t xml:space="preserve"> </w:t>
            </w:r>
            <w:r>
              <w:rPr>
                <w:spacing w:val="9"/>
              </w:rPr>
              <w:t>理孙某强、高管郑某伦采取监管谈话的行政监管措施。</w:t>
            </w:r>
          </w:p>
        </w:tc>
      </w:tr>
      <w:tr>
        <w:trPr>
          <w:trHeight w:val="1083" w:hRule="atLeast"/>
        </w:trPr>
        <w:tc>
          <w:tcPr>
            <w:shd w:val="clear" w:fill="B8CCE4"/>
            <w:tcW w:w="1078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1"/>
              <w:spacing w:before="86" w:line="179" w:lineRule="auto"/>
              <w:rPr/>
            </w:pPr>
            <w:r>
              <w:rPr>
                <w:spacing w:val="3"/>
              </w:rPr>
              <w:t>002781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0"/>
              <w:spacing w:before="85" w:line="189" w:lineRule="auto"/>
              <w:rPr/>
            </w:pPr>
            <w:r>
              <w:rPr>
                <w:spacing w:val="7"/>
              </w:rPr>
              <w:t>奇信退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9" w:right="105"/>
              <w:spacing w:before="99" w:line="227" w:lineRule="auto"/>
              <w:jc w:val="both"/>
              <w:rPr/>
            </w:pPr>
            <w:r>
              <w:rPr>
                <w:spacing w:val="10"/>
              </w:rPr>
              <w:t>江西奇信集团股份有限公司于2012年至2019年连</w:t>
            </w:r>
            <w:r>
              <w:rPr>
                <w:spacing w:val="9"/>
              </w:rPr>
              <w:t>续多年</w:t>
            </w:r>
            <w:r>
              <w:rPr>
                <w:b/>
                <w:bCs/>
                <w:spacing w:val="9"/>
              </w:rPr>
              <w:t>财务造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4"/>
              </w:rPr>
              <w:t>假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spacing w:val="14"/>
              </w:rPr>
              <w:t>，存在《招股说明书》虚假记载、</w:t>
            </w:r>
            <w:r>
              <w:rPr>
                <w:spacing w:val="-39"/>
              </w:rPr>
              <w:t xml:space="preserve"> </w:t>
            </w:r>
            <w:r>
              <w:rPr>
                <w:spacing w:val="14"/>
              </w:rPr>
              <w:t>上市后定期报告虚假记载</w:t>
            </w:r>
            <w:r>
              <w:rPr/>
              <w:t xml:space="preserve"> </w:t>
            </w:r>
            <w:r>
              <w:rPr>
                <w:spacing w:val="9"/>
              </w:rPr>
              <w:t>、在公告的证券发行文件中编造重大虚假内容等行为。</w:t>
            </w:r>
          </w:p>
        </w:tc>
      </w:tr>
      <w:tr>
        <w:trPr>
          <w:trHeight w:val="1083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5" w:right="105" w:firstLine="16"/>
              <w:spacing w:before="56" w:line="237" w:lineRule="auto"/>
              <w:jc w:val="both"/>
              <w:rPr/>
            </w:pPr>
            <w:r>
              <w:rPr>
                <w:b/>
                <w:bCs/>
                <w:spacing w:val="14"/>
              </w:rPr>
              <w:t>【行政监管措施】</w:t>
            </w:r>
            <w:r>
              <w:rPr>
                <w:spacing w:val="14"/>
              </w:rPr>
              <w:t>中国证券监督管理委员会江西监管局决定对时任董事林某逵、</w:t>
            </w:r>
            <w:r>
              <w:rPr>
                <w:spacing w:val="-26"/>
              </w:rPr>
              <w:t xml:space="preserve"> </w:t>
            </w:r>
            <w:r>
              <w:rPr>
                <w:spacing w:val="14"/>
              </w:rPr>
              <w:t>时任</w:t>
            </w:r>
            <w:r>
              <w:rPr/>
              <w:t xml:space="preserve"> </w:t>
            </w:r>
            <w:r>
              <w:rPr>
                <w:spacing w:val="14"/>
              </w:rPr>
              <w:t>董事叶某升、</w:t>
            </w:r>
            <w:r>
              <w:rPr>
                <w:spacing w:val="-35"/>
              </w:rPr>
              <w:t xml:space="preserve"> </w:t>
            </w:r>
            <w:r>
              <w:rPr>
                <w:spacing w:val="14"/>
              </w:rPr>
              <w:t>时任独董赵某卿采取出具警示函的行政监</w:t>
            </w:r>
            <w:r>
              <w:rPr>
                <w:spacing w:val="13"/>
              </w:rPr>
              <w:t>管措施</w:t>
            </w:r>
            <w:r>
              <w:rPr>
                <w:spacing w:val="-20"/>
              </w:rPr>
              <w:t xml:space="preserve"> </w:t>
            </w:r>
            <w:r>
              <w:rPr>
                <w:spacing w:val="13"/>
              </w:rPr>
              <w:t>，并记入证券期货市场</w:t>
            </w:r>
            <w:r>
              <w:rPr/>
              <w:t xml:space="preserve"> </w:t>
            </w:r>
            <w:r>
              <w:rPr>
                <w:spacing w:val="6"/>
              </w:rPr>
              <w:t>诚信档案。</w:t>
            </w:r>
          </w:p>
        </w:tc>
      </w:tr>
      <w:tr>
        <w:trPr>
          <w:trHeight w:val="723" w:hRule="atLeast"/>
        </w:trPr>
        <w:tc>
          <w:tcPr>
            <w:shd w:val="clear" w:fill="B8CCE4"/>
            <w:tcW w:w="1078" w:type="dxa"/>
            <w:vAlign w:val="top"/>
          </w:tcPr>
          <w:p>
            <w:pPr>
              <w:pStyle w:val="TableText"/>
              <w:ind w:left="114"/>
              <w:spacing w:before="295" w:line="178" w:lineRule="auto"/>
              <w:rPr/>
            </w:pPr>
            <w:r>
              <w:rPr>
                <w:spacing w:val="3"/>
              </w:rPr>
              <w:t>688500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pStyle w:val="TableText"/>
              <w:ind w:left="102"/>
              <w:spacing w:before="285" w:line="186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慧辰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8" w:right="102" w:firstLine="6"/>
              <w:spacing w:before="101" w:line="214" w:lineRule="auto"/>
              <w:rPr/>
            </w:pPr>
            <w:r>
              <w:rPr>
                <w:spacing w:val="14"/>
              </w:rPr>
              <w:t>慧辰股份被中国证监会</w:t>
            </w:r>
            <w:r>
              <w:rPr>
                <w:b/>
                <w:bCs/>
                <w:spacing w:val="14"/>
              </w:rPr>
              <w:t>立案调查期间</w:t>
            </w:r>
            <w:r>
              <w:rPr>
                <w:spacing w:val="14"/>
              </w:rPr>
              <w:t>,大股东新疆慧聪创业投资</w:t>
            </w:r>
            <w:r>
              <w:rPr/>
              <w:t xml:space="preserve"> </w:t>
            </w:r>
            <w:r>
              <w:rPr>
                <w:spacing w:val="8"/>
              </w:rPr>
              <w:t>有限公司实施</w:t>
            </w:r>
            <w:r>
              <w:rPr>
                <w:b/>
                <w:bCs/>
                <w:spacing w:val="8"/>
              </w:rPr>
              <w:t>减持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723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4" w:right="105" w:firstLine="17"/>
              <w:spacing w:before="61" w:line="228" w:lineRule="auto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中国证券监督管理委员会北京监管局决定对新疆慧聪创业投</w:t>
            </w:r>
            <w:r>
              <w:rPr>
                <w:spacing w:val="14"/>
              </w:rPr>
              <w:t>资有限</w:t>
            </w:r>
            <w:r>
              <w:rPr/>
              <w:t xml:space="preserve"> </w:t>
            </w:r>
            <w:r>
              <w:rPr>
                <w:spacing w:val="9"/>
              </w:rPr>
              <w:t>公司采取出具警示函的行政监管措施,并将相关违规行为记入诚信档案。</w:t>
            </w:r>
          </w:p>
        </w:tc>
      </w:tr>
      <w:tr>
        <w:trPr>
          <w:trHeight w:val="372" w:hRule="atLeast"/>
        </w:trPr>
        <w:tc>
          <w:tcPr>
            <w:shd w:val="clear" w:fill="B8CCE4"/>
            <w:tcW w:w="1078" w:type="dxa"/>
            <w:vAlign w:val="top"/>
          </w:tcPr>
          <w:p>
            <w:pPr>
              <w:pStyle w:val="TableText"/>
              <w:ind w:left="116"/>
              <w:spacing w:before="121" w:line="168" w:lineRule="auto"/>
              <w:rPr/>
            </w:pPr>
            <w:r>
              <w:rPr>
                <w:spacing w:val="3"/>
              </w:rPr>
              <w:t>300903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pStyle w:val="TableText"/>
              <w:ind w:left="96"/>
              <w:spacing w:before="110" w:line="176" w:lineRule="auto"/>
              <w:rPr/>
            </w:pPr>
            <w:r>
              <w:rPr>
                <w:spacing w:val="8"/>
              </w:rPr>
              <w:t>科翔股份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9"/>
              <w:spacing w:before="106" w:line="179" w:lineRule="auto"/>
              <w:rPr/>
            </w:pPr>
            <w:r>
              <w:rPr>
                <w:b/>
                <w:bCs/>
                <w:spacing w:val="14"/>
              </w:rPr>
              <w:t>重大投资项目进展</w:t>
            </w:r>
            <w:r>
              <w:rPr>
                <w:spacing w:val="14"/>
              </w:rPr>
              <w:t>披露不及时；</w:t>
            </w:r>
            <w:r>
              <w:rPr>
                <w:spacing w:val="-21"/>
              </w:rPr>
              <w:t xml:space="preserve"> </w:t>
            </w:r>
            <w:r>
              <w:rPr>
                <w:spacing w:val="14"/>
              </w:rPr>
              <w:t>未审议披露</w:t>
            </w:r>
            <w:r>
              <w:rPr>
                <w:b/>
                <w:bCs/>
                <w:spacing w:val="14"/>
              </w:rPr>
              <w:t>关联交易</w:t>
            </w:r>
            <w:r>
              <w:rPr>
                <w:spacing w:val="14"/>
              </w:rPr>
              <w:t>；</w:t>
            </w:r>
            <w:r>
              <w:rPr>
                <w:spacing w:val="-34"/>
              </w:rPr>
              <w:t xml:space="preserve"> </w:t>
            </w:r>
            <w:r>
              <w:rPr>
                <w:spacing w:val="14"/>
              </w:rPr>
              <w:t>未披露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287" w:left="893" w:header="0" w:footer="0" w:gutter="0"/>
        </w:sectPr>
        <w:rPr>
          <w:sz w:val="2"/>
          <w:szCs w:val="2"/>
        </w:rPr>
      </w:pPr>
    </w:p>
    <w:tbl>
      <w:tblPr>
        <w:tblStyle w:val="TableNormal"/>
        <w:tblW w:w="8195" w:type="dxa"/>
        <w:tblInd w:w="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078"/>
        <w:gridCol w:w="1054"/>
        <w:gridCol w:w="6063"/>
      </w:tblGrid>
      <w:tr>
        <w:trPr>
          <w:trHeight w:val="384" w:hRule="atLeast"/>
        </w:trPr>
        <w:tc>
          <w:tcPr>
            <w:shd w:val="clear" w:fill="B8CCE4"/>
            <w:tcW w:w="1078" w:type="dxa"/>
            <w:vAlign w:val="top"/>
            <w:tcBorders>
              <w:top w:val="single" w:color="4F81BD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054" w:type="dxa"/>
            <w:vAlign w:val="top"/>
            <w:tcBorders>
              <w:top w:val="single" w:color="4F81BD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6063" w:type="dxa"/>
            <w:vAlign w:val="top"/>
            <w:tcBorders>
              <w:top w:val="single" w:color="4F81BD" w:sz="2" w:space="0"/>
            </w:tcBorders>
          </w:tcPr>
          <w:p>
            <w:pPr>
              <w:pStyle w:val="TableText"/>
              <w:ind w:left="100"/>
              <w:spacing w:before="102" w:line="189" w:lineRule="auto"/>
              <w:rPr/>
            </w:pPr>
            <w:r>
              <w:rPr>
                <w:b/>
                <w:bCs/>
                <w:spacing w:val="8"/>
              </w:rPr>
              <w:t>并购子公司对外担保</w:t>
            </w:r>
            <w:r>
              <w:rPr>
                <w:spacing w:val="8"/>
              </w:rPr>
              <w:t>情况。</w:t>
            </w:r>
          </w:p>
        </w:tc>
      </w:tr>
      <w:tr>
        <w:trPr>
          <w:trHeight w:val="1084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4" w:right="105" w:firstLine="17"/>
              <w:spacing w:before="39" w:line="241" w:lineRule="auto"/>
              <w:jc w:val="both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中国证券监督管理委员会广东监管局决定对广东科翔电子科</w:t>
            </w:r>
            <w:r>
              <w:rPr>
                <w:spacing w:val="14"/>
              </w:rPr>
              <w:t>技股份</w:t>
            </w:r>
            <w:r>
              <w:rPr/>
              <w:t xml:space="preserve"> </w:t>
            </w:r>
            <w:r>
              <w:rPr>
                <w:spacing w:val="15"/>
              </w:rPr>
              <w:t>有限公司、董事长兼总经理郑某蓉、董事会秘书郑某涛、财务总监刘某采取出具警示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8"/>
              </w:rPr>
              <w:t>函的行政监管措施。</w:t>
            </w:r>
          </w:p>
        </w:tc>
      </w:tr>
      <w:tr>
        <w:trPr>
          <w:trHeight w:val="1803" w:hRule="atLeast"/>
        </w:trPr>
        <w:tc>
          <w:tcPr>
            <w:shd w:val="clear" w:fill="B8CCE4"/>
            <w:tcW w:w="107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86" w:line="178" w:lineRule="auto"/>
              <w:rPr/>
            </w:pPr>
            <w:r>
              <w:rPr>
                <w:spacing w:val="3"/>
              </w:rPr>
              <w:t>600673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6"/>
              <w:spacing w:before="86" w:line="189" w:lineRule="auto"/>
              <w:rPr/>
            </w:pPr>
            <w:r>
              <w:rPr>
                <w:spacing w:val="9"/>
              </w:rPr>
              <w:t>东阳光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8" w:right="102"/>
              <w:spacing w:before="84" w:line="239" w:lineRule="auto"/>
              <w:jc w:val="both"/>
              <w:rPr/>
            </w:pPr>
            <w:r>
              <w:rPr>
                <w:spacing w:val="15"/>
              </w:rPr>
              <w:t>桐梓县狮溪煤业有限公司为东阳光控股子公司</w:t>
            </w:r>
            <w:r>
              <w:rPr>
                <w:spacing w:val="-19"/>
              </w:rPr>
              <w:t xml:space="preserve"> </w:t>
            </w:r>
            <w:r>
              <w:rPr>
                <w:spacing w:val="15"/>
              </w:rPr>
              <w:t>，其中东阳光持</w:t>
            </w:r>
            <w:r>
              <w:rPr/>
              <w:t xml:space="preserve"> </w:t>
            </w:r>
            <w:r>
              <w:rPr>
                <w:spacing w:val="14"/>
              </w:rPr>
              <w:t>股60%</w:t>
            </w:r>
            <w:r>
              <w:rPr>
                <w:spacing w:val="-19"/>
              </w:rPr>
              <w:t xml:space="preserve"> </w:t>
            </w:r>
            <w:r>
              <w:rPr>
                <w:spacing w:val="14"/>
              </w:rPr>
              <w:t>，东阳光</w:t>
            </w:r>
            <w:r>
              <w:rPr>
                <w:b/>
                <w:bCs/>
                <w:spacing w:val="14"/>
              </w:rPr>
              <w:t>控股股东的关联方</w:t>
            </w:r>
            <w:r>
              <w:rPr>
                <w:spacing w:val="14"/>
              </w:rPr>
              <w:t>遵义市东阳光实业发展有限</w:t>
            </w:r>
            <w:r>
              <w:rPr/>
              <w:t xml:space="preserve"> </w:t>
            </w:r>
            <w:r>
              <w:rPr>
                <w:spacing w:val="10"/>
              </w:rPr>
              <w:t>公司持股40%。</w:t>
            </w:r>
            <w:r>
              <w:rPr>
                <w:spacing w:val="-34"/>
              </w:rPr>
              <w:t xml:space="preserve"> </w:t>
            </w:r>
            <w:r>
              <w:rPr>
                <w:spacing w:val="10"/>
              </w:rPr>
              <w:t>2022年</w:t>
            </w:r>
            <w:r>
              <w:rPr>
                <w:spacing w:val="-23"/>
              </w:rPr>
              <w:t xml:space="preserve"> </w:t>
            </w:r>
            <w:r>
              <w:rPr>
                <w:spacing w:val="10"/>
              </w:rPr>
              <w:t>，东阳光向狮溪煤业</w:t>
            </w:r>
            <w:r>
              <w:rPr>
                <w:b/>
                <w:bCs/>
                <w:spacing w:val="10"/>
              </w:rPr>
              <w:t>提供借款并收取相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3"/>
              </w:rPr>
              <w:t>应利息</w:t>
            </w:r>
            <w:r>
              <w:rPr>
                <w:b/>
                <w:bCs/>
                <w:spacing w:val="-6"/>
              </w:rPr>
              <w:t xml:space="preserve"> </w:t>
            </w:r>
            <w:r>
              <w:rPr>
                <w:spacing w:val="13"/>
              </w:rPr>
              <w:t>，但该事项未经东阳光董事会、股东大会审议</w:t>
            </w:r>
            <w:r>
              <w:rPr>
                <w:spacing w:val="-21"/>
              </w:rPr>
              <w:t xml:space="preserve"> </w:t>
            </w:r>
            <w:r>
              <w:rPr>
                <w:spacing w:val="13"/>
              </w:rPr>
              <w:t>，也未在</w:t>
            </w:r>
            <w:r>
              <w:rPr/>
              <w:t xml:space="preserve"> </w:t>
            </w:r>
            <w:r>
              <w:rPr>
                <w:spacing w:val="9"/>
              </w:rPr>
              <w:t>公司临时报告或定期报告中予以披露。</w:t>
            </w:r>
          </w:p>
        </w:tc>
      </w:tr>
      <w:tr>
        <w:trPr>
          <w:trHeight w:val="1084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5" w:right="105" w:firstLine="16"/>
              <w:spacing w:before="44"/>
              <w:jc w:val="both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中国证券监督管理委员会广东监管局决定对东阳光、董事长</w:t>
            </w:r>
            <w:r>
              <w:rPr>
                <w:spacing w:val="14"/>
              </w:rPr>
              <w:t>张某伟</w:t>
            </w:r>
            <w:r>
              <w:rPr/>
              <w:t xml:space="preserve"> </w:t>
            </w:r>
            <w:r>
              <w:rPr>
                <w:spacing w:val="15"/>
              </w:rPr>
              <w:t>、总经理李某涛、财务总监钟某保、</w:t>
            </w:r>
            <w:r>
              <w:rPr>
                <w:spacing w:val="-35"/>
              </w:rPr>
              <w:t xml:space="preserve"> </w:t>
            </w:r>
            <w:r>
              <w:rPr>
                <w:spacing w:val="15"/>
              </w:rPr>
              <w:t>时任董事会秘书王某钧</w:t>
            </w:r>
            <w:r>
              <w:rPr>
                <w:spacing w:val="14"/>
              </w:rPr>
              <w:t>采取出具警示函的行政监</w:t>
            </w:r>
            <w:r>
              <w:rPr/>
              <w:t xml:space="preserve"> </w:t>
            </w:r>
            <w:r>
              <w:rPr>
                <w:spacing w:val="6"/>
              </w:rPr>
              <w:t>管措施。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078" w:type="dxa"/>
            <w:vAlign w:val="top"/>
          </w:tcPr>
          <w:p>
            <w:pPr>
              <w:pStyle w:val="TableText"/>
              <w:ind w:left="114"/>
              <w:spacing w:before="281" w:line="178" w:lineRule="auto"/>
              <w:rPr/>
            </w:pPr>
            <w:r>
              <w:rPr>
                <w:spacing w:val="3"/>
              </w:rPr>
              <w:t>600868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pStyle w:val="TableText"/>
              <w:ind w:left="96"/>
              <w:spacing w:before="266" w:line="189" w:lineRule="auto"/>
              <w:rPr/>
            </w:pPr>
            <w:r>
              <w:rPr>
                <w:spacing w:val="8"/>
              </w:rPr>
              <w:t>梅雁吉祥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9" w:right="105"/>
              <w:spacing w:before="87" w:line="219" w:lineRule="auto"/>
              <w:rPr/>
            </w:pPr>
            <w:r>
              <w:rPr>
                <w:b/>
                <w:bCs/>
                <w:spacing w:val="12"/>
              </w:rPr>
              <w:t>关联交易</w:t>
            </w:r>
            <w:r>
              <w:rPr>
                <w:spacing w:val="12"/>
              </w:rPr>
              <w:t>未履行审议程序和披露义务；</w:t>
            </w:r>
            <w:r>
              <w:rPr>
                <w:spacing w:val="-35"/>
              </w:rPr>
              <w:t xml:space="preserve"> </w:t>
            </w:r>
            <w:r>
              <w:rPr>
                <w:b/>
                <w:bCs/>
                <w:spacing w:val="12"/>
              </w:rPr>
              <w:t>提前确认收入</w:t>
            </w:r>
            <w:r>
              <w:rPr>
                <w:spacing w:val="12"/>
              </w:rPr>
              <w:t>导致2022</w:t>
            </w:r>
            <w:r>
              <w:rPr/>
              <w:t xml:space="preserve"> </w:t>
            </w:r>
            <w:r>
              <w:rPr>
                <w:spacing w:val="6"/>
              </w:rPr>
              <w:t>年合并报表多计营业收入</w:t>
            </w:r>
            <w:r>
              <w:rPr>
                <w:spacing w:val="-22"/>
              </w:rPr>
              <w:t xml:space="preserve"> </w:t>
            </w:r>
            <w:r>
              <w:rPr>
                <w:spacing w:val="6"/>
              </w:rPr>
              <w:t>，营业成本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，营业利润。</w:t>
            </w:r>
          </w:p>
        </w:tc>
      </w:tr>
      <w:tr>
        <w:trPr>
          <w:trHeight w:val="724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5" w:right="105" w:firstLine="16"/>
              <w:spacing w:before="44" w:line="234" w:lineRule="auto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中国证券监督管理委员会广东监管局决定对梅雁吉祥、董事</w:t>
            </w:r>
            <w:r>
              <w:rPr>
                <w:spacing w:val="14"/>
              </w:rPr>
              <w:t>会秘书</w:t>
            </w:r>
            <w:r>
              <w:rPr/>
              <w:t xml:space="preserve"> </w:t>
            </w:r>
            <w:r>
              <w:rPr>
                <w:spacing w:val="9"/>
              </w:rPr>
              <w:t>胡某平、财务负责人刘某梅采取出具警示函的行政监管措施。</w:t>
            </w:r>
          </w:p>
        </w:tc>
      </w:tr>
      <w:tr>
        <w:trPr>
          <w:trHeight w:val="2881" w:hRule="atLeast"/>
        </w:trPr>
        <w:tc>
          <w:tcPr>
            <w:shd w:val="clear" w:fill="B8CCE4"/>
            <w:tcW w:w="107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1"/>
              <w:spacing w:before="86" w:line="179" w:lineRule="auto"/>
              <w:rPr/>
            </w:pPr>
            <w:r>
              <w:rPr>
                <w:spacing w:val="3"/>
              </w:rPr>
              <w:t>002811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7"/>
              <w:spacing w:before="86" w:line="189" w:lineRule="auto"/>
              <w:rPr/>
            </w:pPr>
            <w:r>
              <w:rPr>
                <w:spacing w:val="8"/>
              </w:rPr>
              <w:t>郑中设计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9" w:right="102" w:firstLine="1"/>
              <w:spacing w:before="91" w:line="243" w:lineRule="auto"/>
              <w:rPr/>
            </w:pPr>
            <w:r>
              <w:rPr>
                <w:spacing w:val="15"/>
              </w:rPr>
              <w:t>章某文在拟担任深圳市郑中设计股份有限公司独立董事时</w:t>
            </w:r>
            <w:r>
              <w:rPr>
                <w:spacing w:val="-21"/>
              </w:rPr>
              <w:t xml:space="preserve"> </w:t>
            </w:r>
            <w:r>
              <w:rPr>
                <w:spacing w:val="15"/>
              </w:rPr>
              <w:t>，深</w:t>
            </w:r>
            <w:r>
              <w:rPr/>
              <w:t xml:space="preserve"> </w:t>
            </w:r>
            <w:r>
              <w:rPr>
                <w:spacing w:val="10"/>
              </w:rPr>
              <w:t>圳市郑中设计股份有限公司、章某文于2018年8月16日、</w:t>
            </w:r>
            <w:r>
              <w:rPr>
                <w:spacing w:val="-28"/>
              </w:rPr>
              <w:t xml:space="preserve"> </w:t>
            </w:r>
            <w:r>
              <w:rPr>
                <w:spacing w:val="10"/>
              </w:rPr>
              <w:t>2021</w:t>
            </w:r>
            <w:r>
              <w:rPr/>
              <w:t xml:space="preserve"> </w:t>
            </w:r>
            <w:r>
              <w:rPr>
                <w:spacing w:val="13"/>
              </w:rPr>
              <w:t>年9月1日分别作出《独立董事提名人声明》</w:t>
            </w:r>
            <w:r>
              <w:rPr>
                <w:spacing w:val="-16"/>
              </w:rPr>
              <w:t xml:space="preserve"> </w:t>
            </w:r>
            <w:r>
              <w:rPr>
                <w:spacing w:val="13"/>
              </w:rPr>
              <w:t>《独立董事候选人</w:t>
            </w:r>
            <w:r>
              <w:rPr/>
              <w:t xml:space="preserve"> </w:t>
            </w:r>
            <w:r>
              <w:rPr>
                <w:spacing w:val="14"/>
              </w:rPr>
              <w:t>声明》 ，称章某文不存在同时在超过五家以上</w:t>
            </w:r>
            <w:r>
              <w:rPr>
                <w:spacing w:val="13"/>
              </w:rPr>
              <w:t>的公司担任董事</w:t>
            </w:r>
            <w:r>
              <w:rPr/>
              <w:t xml:space="preserve"> </w:t>
            </w:r>
            <w:r>
              <w:rPr>
                <w:spacing w:val="14"/>
              </w:rPr>
              <w:t>、监事或高级管理人员的情形</w:t>
            </w:r>
            <w:r>
              <w:rPr>
                <w:spacing w:val="-13"/>
              </w:rPr>
              <w:t xml:space="preserve"> </w:t>
            </w:r>
            <w:r>
              <w:rPr>
                <w:spacing w:val="14"/>
              </w:rPr>
              <w:t>，并保证上述声明真实、</w:t>
            </w:r>
            <w:r>
              <w:rPr>
                <w:spacing w:val="-39"/>
              </w:rPr>
              <w:t xml:space="preserve"> </w:t>
            </w:r>
            <w:r>
              <w:rPr>
                <w:spacing w:val="14"/>
              </w:rPr>
              <w:t>准确、</w:t>
            </w:r>
            <w:r>
              <w:rPr/>
              <w:t xml:space="preserve"> </w:t>
            </w:r>
            <w:r>
              <w:rPr>
                <w:spacing w:val="13"/>
              </w:rPr>
              <w:t>完整</w:t>
            </w:r>
            <w:r>
              <w:rPr>
                <w:spacing w:val="-18"/>
              </w:rPr>
              <w:t xml:space="preserve"> </w:t>
            </w:r>
            <w:r>
              <w:rPr>
                <w:spacing w:val="13"/>
              </w:rPr>
              <w:t>，没有虚假记载、误导性陈述或重大遗漏。</w:t>
            </w:r>
            <w:r>
              <w:rPr>
                <w:spacing w:val="12"/>
              </w:rPr>
              <w:t>经查</w:t>
            </w:r>
            <w:r>
              <w:rPr>
                <w:spacing w:val="-21"/>
              </w:rPr>
              <w:t xml:space="preserve"> </w:t>
            </w:r>
            <w:r>
              <w:rPr>
                <w:spacing w:val="12"/>
              </w:rPr>
              <w:t>，</w:t>
            </w:r>
            <w:r>
              <w:rPr>
                <w:spacing w:val="-39"/>
              </w:rPr>
              <w:t xml:space="preserve"> </w:t>
            </w:r>
            <w:r>
              <w:rPr>
                <w:spacing w:val="12"/>
              </w:rPr>
              <w:t>章某文</w:t>
            </w:r>
            <w:r>
              <w:rPr/>
              <w:t xml:space="preserve"> </w:t>
            </w:r>
            <w:r>
              <w:rPr>
                <w:spacing w:val="15"/>
              </w:rPr>
              <w:t>当时</w:t>
            </w:r>
            <w:r>
              <w:rPr>
                <w:b/>
                <w:bCs/>
                <w:spacing w:val="15"/>
              </w:rPr>
              <w:t>同时担任董事、</w:t>
            </w:r>
            <w:r>
              <w:rPr>
                <w:b/>
                <w:bCs/>
                <w:spacing w:val="-23"/>
              </w:rPr>
              <w:t xml:space="preserve"> </w:t>
            </w:r>
            <w:r>
              <w:rPr>
                <w:b/>
                <w:bCs/>
                <w:spacing w:val="15"/>
              </w:rPr>
              <w:t>监事或高级管理人员的公司家数超过五家</w:t>
            </w:r>
            <w:r>
              <w:rPr>
                <w:b/>
                <w:bCs/>
              </w:rPr>
              <w:t xml:space="preserve"> </w:t>
            </w:r>
            <w:r>
              <w:rPr>
                <w:spacing w:val="8"/>
              </w:rPr>
              <w:t>,</w:t>
            </w:r>
            <w:r>
              <w:rPr>
                <w:spacing w:val="21"/>
              </w:rPr>
              <w:t xml:space="preserve">  </w:t>
            </w:r>
            <w:r>
              <w:rPr>
                <w:spacing w:val="8"/>
              </w:rPr>
              <w:t>上述声明内容与事实不符。</w:t>
            </w:r>
          </w:p>
        </w:tc>
      </w:tr>
      <w:tr>
        <w:trPr>
          <w:trHeight w:val="725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15" w:right="105" w:firstLine="6"/>
              <w:spacing w:before="54" w:line="231" w:lineRule="auto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中国证券监督管理委员会深圳监管局决定对深圳市郑中设计</w:t>
            </w:r>
            <w:r>
              <w:rPr>
                <w:spacing w:val="14"/>
              </w:rPr>
              <w:t>股份有</w:t>
            </w:r>
            <w:r>
              <w:rPr/>
              <w:t xml:space="preserve"> </w:t>
            </w:r>
            <w:r>
              <w:rPr>
                <w:spacing w:val="9"/>
              </w:rPr>
              <w:t>限公司、董事会秘书王某颖、独立董事章某文采取出具警示函的行政监管措施。</w:t>
            </w:r>
          </w:p>
        </w:tc>
      </w:tr>
      <w:tr>
        <w:trPr>
          <w:trHeight w:val="2881" w:hRule="atLeast"/>
        </w:trPr>
        <w:tc>
          <w:tcPr>
            <w:shd w:val="clear" w:fill="B8CCE4"/>
            <w:tcW w:w="107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86" w:line="178" w:lineRule="auto"/>
              <w:rPr/>
            </w:pPr>
            <w:r>
              <w:rPr>
                <w:spacing w:val="3"/>
              </w:rPr>
              <w:t>300889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/>
              <w:spacing w:before="86" w:line="189" w:lineRule="auto"/>
              <w:rPr/>
            </w:pPr>
            <w:r>
              <w:rPr>
                <w:spacing w:val="9"/>
              </w:rPr>
              <w:t>爱克股份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7" w:right="102" w:firstLine="1"/>
              <w:spacing w:before="91" w:line="243" w:lineRule="auto"/>
              <w:rPr/>
            </w:pPr>
            <w:r>
              <w:rPr>
                <w:spacing w:val="15"/>
              </w:rPr>
              <w:t>杨某宇在拟担任深圳爱克莱特科技股份有限公司独立董事时</w:t>
            </w:r>
            <w:r>
              <w:rPr>
                <w:spacing w:val="-19"/>
              </w:rPr>
              <w:t xml:space="preserve"> </w:t>
            </w:r>
            <w:r>
              <w:rPr>
                <w:spacing w:val="15"/>
              </w:rPr>
              <w:t>，</w:t>
            </w:r>
            <w:r>
              <w:rPr/>
              <w:t xml:space="preserve"> </w:t>
            </w:r>
            <w:r>
              <w:rPr>
                <w:spacing w:val="14"/>
              </w:rPr>
              <w:t>深圳爱克莱特科技股份有限公司、杨某宇于2021年9月17日分</w:t>
            </w:r>
            <w:r>
              <w:rPr>
                <w:spacing w:val="3"/>
              </w:rPr>
              <w:t xml:space="preserve"> </w:t>
            </w:r>
            <w:r>
              <w:rPr>
                <w:spacing w:val="13"/>
              </w:rPr>
              <w:t>别作出《独立董事提名人声明》</w:t>
            </w:r>
            <w:r>
              <w:rPr>
                <w:spacing w:val="-30"/>
              </w:rPr>
              <w:t xml:space="preserve"> </w:t>
            </w:r>
            <w:r>
              <w:rPr>
                <w:spacing w:val="13"/>
              </w:rPr>
              <w:t>《独立董事候选人</w:t>
            </w:r>
            <w:r>
              <w:rPr>
                <w:spacing w:val="12"/>
              </w:rPr>
              <w:t>声明》 ，称</w:t>
            </w:r>
            <w:r>
              <w:rPr/>
              <w:t xml:space="preserve"> </w:t>
            </w:r>
            <w:r>
              <w:rPr>
                <w:spacing w:val="16"/>
              </w:rPr>
              <w:t>杨某宇不存在同时在超过五家以上的公司担任董事、监事或高</w:t>
            </w:r>
            <w:r>
              <w:rPr>
                <w:spacing w:val="15"/>
              </w:rPr>
              <w:t xml:space="preserve"> </w:t>
            </w:r>
            <w:r>
              <w:rPr>
                <w:spacing w:val="13"/>
              </w:rPr>
              <w:t>级管理人员的情形</w:t>
            </w:r>
            <w:r>
              <w:rPr>
                <w:spacing w:val="-5"/>
              </w:rPr>
              <w:t xml:space="preserve"> </w:t>
            </w:r>
            <w:r>
              <w:rPr>
                <w:spacing w:val="13"/>
              </w:rPr>
              <w:t>，并保证上述声明真实、准确、完整</w:t>
            </w:r>
            <w:r>
              <w:rPr>
                <w:spacing w:val="-18"/>
              </w:rPr>
              <w:t xml:space="preserve"> </w:t>
            </w:r>
            <w:r>
              <w:rPr>
                <w:spacing w:val="13"/>
              </w:rPr>
              <w:t>，没有</w:t>
            </w:r>
            <w:r>
              <w:rPr/>
              <w:t xml:space="preserve"> </w:t>
            </w:r>
            <w:r>
              <w:rPr>
                <w:spacing w:val="15"/>
              </w:rPr>
              <w:t>虚假记载、误导性陈述或重大遗漏。经查</w:t>
            </w:r>
            <w:r>
              <w:rPr>
                <w:spacing w:val="-18"/>
              </w:rPr>
              <w:t xml:space="preserve"> </w:t>
            </w:r>
            <w:r>
              <w:rPr>
                <w:spacing w:val="15"/>
              </w:rPr>
              <w:t>，杨某宇当时</w:t>
            </w:r>
            <w:r>
              <w:rPr>
                <w:b/>
                <w:bCs/>
                <w:spacing w:val="15"/>
              </w:rPr>
              <w:t>同时担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4"/>
              </w:rPr>
              <w:t>任董事、</w:t>
            </w:r>
            <w:r>
              <w:rPr>
                <w:b/>
                <w:bCs/>
                <w:spacing w:val="-32"/>
              </w:rPr>
              <w:t xml:space="preserve"> </w:t>
            </w:r>
            <w:r>
              <w:rPr>
                <w:b/>
                <w:bCs/>
                <w:spacing w:val="14"/>
              </w:rPr>
              <w:t>监事或高级管理人员的公司家数超过五家</w:t>
            </w:r>
            <w:r>
              <w:rPr>
                <w:b/>
                <w:bCs/>
                <w:spacing w:val="-21"/>
              </w:rPr>
              <w:t xml:space="preserve"> </w:t>
            </w:r>
            <w:r>
              <w:rPr>
                <w:spacing w:val="14"/>
              </w:rPr>
              <w:t>，上述声明</w:t>
            </w:r>
            <w:r>
              <w:rPr/>
              <w:t xml:space="preserve"> </w:t>
            </w:r>
            <w:r>
              <w:rPr>
                <w:spacing w:val="8"/>
              </w:rPr>
              <w:t>内容与事实不符。</w:t>
            </w:r>
          </w:p>
        </w:tc>
      </w:tr>
      <w:tr>
        <w:trPr>
          <w:trHeight w:val="725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4" w:right="105" w:firstLine="17"/>
              <w:spacing w:before="57" w:line="230" w:lineRule="auto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中国证券监督管理委员会深圳监管局决定对深圳爱克莱特科</w:t>
            </w:r>
            <w:r>
              <w:rPr>
                <w:spacing w:val="14"/>
              </w:rPr>
              <w:t>技股份</w:t>
            </w:r>
            <w:r>
              <w:rPr/>
              <w:t xml:space="preserve"> </w:t>
            </w:r>
            <w:r>
              <w:rPr>
                <w:spacing w:val="10"/>
              </w:rPr>
              <w:t>有限公司、董事会秘书陈某建、独立董事杨某宇</w:t>
            </w:r>
            <w:r>
              <w:rPr>
                <w:spacing w:val="9"/>
              </w:rPr>
              <w:t>采取出具警示函的行政监管措施。</w:t>
            </w:r>
          </w:p>
        </w:tc>
      </w:tr>
      <w:tr>
        <w:trPr>
          <w:trHeight w:val="2890" w:hRule="atLeast"/>
        </w:trPr>
        <w:tc>
          <w:tcPr>
            <w:shd w:val="clear" w:fill="B8CCE4"/>
            <w:tcW w:w="107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1"/>
              <w:spacing w:before="85" w:line="178" w:lineRule="auto"/>
              <w:rPr/>
            </w:pPr>
            <w:r>
              <w:rPr>
                <w:spacing w:val="3"/>
              </w:rPr>
              <w:t>002829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8"/>
              <w:spacing w:before="86" w:line="189" w:lineRule="auto"/>
              <w:rPr/>
            </w:pPr>
            <w:r>
              <w:rPr>
                <w:spacing w:val="8"/>
              </w:rPr>
              <w:t>星网宇达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8" w:right="102"/>
              <w:spacing w:before="66" w:line="246" w:lineRule="auto"/>
              <w:jc w:val="both"/>
              <w:rPr/>
            </w:pPr>
            <w:r>
              <w:rPr>
                <w:spacing w:val="14"/>
              </w:rPr>
              <w:t>北京星网宇达科技股份有限公司于2021年1月15日披露《独立</w:t>
            </w:r>
            <w:r>
              <w:rPr>
                <w:spacing w:val="4"/>
              </w:rPr>
              <w:t xml:space="preserve"> </w:t>
            </w:r>
            <w:r>
              <w:rPr>
                <w:spacing w:val="14"/>
              </w:rPr>
              <w:t>董事提名人声明》,其中第三十六项为“被提名人不存在同时在</w:t>
            </w:r>
            <w:r>
              <w:rPr>
                <w:spacing w:val="2"/>
              </w:rPr>
              <w:t xml:space="preserve"> </w:t>
            </w:r>
            <w:r>
              <w:rPr>
                <w:spacing w:val="13"/>
              </w:rPr>
              <w:t>超过五家以上的公司担任董事、监事或高级管理人员的情形</w:t>
            </w:r>
            <w:r>
              <w:rPr>
                <w:spacing w:val="-27"/>
              </w:rPr>
              <w:t xml:space="preserve"> </w:t>
            </w:r>
            <w:r>
              <w:rPr>
                <w:spacing w:val="13"/>
              </w:rPr>
              <w:t>”,</w:t>
            </w:r>
            <w:r>
              <w:rPr/>
              <w:t xml:space="preserve"> </w:t>
            </w:r>
            <w:r>
              <w:rPr>
                <w:spacing w:val="14"/>
              </w:rPr>
              <w:t>刘某伟保证声明真实、准确、完整,没有虚假记载、误导性陈述</w:t>
            </w:r>
            <w:r>
              <w:rPr>
                <w:spacing w:val="2"/>
              </w:rPr>
              <w:t xml:space="preserve"> </w:t>
            </w:r>
            <w:r>
              <w:rPr>
                <w:spacing w:val="13"/>
              </w:rPr>
              <w:t>或重大遗漏。经查,独立董事刘某伟当时</w:t>
            </w:r>
            <w:r>
              <w:rPr>
                <w:b/>
                <w:bCs/>
                <w:spacing w:val="13"/>
              </w:rPr>
              <w:t>同时担任董事、</w:t>
            </w:r>
            <w:r>
              <w:rPr>
                <w:b/>
                <w:bCs/>
                <w:spacing w:val="-29"/>
              </w:rPr>
              <w:t xml:space="preserve"> </w:t>
            </w:r>
            <w:r>
              <w:rPr>
                <w:b/>
                <w:bCs/>
                <w:spacing w:val="13"/>
              </w:rPr>
              <w:t>监事或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4"/>
              </w:rPr>
              <w:t>高级管理人员的公司家数超过五家</w:t>
            </w:r>
            <w:r>
              <w:rPr>
                <w:spacing w:val="14"/>
              </w:rPr>
              <w:t>,北京星网宇达科技股份有限</w:t>
            </w:r>
            <w:r>
              <w:rPr>
                <w:spacing w:val="2"/>
              </w:rPr>
              <w:t xml:space="preserve"> </w:t>
            </w:r>
            <w:r>
              <w:rPr>
                <w:spacing w:val="14"/>
              </w:rPr>
              <w:t>公司未充分核查独立董事相关任职情况,对外公告的《独立董事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提名人声明》内容与事实不符。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352" w:left="1385" w:header="0" w:footer="0" w:gutter="0"/>
        </w:sectPr>
        <w:rPr>
          <w:sz w:val="2"/>
          <w:szCs w:val="2"/>
        </w:rPr>
      </w:pPr>
    </w:p>
    <w:tbl>
      <w:tblPr>
        <w:tblStyle w:val="TableNormal"/>
        <w:tblW w:w="8195" w:type="dxa"/>
        <w:tblInd w:w="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078"/>
        <w:gridCol w:w="1054"/>
        <w:gridCol w:w="6063"/>
      </w:tblGrid>
      <w:tr>
        <w:trPr>
          <w:trHeight w:val="1104" w:hRule="atLeast"/>
        </w:trPr>
        <w:tc>
          <w:tcPr>
            <w:tcW w:w="8195" w:type="dxa"/>
            <w:vAlign w:val="top"/>
            <w:gridSpan w:val="3"/>
            <w:tcBorders>
              <w:top w:val="single" w:color="4F81BD" w:sz="2" w:space="0"/>
            </w:tcBorders>
          </w:tcPr>
          <w:p>
            <w:pPr>
              <w:pStyle w:val="TableText"/>
              <w:ind w:left="104" w:right="105" w:firstLine="17"/>
              <w:spacing w:before="59" w:line="241" w:lineRule="auto"/>
              <w:jc w:val="both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中国证券监督管理委员会北京监管局决定对北京星网宇达科</w:t>
            </w:r>
            <w:r>
              <w:rPr>
                <w:spacing w:val="14"/>
              </w:rPr>
              <w:t>技股份</w:t>
            </w:r>
            <w:r>
              <w:rPr/>
              <w:t xml:space="preserve"> </w:t>
            </w:r>
            <w:r>
              <w:rPr>
                <w:spacing w:val="13"/>
              </w:rPr>
              <w:t>有限公司、独立董事刘某伟、</w:t>
            </w:r>
            <w:r>
              <w:rPr>
                <w:spacing w:val="-32"/>
              </w:rPr>
              <w:t xml:space="preserve"> </w:t>
            </w:r>
            <w:r>
              <w:rPr>
                <w:spacing w:val="13"/>
              </w:rPr>
              <w:t>时任董秘袁某宣采取出具警示函的行政监管措施,并将相</w:t>
            </w:r>
            <w:r>
              <w:rPr/>
              <w:t xml:space="preserve"> </w:t>
            </w:r>
            <w:r>
              <w:rPr>
                <w:spacing w:val="9"/>
              </w:rPr>
              <w:t>关情况记入证券期货市场诚信档案。</w:t>
            </w:r>
          </w:p>
        </w:tc>
      </w:tr>
      <w:tr>
        <w:trPr>
          <w:trHeight w:val="2883" w:hRule="atLeast"/>
        </w:trPr>
        <w:tc>
          <w:tcPr>
            <w:shd w:val="clear" w:fill="B8CCE4"/>
            <w:tcW w:w="107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1"/>
              <w:spacing w:before="86" w:line="179" w:lineRule="auto"/>
              <w:rPr/>
            </w:pPr>
            <w:r>
              <w:rPr>
                <w:spacing w:val="3"/>
              </w:rPr>
              <w:t>002771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9"/>
              <w:spacing w:before="86" w:line="189" w:lineRule="auto"/>
              <w:rPr/>
            </w:pPr>
            <w:r>
              <w:rPr>
                <w:spacing w:val="7"/>
              </w:rPr>
              <w:t>真视通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7" w:right="102" w:firstLine="1"/>
              <w:spacing w:before="47" w:line="247" w:lineRule="auto"/>
              <w:jc w:val="both"/>
              <w:rPr/>
            </w:pPr>
            <w:r>
              <w:rPr>
                <w:spacing w:val="14"/>
              </w:rPr>
              <w:t>北京真视通科技股份有限公司于2022年4月29日披露《独立董</w:t>
            </w:r>
            <w:r>
              <w:rPr>
                <w:spacing w:val="4"/>
              </w:rPr>
              <w:t xml:space="preserve"> </w:t>
            </w:r>
            <w:r>
              <w:rPr>
                <w:spacing w:val="12"/>
              </w:rPr>
              <w:t>事提名人声明》,其中第三十五项为“包括本次提名的公司在内,</w:t>
            </w:r>
            <w:r>
              <w:rPr>
                <w:spacing w:val="2"/>
              </w:rPr>
              <w:t xml:space="preserve"> </w:t>
            </w:r>
            <w:r>
              <w:rPr>
                <w:spacing w:val="16"/>
              </w:rPr>
              <w:t>被提名人不存在同时在超过五家以上的公司担任董</w:t>
            </w:r>
            <w:r>
              <w:rPr>
                <w:spacing w:val="15"/>
              </w:rPr>
              <w:t>事、</w:t>
            </w:r>
            <w:r>
              <w:rPr>
                <w:spacing w:val="-40"/>
              </w:rPr>
              <w:t xml:space="preserve"> </w:t>
            </w:r>
            <w:r>
              <w:rPr>
                <w:spacing w:val="15"/>
              </w:rPr>
              <w:t>监事或</w:t>
            </w:r>
            <w:r>
              <w:rPr/>
              <w:t xml:space="preserve"> </w:t>
            </w:r>
            <w:r>
              <w:rPr>
                <w:spacing w:val="11"/>
              </w:rPr>
              <w:t>高级管理人员的情形</w:t>
            </w:r>
            <w:r>
              <w:rPr>
                <w:spacing w:val="-28"/>
              </w:rPr>
              <w:t xml:space="preserve"> </w:t>
            </w:r>
            <w:r>
              <w:rPr>
                <w:spacing w:val="11"/>
              </w:rPr>
              <w:t>”,李某华保证声明真实、准确、完整,没有</w:t>
            </w:r>
            <w:r>
              <w:rPr/>
              <w:t xml:space="preserve"> </w:t>
            </w:r>
            <w:r>
              <w:rPr>
                <w:spacing w:val="14"/>
              </w:rPr>
              <w:t>虚假记载、误导性陈述或重大遗漏。经查,独立董事李某华当时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13"/>
              </w:rPr>
              <w:t>同时担任董事、</w:t>
            </w:r>
            <w:r>
              <w:rPr>
                <w:b/>
                <w:bCs/>
                <w:spacing w:val="-27"/>
              </w:rPr>
              <w:t xml:space="preserve"> </w:t>
            </w:r>
            <w:r>
              <w:rPr>
                <w:b/>
                <w:bCs/>
                <w:spacing w:val="13"/>
              </w:rPr>
              <w:t>监事或高级管理人员的公司家数超过五家</w:t>
            </w:r>
            <w:r>
              <w:rPr>
                <w:spacing w:val="13"/>
              </w:rPr>
              <w:t>,北京</w:t>
            </w:r>
            <w:r>
              <w:rPr/>
              <w:t xml:space="preserve"> </w:t>
            </w:r>
            <w:r>
              <w:rPr>
                <w:spacing w:val="14"/>
              </w:rPr>
              <w:t>真视通科技股份有限公司未充分核查独立董事相关任职情况,对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外公告的《独立董事提名人声明》内容与事实不符。</w:t>
            </w:r>
          </w:p>
        </w:tc>
      </w:tr>
      <w:tr>
        <w:trPr>
          <w:trHeight w:val="1085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4" w:right="102" w:firstLine="17"/>
              <w:spacing w:before="41" w:line="241" w:lineRule="auto"/>
              <w:jc w:val="both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中国证券监督管理委员会北京监管局决定对北京真视通科技</w:t>
            </w:r>
            <w:r>
              <w:rPr>
                <w:spacing w:val="14"/>
              </w:rPr>
              <w:t>股份有</w:t>
            </w:r>
            <w:r>
              <w:rPr/>
              <w:t xml:space="preserve"> </w:t>
            </w:r>
            <w:r>
              <w:rPr>
                <w:spacing w:val="13"/>
              </w:rPr>
              <w:t>限公司、独立董事李某华、</w:t>
            </w:r>
            <w:r>
              <w:rPr>
                <w:spacing w:val="-30"/>
              </w:rPr>
              <w:t xml:space="preserve"> </w:t>
            </w:r>
            <w:r>
              <w:rPr>
                <w:spacing w:val="13"/>
              </w:rPr>
              <w:t>时任董秘李某友采取出具警示函的行政监管措施,并将相关</w:t>
            </w:r>
            <w:r>
              <w:rPr/>
              <w:t xml:space="preserve"> </w:t>
            </w:r>
            <w:r>
              <w:rPr>
                <w:spacing w:val="8"/>
              </w:rPr>
              <w:t>情况记入证券期货市场诚信档案。</w:t>
            </w:r>
          </w:p>
        </w:tc>
      </w:tr>
      <w:tr>
        <w:trPr>
          <w:trHeight w:val="2884" w:hRule="atLeast"/>
        </w:trPr>
        <w:tc>
          <w:tcPr>
            <w:shd w:val="clear" w:fill="B8CCE4"/>
            <w:tcW w:w="107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1"/>
              <w:spacing w:before="85" w:line="178" w:lineRule="auto"/>
              <w:rPr/>
            </w:pPr>
            <w:r>
              <w:rPr>
                <w:spacing w:val="3"/>
              </w:rPr>
              <w:t>000729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6"/>
              <w:spacing w:before="86" w:line="189" w:lineRule="auto"/>
              <w:rPr/>
            </w:pPr>
            <w:r>
              <w:rPr>
                <w:spacing w:val="8"/>
              </w:rPr>
              <w:t>燕京啤酒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8" w:right="102"/>
              <w:spacing w:before="48" w:line="247" w:lineRule="auto"/>
              <w:jc w:val="both"/>
              <w:rPr/>
            </w:pPr>
            <w:r>
              <w:rPr>
                <w:spacing w:val="14"/>
              </w:rPr>
              <w:t>北京燕京啤酒股份有限公司于2022年4月28日披露《独立董事</w:t>
            </w:r>
            <w:r>
              <w:rPr>
                <w:spacing w:val="4"/>
              </w:rPr>
              <w:t xml:space="preserve"> </w:t>
            </w:r>
            <w:r>
              <w:rPr>
                <w:spacing w:val="12"/>
              </w:rPr>
              <w:t>提名人声明》,其中第三十五项为“包括该公司在内,本人不存在</w:t>
            </w:r>
            <w:r>
              <w:rPr>
                <w:spacing w:val="1"/>
              </w:rPr>
              <w:t xml:space="preserve"> </w:t>
            </w:r>
            <w:r>
              <w:rPr>
                <w:spacing w:val="16"/>
              </w:rPr>
              <w:t>同时在超过五家以上的公司担任董事、监事或高级管理人员的</w:t>
            </w:r>
            <w:r>
              <w:rPr>
                <w:spacing w:val="13"/>
              </w:rPr>
              <w:t xml:space="preserve"> </w:t>
            </w:r>
            <w:r>
              <w:rPr>
                <w:spacing w:val="12"/>
              </w:rPr>
              <w:t>情形”,声明人刘某伟保证声明真实、准确、完整,没有虚假</w:t>
            </w:r>
            <w:r>
              <w:rPr>
                <w:spacing w:val="11"/>
              </w:rPr>
              <w:t>记载</w:t>
            </w:r>
            <w:r>
              <w:rPr/>
              <w:t xml:space="preserve"> </w:t>
            </w:r>
            <w:r>
              <w:rPr>
                <w:spacing w:val="13"/>
              </w:rPr>
              <w:t>、误导性陈述或重大遗漏。经查,刘某伟当时</w:t>
            </w:r>
            <w:r>
              <w:rPr>
                <w:b/>
                <w:bCs/>
                <w:spacing w:val="13"/>
              </w:rPr>
              <w:t>同时担任董事、</w:t>
            </w:r>
            <w:r>
              <w:rPr>
                <w:b/>
                <w:bCs/>
                <w:spacing w:val="-29"/>
              </w:rPr>
              <w:t xml:space="preserve"> </w:t>
            </w:r>
            <w:r>
              <w:rPr>
                <w:b/>
                <w:bCs/>
                <w:spacing w:val="13"/>
              </w:rPr>
              <w:t>监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4"/>
              </w:rPr>
              <w:t>事或高级管理人员的公司家数超过五家</w:t>
            </w:r>
            <w:r>
              <w:rPr>
                <w:spacing w:val="14"/>
              </w:rPr>
              <w:t>,北京燕京啤酒股份有限</w:t>
            </w:r>
            <w:r>
              <w:rPr>
                <w:spacing w:val="2"/>
              </w:rPr>
              <w:t xml:space="preserve"> </w:t>
            </w:r>
            <w:r>
              <w:rPr>
                <w:spacing w:val="14"/>
              </w:rPr>
              <w:t>公司未充分核查独立董事相关任职情况,对外公告的《独立董事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提名人声明》内容与事实不符。</w:t>
            </w:r>
          </w:p>
        </w:tc>
      </w:tr>
      <w:tr>
        <w:trPr>
          <w:trHeight w:val="1084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4" w:right="105" w:firstLine="17"/>
              <w:spacing w:before="48" w:line="239" w:lineRule="auto"/>
              <w:jc w:val="both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中国证券监督管理委员会北京监管局决定对北京燕京啤酒股</w:t>
            </w:r>
            <w:r>
              <w:rPr>
                <w:spacing w:val="14"/>
              </w:rPr>
              <w:t>份有限</w:t>
            </w:r>
            <w:r>
              <w:rPr/>
              <w:t xml:space="preserve"> </w:t>
            </w:r>
            <w:r>
              <w:rPr>
                <w:spacing w:val="13"/>
              </w:rPr>
              <w:t>公司、独立董事刘某伟、</w:t>
            </w:r>
            <w:r>
              <w:rPr>
                <w:spacing w:val="-32"/>
              </w:rPr>
              <w:t xml:space="preserve"> </w:t>
            </w:r>
            <w:r>
              <w:rPr>
                <w:spacing w:val="13"/>
              </w:rPr>
              <w:t>时任董秘徐某香采取出具警示函的行政监管措施,并将相关情</w:t>
            </w:r>
            <w:r>
              <w:rPr/>
              <w:t xml:space="preserve"> </w:t>
            </w:r>
            <w:r>
              <w:rPr>
                <w:spacing w:val="9"/>
              </w:rPr>
              <w:t>况记入证券期货市场诚信档案。</w:t>
            </w:r>
          </w:p>
        </w:tc>
      </w:tr>
      <w:tr>
        <w:trPr>
          <w:trHeight w:val="3244" w:hRule="atLeast"/>
        </w:trPr>
        <w:tc>
          <w:tcPr>
            <w:shd w:val="clear" w:fill="B8CCE4"/>
            <w:tcW w:w="107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1"/>
              <w:spacing w:before="86" w:line="178" w:lineRule="auto"/>
              <w:rPr/>
            </w:pPr>
            <w:r>
              <w:rPr>
                <w:spacing w:val="3"/>
              </w:rPr>
              <w:t>002985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7"/>
              <w:spacing w:before="86" w:line="190" w:lineRule="auto"/>
              <w:rPr/>
            </w:pPr>
            <w:r>
              <w:rPr>
                <w:spacing w:val="8"/>
              </w:rPr>
              <w:t>北摩高科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98" w:right="102"/>
              <w:spacing w:before="48" w:line="250" w:lineRule="auto"/>
              <w:jc w:val="both"/>
              <w:rPr/>
            </w:pPr>
            <w:r>
              <w:rPr>
                <w:spacing w:val="11"/>
              </w:rPr>
              <w:t>北京北摩高科摩擦材料股份有限公司于2022年6月2日披露《独</w:t>
            </w:r>
            <w:r>
              <w:rPr>
                <w:spacing w:val="9"/>
              </w:rPr>
              <w:t xml:space="preserve"> </w:t>
            </w:r>
            <w:r>
              <w:rPr>
                <w:spacing w:val="13"/>
              </w:rPr>
              <w:t>立董事提名人声明》</w:t>
            </w:r>
            <w:r>
              <w:rPr>
                <w:spacing w:val="-29"/>
              </w:rPr>
              <w:t xml:space="preserve"> </w:t>
            </w:r>
            <w:r>
              <w:rPr>
                <w:spacing w:val="13"/>
              </w:rPr>
              <w:t>,其中第三十五项为“包括本次提名的公司</w:t>
            </w:r>
            <w:r>
              <w:rPr/>
              <w:t xml:space="preserve"> </w:t>
            </w:r>
            <w:r>
              <w:rPr>
                <w:spacing w:val="14"/>
              </w:rPr>
              <w:t>在内,被提名人不存在同时在超过五家以上的公司担任董事、监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事或高级管理人员的情形”,李某华保证声明真实、准确、完整,</w:t>
            </w:r>
            <w:r>
              <w:rPr/>
              <w:t xml:space="preserve"> </w:t>
            </w:r>
            <w:r>
              <w:rPr>
                <w:spacing w:val="14"/>
              </w:rPr>
              <w:t>没有虚假记载、误导性陈述或重大遗漏。经查,独立董事李某华</w:t>
            </w:r>
            <w:r>
              <w:rPr>
                <w:spacing w:val="5"/>
              </w:rPr>
              <w:t xml:space="preserve"> </w:t>
            </w:r>
            <w:r>
              <w:rPr>
                <w:spacing w:val="13"/>
              </w:rPr>
              <w:t>当时</w:t>
            </w:r>
            <w:r>
              <w:rPr>
                <w:b/>
                <w:bCs/>
                <w:spacing w:val="13"/>
              </w:rPr>
              <w:t>同时担任董事、</w:t>
            </w:r>
            <w:r>
              <w:rPr>
                <w:b/>
                <w:bCs/>
                <w:spacing w:val="-27"/>
              </w:rPr>
              <w:t xml:space="preserve"> </w:t>
            </w:r>
            <w:r>
              <w:rPr>
                <w:b/>
                <w:bCs/>
                <w:spacing w:val="13"/>
              </w:rPr>
              <w:t>监事或高级管理人员的公司家数超过五家</w:t>
            </w:r>
            <w:r>
              <w:rPr>
                <w:spacing w:val="13"/>
              </w:rPr>
              <w:t>,</w:t>
            </w:r>
            <w:r>
              <w:rPr/>
              <w:t xml:space="preserve"> </w:t>
            </w:r>
            <w:r>
              <w:rPr>
                <w:spacing w:val="16"/>
              </w:rPr>
              <w:t>北京北摩高科摩擦材料股份有限公司未充分核查独立董事相关</w:t>
            </w:r>
            <w:r>
              <w:rPr>
                <w:spacing w:val="13"/>
              </w:rPr>
              <w:t xml:space="preserve"> </w:t>
            </w:r>
            <w:r>
              <w:rPr>
                <w:spacing w:val="14"/>
              </w:rPr>
              <w:t>任职情况,对外公告的《独立董事提名人声明》内容与事实不符</w:t>
            </w:r>
          </w:p>
          <w:p>
            <w:pPr>
              <w:pStyle w:val="TableText"/>
              <w:ind w:left="109"/>
              <w:spacing w:before="213" w:line="112" w:lineRule="exact"/>
              <w:rPr/>
            </w:pPr>
            <w:r>
              <w:rPr>
                <w:position w:val="3"/>
              </w:rPr>
              <w:t>。</w:t>
            </w:r>
          </w:p>
        </w:tc>
      </w:tr>
      <w:tr>
        <w:trPr>
          <w:trHeight w:val="1085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4" w:right="105" w:firstLine="17"/>
              <w:spacing w:before="49" w:line="239" w:lineRule="auto"/>
              <w:jc w:val="both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中国证券监督管理委员会北京监管局决定对北京北摩高科摩</w:t>
            </w:r>
            <w:r>
              <w:rPr>
                <w:spacing w:val="14"/>
              </w:rPr>
              <w:t>擦材料</w:t>
            </w:r>
            <w:r>
              <w:rPr/>
              <w:t xml:space="preserve"> </w:t>
            </w:r>
            <w:r>
              <w:rPr>
                <w:spacing w:val="12"/>
              </w:rPr>
              <w:t>股份有限公司、</w:t>
            </w:r>
            <w:r>
              <w:rPr>
                <w:spacing w:val="-19"/>
              </w:rPr>
              <w:t xml:space="preserve"> </w:t>
            </w:r>
            <w:r>
              <w:rPr>
                <w:spacing w:val="12"/>
              </w:rPr>
              <w:t>时任独董李某华、</w:t>
            </w:r>
            <w:r>
              <w:rPr>
                <w:spacing w:val="-34"/>
              </w:rPr>
              <w:t xml:space="preserve"> </w:t>
            </w:r>
            <w:r>
              <w:rPr>
                <w:spacing w:val="12"/>
              </w:rPr>
              <w:t>时任董秘王某采取出具警示函的行政监管措施,并将</w:t>
            </w:r>
            <w:r>
              <w:rPr/>
              <w:t xml:space="preserve"> </w:t>
            </w:r>
            <w:r>
              <w:rPr>
                <w:spacing w:val="9"/>
              </w:rPr>
              <w:t>相关情况记入证券期货市场诚信档案。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078" w:type="dxa"/>
            <w:vAlign w:val="top"/>
          </w:tcPr>
          <w:p>
            <w:pPr>
              <w:pStyle w:val="TableText"/>
              <w:ind w:left="114"/>
              <w:spacing w:before="289" w:line="178" w:lineRule="auto"/>
              <w:rPr/>
            </w:pPr>
            <w:r>
              <w:rPr>
                <w:spacing w:val="3"/>
              </w:rPr>
              <w:t>603773</w:t>
            </w:r>
          </w:p>
        </w:tc>
        <w:tc>
          <w:tcPr>
            <w:shd w:val="clear" w:fill="B8CCE4"/>
            <w:tcW w:w="1054" w:type="dxa"/>
            <w:vAlign w:val="top"/>
          </w:tcPr>
          <w:p>
            <w:pPr>
              <w:pStyle w:val="TableText"/>
              <w:ind w:left="97"/>
              <w:spacing w:before="275" w:line="189" w:lineRule="auto"/>
              <w:rPr/>
            </w:pPr>
            <w:r>
              <w:rPr>
                <w:spacing w:val="8"/>
              </w:rPr>
              <w:t>沃格光电</w:t>
            </w:r>
          </w:p>
        </w:tc>
        <w:tc>
          <w:tcPr>
            <w:shd w:val="clear" w:fill="B8CCE4"/>
            <w:tcW w:w="6063" w:type="dxa"/>
            <w:vAlign w:val="top"/>
          </w:tcPr>
          <w:p>
            <w:pPr>
              <w:pStyle w:val="TableText"/>
              <w:ind w:left="100" w:right="105" w:hanging="1"/>
              <w:spacing w:before="94" w:line="217" w:lineRule="auto"/>
              <w:rPr/>
            </w:pPr>
            <w:r>
              <w:rPr>
                <w:spacing w:val="15"/>
              </w:rPr>
              <w:t>未披露</w:t>
            </w:r>
            <w:r>
              <w:rPr>
                <w:b/>
                <w:bCs/>
                <w:spacing w:val="15"/>
              </w:rPr>
              <w:t>融资贸易业务</w:t>
            </w:r>
            <w:r>
              <w:rPr>
                <w:spacing w:val="15"/>
              </w:rPr>
              <w:t>情况；</w:t>
            </w:r>
            <w:r>
              <w:rPr>
                <w:spacing w:val="-22"/>
              </w:rPr>
              <w:t xml:space="preserve"> </w:t>
            </w:r>
            <w:r>
              <w:rPr>
                <w:spacing w:val="15"/>
              </w:rPr>
              <w:t>相关融资贸易业务的</w:t>
            </w:r>
            <w:r>
              <w:rPr>
                <w:b/>
                <w:bCs/>
                <w:spacing w:val="15"/>
              </w:rPr>
              <w:t>账务处理</w:t>
            </w:r>
            <w:r>
              <w:rPr>
                <w:spacing w:val="15"/>
              </w:rPr>
              <w:t>不规</w:t>
            </w:r>
            <w:r>
              <w:rPr/>
              <w:t xml:space="preserve"> </w:t>
            </w:r>
            <w:r>
              <w:rPr>
                <w:spacing w:val="2"/>
              </w:rPr>
              <w:t>范。</w:t>
            </w:r>
          </w:p>
        </w:tc>
      </w:tr>
      <w:tr>
        <w:trPr>
          <w:trHeight w:val="1094" w:hRule="atLeast"/>
        </w:trPr>
        <w:tc>
          <w:tcPr>
            <w:tcW w:w="8195" w:type="dxa"/>
            <w:vAlign w:val="top"/>
            <w:gridSpan w:val="3"/>
          </w:tcPr>
          <w:p>
            <w:pPr>
              <w:pStyle w:val="TableText"/>
              <w:ind w:left="102" w:right="105" w:firstLine="19"/>
              <w:spacing w:before="54"/>
              <w:jc w:val="both"/>
              <w:rPr/>
            </w:pPr>
            <w:r>
              <w:rPr>
                <w:b/>
                <w:bCs/>
                <w:spacing w:val="15"/>
              </w:rPr>
              <w:t>【行政监管措施】</w:t>
            </w:r>
            <w:r>
              <w:rPr>
                <w:spacing w:val="15"/>
              </w:rPr>
              <w:t>中国证券监督管理委员会江西监管局决定对沃格光电、董事</w:t>
            </w:r>
            <w:r>
              <w:rPr>
                <w:spacing w:val="14"/>
              </w:rPr>
              <w:t>会秘书</w:t>
            </w:r>
            <w:r>
              <w:rPr/>
              <w:t xml:space="preserve"> </w:t>
            </w:r>
            <w:r>
              <w:rPr>
                <w:spacing w:val="14"/>
              </w:rPr>
              <w:t>胡某芳、</w:t>
            </w:r>
            <w:r>
              <w:rPr>
                <w:spacing w:val="-37"/>
              </w:rPr>
              <w:t xml:space="preserve"> </w:t>
            </w:r>
            <w:r>
              <w:rPr>
                <w:spacing w:val="14"/>
              </w:rPr>
              <w:t>时任财务总监汪某采取责令改正的行政监管措施</w:t>
            </w:r>
            <w:r>
              <w:rPr>
                <w:spacing w:val="-21"/>
              </w:rPr>
              <w:t xml:space="preserve"> </w:t>
            </w:r>
            <w:r>
              <w:rPr>
                <w:spacing w:val="14"/>
              </w:rPr>
              <w:t>，并计入</w:t>
            </w:r>
            <w:r>
              <w:rPr>
                <w:spacing w:val="13"/>
              </w:rPr>
              <w:t>证券期货市场诚信</w:t>
            </w:r>
            <w:r>
              <w:rPr/>
              <w:t xml:space="preserve"> </w:t>
            </w:r>
            <w:r>
              <w:rPr>
                <w:spacing w:val="5"/>
              </w:rPr>
              <w:t>档案。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400" w:left="1385" w:header="0" w:footer="0" w:gutter="0"/>
        </w:sectPr>
        <w:rPr/>
      </w:pPr>
    </w:p>
    <w:p>
      <w:pPr>
        <w:spacing w:before="311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7"/>
        </w:rPr>
        <w:t>（ 4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7"/>
        </w:rPr>
        <w:t>）立案调查</w:t>
      </w:r>
    </w:p>
    <w:tbl>
      <w:tblPr>
        <w:tblStyle w:val="TableNormal"/>
        <w:tblW w:w="8195" w:type="dxa"/>
        <w:tblInd w:w="506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07"/>
        <w:gridCol w:w="1250"/>
        <w:gridCol w:w="5738"/>
      </w:tblGrid>
      <w:tr>
        <w:trPr>
          <w:trHeight w:val="384" w:hRule="atLeast"/>
        </w:trPr>
        <w:tc>
          <w:tcPr>
            <w:shd w:val="clear" w:fill="4F81BD"/>
            <w:tcW w:w="1207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179"/>
              <w:spacing w:before="109" w:line="185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250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196"/>
              <w:spacing w:before="109" w:line="185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738" w:type="dxa"/>
            <w:vAlign w:val="top"/>
            <w:tcBorders>
              <w:bottom w:val="single" w:color="4F81BD" w:sz="2" w:space="0"/>
            </w:tcBorders>
          </w:tcPr>
          <w:p>
            <w:pPr>
              <w:pStyle w:val="TableText"/>
              <w:ind w:left="2442"/>
              <w:spacing w:before="109" w:line="185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089" w:hRule="atLeast"/>
        </w:trPr>
        <w:tc>
          <w:tcPr>
            <w:tcW w:w="1207" w:type="dxa"/>
            <w:vAlign w:val="top"/>
            <w:tcBorders>
              <w:top w:val="single" w:color="4F81BD" w:sz="2" w:space="0"/>
            </w:tcBorders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/>
              <w:spacing w:before="85" w:line="178" w:lineRule="auto"/>
              <w:rPr/>
            </w:pPr>
            <w:r>
              <w:rPr>
                <w:spacing w:val="3"/>
              </w:rPr>
              <w:t>603555</w:t>
            </w:r>
          </w:p>
        </w:tc>
        <w:tc>
          <w:tcPr>
            <w:tcW w:w="1250" w:type="dxa"/>
            <w:vAlign w:val="top"/>
            <w:tcBorders>
              <w:top w:val="single" w:color="4F81BD" w:sz="2" w:space="0"/>
            </w:tcBorders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85" w:line="188" w:lineRule="auto"/>
              <w:rPr/>
            </w:pPr>
            <w:r>
              <w:rPr/>
              <w:t>ST</w:t>
            </w:r>
            <w:r>
              <w:rPr>
                <w:spacing w:val="8"/>
              </w:rPr>
              <w:t>贵人</w:t>
            </w:r>
          </w:p>
        </w:tc>
        <w:tc>
          <w:tcPr>
            <w:tcW w:w="5738" w:type="dxa"/>
            <w:vAlign w:val="top"/>
            <w:tcBorders>
              <w:top w:val="single" w:color="4F81BD" w:sz="2" w:space="0"/>
            </w:tcBorders>
          </w:tcPr>
          <w:p>
            <w:pPr>
              <w:pStyle w:val="TableText"/>
              <w:ind w:left="98" w:right="103" w:firstLine="15"/>
              <w:spacing w:before="49"/>
              <w:jc w:val="both"/>
              <w:rPr/>
            </w:pPr>
            <w:r>
              <w:rPr>
                <w:spacing w:val="10"/>
              </w:rPr>
              <w:t>因</w:t>
            </w:r>
            <w:r>
              <w:rPr>
                <w:b/>
                <w:bCs/>
                <w:spacing w:val="10"/>
              </w:rPr>
              <w:t>涉嫌信息披露违法违规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spacing w:val="10"/>
              </w:rPr>
              <w:t>，根据《中华人民共和国证券法》</w:t>
            </w:r>
            <w:r>
              <w:rPr/>
              <w:t xml:space="preserve"> </w:t>
            </w:r>
            <w:r>
              <w:rPr>
                <w:spacing w:val="10"/>
              </w:rPr>
              <w:t>《中华人民共和国行政处罚法》等法律法规</w:t>
            </w:r>
            <w:r>
              <w:rPr>
                <w:spacing w:val="-25"/>
              </w:rPr>
              <w:t xml:space="preserve"> </w:t>
            </w:r>
            <w:r>
              <w:rPr>
                <w:spacing w:val="10"/>
              </w:rPr>
              <w:t>，</w:t>
            </w:r>
            <w:r>
              <w:rPr>
                <w:spacing w:val="-31"/>
              </w:rPr>
              <w:t xml:space="preserve"> </w:t>
            </w:r>
            <w:r>
              <w:rPr>
                <w:spacing w:val="10"/>
              </w:rPr>
              <w:t>中国证</w:t>
            </w:r>
            <w:r>
              <w:rPr>
                <w:spacing w:val="9"/>
              </w:rPr>
              <w:t>监会决</w:t>
            </w:r>
            <w:r>
              <w:rPr/>
              <w:t xml:space="preserve"> </w:t>
            </w:r>
            <w:r>
              <w:rPr>
                <w:spacing w:val="7"/>
              </w:rPr>
              <w:t>定对公司、实际控制人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，董事长立案。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400" w:left="893" w:header="0" w:footer="0" w:gutter="0"/>
        </w:sectPr>
        <w:rPr/>
      </w:pPr>
    </w:p>
    <w:p>
      <w:pPr>
        <w:spacing w:line="924" w:lineRule="exact"/>
        <w:rPr/>
      </w:pPr>
      <w:r>
        <w:rPr>
          <w:position w:val="-18"/>
        </w:rPr>
        <w:pict>
          <v:group id="_x0000_s32" style="mso-position-vertical-relative:line;mso-position-horizontal-relative:char;width:134.8pt;height:46.25pt;" filled="false" stroked="false" coordsize="2696,925" coordorigin="0,0">
            <v:shape id="_x0000_s34" style="position:absolute;left:0;top:0;width:2696;height:925;" filled="false" stroked="false" type="#_x0000_t75">
              <v:imagedata o:title="" r:id="rId10"/>
            </v:shape>
            <v:shape id="_x0000_s36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7"/>
                      <w:spacing w:before="301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3"/>
                      </w:rPr>
                      <w:t>上交所监管动态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80" w:lineRule="auto"/>
        <w:rPr/>
      </w:pPr>
      <w:r/>
    </w:p>
    <w:p>
      <w:pPr>
        <w:ind w:left="938"/>
        <w:spacing w:before="103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6"/>
        </w:rPr>
        <w:t>1、上市公司监管动态</w:t>
      </w:r>
    </w:p>
    <w:p>
      <w:pPr>
        <w:ind w:left="424" w:firstLine="482"/>
        <w:spacing w:line="183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2024年2月19日-2月25日</w:t>
      </w:r>
      <w:r>
        <w:rPr>
          <w:rFonts w:ascii="Microsoft YaHei" w:hAnsi="Microsoft YaHei" w:eastAsia="Microsoft YaHei" w:cs="Microsoft YaHei"/>
          <w:sz w:val="24"/>
          <w:szCs w:val="24"/>
          <w:spacing w:val="-40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，上交所公司监管部门作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出6份监管警示函，对6宗行为予以纪律处分。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同时，加大信息披露和股价异常的联动监管</w:t>
      </w:r>
      <w:r>
        <w:rPr>
          <w:rFonts w:ascii="Microsoft YaHei" w:hAnsi="Microsoft YaHei" w:eastAsia="Microsoft YaHei" w:cs="Microsoft YaHei"/>
          <w:sz w:val="24"/>
          <w:szCs w:val="24"/>
          <w:spacing w:val="-40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，针对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公司披露敏感信息或股价发生明显异常的</w:t>
      </w:r>
      <w:r>
        <w:rPr>
          <w:rFonts w:ascii="Microsoft YaHei" w:hAnsi="Microsoft YaHei" w:eastAsia="Microsoft YaHei" w:cs="Microsoft YaHei"/>
          <w:sz w:val="24"/>
          <w:szCs w:val="24"/>
          <w:spacing w:val="-3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，提请启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动内幕交易、异常交易核查61单。</w:t>
      </w:r>
    </w:p>
    <w:p>
      <w:pPr>
        <w:ind w:left="421" w:right="26" w:firstLine="474"/>
        <w:spacing w:before="2" w:line="183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此外，近日有媒体报道显示</w:t>
      </w:r>
      <w:r>
        <w:rPr>
          <w:rFonts w:ascii="Microsoft YaHei" w:hAnsi="Microsoft YaHei" w:eastAsia="Microsoft YaHei" w:cs="Microsoft YaHei"/>
          <w:sz w:val="24"/>
          <w:szCs w:val="24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，ST贵人工作人员就公司立案发表无事实根据的不当言论，涉嫌误导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投资者。对此</w:t>
      </w:r>
      <w:r>
        <w:rPr>
          <w:rFonts w:ascii="Microsoft YaHei" w:hAnsi="Microsoft YaHei" w:eastAsia="Microsoft YaHei" w:cs="Microsoft YaHei"/>
          <w:sz w:val="24"/>
          <w:szCs w:val="24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，上交所已第一时间向公司和相关责任人员作出书面警示</w:t>
      </w:r>
      <w:r>
        <w:rPr>
          <w:rFonts w:ascii="Microsoft YaHei" w:hAnsi="Microsoft YaHei" w:eastAsia="Microsoft YaHei" w:cs="Microsoft YaHei"/>
          <w:sz w:val="24"/>
          <w:szCs w:val="24"/>
          <w:spacing w:val="-3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，并将根据后续核查情况严肃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处理。</w:t>
      </w:r>
    </w:p>
    <w:p>
      <w:pPr>
        <w:ind w:firstLine="1606"/>
        <w:spacing w:before="90" w:line="3448" w:lineRule="exact"/>
        <w:rPr/>
      </w:pPr>
      <w:r>
        <w:rPr>
          <w:position w:val="-68"/>
        </w:rPr>
        <w:drawing>
          <wp:inline distT="0" distB="0" distL="0" distR="0">
            <wp:extent cx="5039994" cy="2189479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39994" cy="218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30"/>
        <w:spacing w:before="34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0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0"/>
        </w:rPr>
        <w:t>1 ）监管措施统计</w:t>
      </w:r>
    </w:p>
    <w:tbl>
      <w:tblPr>
        <w:tblStyle w:val="TableNormal"/>
        <w:tblW w:w="8370" w:type="dxa"/>
        <w:tblInd w:w="1641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20"/>
        <w:gridCol w:w="1120"/>
        <w:gridCol w:w="1316"/>
        <w:gridCol w:w="4714"/>
      </w:tblGrid>
      <w:tr>
        <w:trPr>
          <w:trHeight w:val="378" w:hRule="atLeast"/>
        </w:trPr>
        <w:tc>
          <w:tcPr>
            <w:shd w:val="clear" w:fill="C0504D"/>
            <w:tcW w:w="1220" w:type="dxa"/>
            <w:vAlign w:val="top"/>
            <w:tcBorders>
              <w:bottom w:val="single" w:color="C0504D" w:sz="10" w:space="0"/>
            </w:tcBorders>
          </w:tcPr>
          <w:p>
            <w:pPr>
              <w:pStyle w:val="TableText"/>
              <w:ind w:left="183"/>
              <w:spacing w:before="92" w:line="189" w:lineRule="auto"/>
              <w:rPr/>
            </w:pPr>
            <w:r>
              <w:rPr>
                <w:b/>
                <w:bCs/>
                <w:spacing w:val="8"/>
              </w:rPr>
              <w:t>公司代码</w:t>
            </w:r>
          </w:p>
        </w:tc>
        <w:tc>
          <w:tcPr>
            <w:shd w:val="clear" w:fill="C0504D"/>
            <w:tcW w:w="1120" w:type="dxa"/>
            <w:vAlign w:val="top"/>
            <w:tcBorders>
              <w:bottom w:val="single" w:color="C0504D" w:sz="10" w:space="0"/>
            </w:tcBorders>
          </w:tcPr>
          <w:p>
            <w:pPr>
              <w:pStyle w:val="TableText"/>
              <w:ind w:left="132"/>
              <w:spacing w:before="92" w:line="189" w:lineRule="auto"/>
              <w:rPr/>
            </w:pPr>
            <w:r>
              <w:rPr>
                <w:b/>
                <w:bCs/>
                <w:spacing w:val="8"/>
              </w:rPr>
              <w:t>公司简称</w:t>
            </w:r>
          </w:p>
        </w:tc>
        <w:tc>
          <w:tcPr>
            <w:shd w:val="clear" w:fill="C0504D"/>
            <w:tcW w:w="1316" w:type="dxa"/>
            <w:vAlign w:val="top"/>
            <w:tcBorders>
              <w:bottom w:val="single" w:color="C0504D" w:sz="10" w:space="0"/>
            </w:tcBorders>
          </w:tcPr>
          <w:p>
            <w:pPr>
              <w:pStyle w:val="TableText"/>
              <w:ind w:left="241"/>
              <w:spacing w:before="94" w:line="188" w:lineRule="auto"/>
              <w:rPr/>
            </w:pPr>
            <w:r>
              <w:rPr>
                <w:b/>
                <w:bCs/>
                <w:spacing w:val="5"/>
              </w:rPr>
              <w:t>函件类别</w:t>
            </w:r>
          </w:p>
        </w:tc>
        <w:tc>
          <w:tcPr>
            <w:shd w:val="clear" w:fill="C0504D"/>
            <w:tcW w:w="4714" w:type="dxa"/>
            <w:vAlign w:val="top"/>
            <w:tcBorders>
              <w:bottom w:val="single" w:color="C0504D" w:sz="10" w:space="0"/>
            </w:tcBorders>
          </w:tcPr>
          <w:p>
            <w:pPr>
              <w:pStyle w:val="TableText"/>
              <w:ind w:left="1931"/>
              <w:spacing w:before="92" w:line="189" w:lineRule="auto"/>
              <w:rPr/>
            </w:pPr>
            <w:r>
              <w:rPr>
                <w:b/>
                <w:bCs/>
                <w:spacing w:val="8"/>
              </w:rPr>
              <w:t>违规类型</w:t>
            </w:r>
          </w:p>
        </w:tc>
      </w:tr>
      <w:tr>
        <w:trPr>
          <w:trHeight w:val="1078" w:hRule="atLeast"/>
        </w:trPr>
        <w:tc>
          <w:tcPr>
            <w:tcW w:w="1220" w:type="dxa"/>
            <w:vAlign w:val="top"/>
            <w:tcBorders>
              <w:top w:val="single" w:color="C0504D" w:sz="10" w:space="0"/>
            </w:tcBorders>
          </w:tcPr>
          <w:p>
            <w:pPr>
              <w:pStyle w:val="TableText"/>
              <w:ind w:left="244"/>
              <w:spacing w:before="93" w:line="178" w:lineRule="auto"/>
              <w:rPr/>
            </w:pPr>
            <w:r>
              <w:rPr>
                <w:spacing w:val="3"/>
              </w:rPr>
              <w:t>603555</w:t>
            </w:r>
          </w:p>
        </w:tc>
        <w:tc>
          <w:tcPr>
            <w:tcW w:w="1120" w:type="dxa"/>
            <w:vAlign w:val="top"/>
            <w:tcBorders>
              <w:top w:val="single" w:color="C0504D" w:sz="10" w:space="0"/>
            </w:tcBorders>
          </w:tcPr>
          <w:p>
            <w:pPr>
              <w:pStyle w:val="TableText"/>
              <w:ind w:left="230"/>
              <w:spacing w:before="79" w:line="188" w:lineRule="auto"/>
              <w:rPr/>
            </w:pPr>
            <w:r>
              <w:rPr/>
              <w:t>ST</w:t>
            </w:r>
            <w:r>
              <w:rPr>
                <w:spacing w:val="8"/>
              </w:rPr>
              <w:t>贵人</w:t>
            </w:r>
          </w:p>
        </w:tc>
        <w:tc>
          <w:tcPr>
            <w:tcW w:w="1316" w:type="dxa"/>
            <w:vAlign w:val="top"/>
            <w:tcBorders>
              <w:top w:val="single" w:color="C0504D" w:sz="10" w:space="0"/>
            </w:tcBorders>
          </w:tcPr>
          <w:p>
            <w:pPr>
              <w:pStyle w:val="TableText"/>
              <w:ind w:left="231"/>
              <w:spacing w:before="78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4714" w:type="dxa"/>
            <w:vAlign w:val="top"/>
            <w:tcBorders>
              <w:top w:val="single" w:color="C0504D" w:sz="10" w:space="0"/>
            </w:tcBorders>
          </w:tcPr>
          <w:p>
            <w:pPr>
              <w:pStyle w:val="TableText"/>
              <w:ind w:left="4" w:right="77" w:firstLine="2"/>
              <w:spacing w:before="77" w:line="231" w:lineRule="auto"/>
              <w:jc w:val="both"/>
              <w:rPr/>
            </w:pPr>
            <w:r>
              <w:rPr>
                <w:spacing w:val="8"/>
              </w:rPr>
              <w:t>上市公司</w:t>
            </w:r>
            <w:r>
              <w:rPr>
                <w:b/>
                <w:bCs/>
                <w:spacing w:val="8"/>
              </w:rPr>
              <w:t>被立案调查</w:t>
            </w:r>
            <w:r>
              <w:rPr>
                <w:spacing w:val="8"/>
              </w:rPr>
              <w:t>相关情况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，应当以执法机关调</w:t>
            </w:r>
            <w:r>
              <w:rPr/>
              <w:t xml:space="preserve"> </w:t>
            </w:r>
            <w:r>
              <w:rPr>
                <w:spacing w:val="8"/>
              </w:rPr>
              <w:t>查结果为准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，公司擅自发表缺乏事实依据的不当言</w:t>
            </w:r>
            <w:r>
              <w:rPr/>
              <w:t xml:space="preserve"> </w:t>
            </w:r>
            <w:r>
              <w:rPr>
                <w:spacing w:val="4"/>
              </w:rPr>
              <w:t>论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，误导投资者。</w:t>
            </w:r>
          </w:p>
        </w:tc>
      </w:tr>
      <w:tr>
        <w:trPr>
          <w:trHeight w:val="723" w:hRule="atLeast"/>
        </w:trPr>
        <w:tc>
          <w:tcPr>
            <w:shd w:val="clear" w:fill="F2DCDC"/>
            <w:tcW w:w="1220" w:type="dxa"/>
            <w:vAlign w:val="top"/>
          </w:tcPr>
          <w:p>
            <w:pPr>
              <w:pStyle w:val="TableText"/>
              <w:ind w:left="244"/>
              <w:spacing w:before="97" w:line="179" w:lineRule="auto"/>
              <w:rPr/>
            </w:pPr>
            <w:r>
              <w:rPr>
                <w:spacing w:val="3"/>
              </w:rPr>
              <w:t>601555</w:t>
            </w:r>
          </w:p>
        </w:tc>
        <w:tc>
          <w:tcPr>
            <w:shd w:val="clear" w:fill="F2DCDC"/>
            <w:tcW w:w="1120" w:type="dxa"/>
            <w:vAlign w:val="top"/>
          </w:tcPr>
          <w:p>
            <w:pPr>
              <w:pStyle w:val="TableText"/>
              <w:ind w:left="130"/>
              <w:spacing w:before="84" w:line="189" w:lineRule="auto"/>
              <w:rPr/>
            </w:pPr>
            <w:r>
              <w:rPr>
                <w:spacing w:val="8"/>
              </w:rPr>
              <w:t>东吴证券</w:t>
            </w:r>
          </w:p>
        </w:tc>
        <w:tc>
          <w:tcPr>
            <w:shd w:val="clear" w:fill="F2DCDC"/>
            <w:tcW w:w="1316" w:type="dxa"/>
            <w:vAlign w:val="top"/>
          </w:tcPr>
          <w:p>
            <w:pPr>
              <w:pStyle w:val="TableText"/>
              <w:ind w:left="231"/>
              <w:spacing w:before="84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4714" w:type="dxa"/>
            <w:vAlign w:val="top"/>
          </w:tcPr>
          <w:p>
            <w:pPr>
              <w:pStyle w:val="TableText"/>
              <w:ind w:left="3" w:right="77"/>
              <w:spacing w:before="83" w:line="220" w:lineRule="auto"/>
              <w:rPr/>
            </w:pPr>
            <w:r>
              <w:rPr>
                <w:spacing w:val="9"/>
              </w:rPr>
              <w:t>公司选举</w:t>
            </w:r>
            <w:r>
              <w:rPr>
                <w:b/>
                <w:bCs/>
                <w:spacing w:val="9"/>
              </w:rPr>
              <w:t>独立董事</w:t>
            </w:r>
            <w:r>
              <w:rPr>
                <w:spacing w:val="9"/>
              </w:rPr>
              <w:t>未在规定时间内履行</w:t>
            </w:r>
            <w:r>
              <w:rPr>
                <w:b/>
                <w:bCs/>
                <w:spacing w:val="9"/>
              </w:rPr>
              <w:t>报送材料</w:t>
            </w:r>
            <w:r>
              <w:rPr>
                <w:spacing w:val="9"/>
              </w:rPr>
              <w:t>的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6"/>
              </w:rPr>
              <w:t>相关程序。</w:t>
            </w:r>
          </w:p>
        </w:tc>
      </w:tr>
      <w:tr>
        <w:trPr>
          <w:trHeight w:val="723" w:hRule="atLeast"/>
        </w:trPr>
        <w:tc>
          <w:tcPr>
            <w:tcW w:w="1220" w:type="dxa"/>
            <w:vAlign w:val="top"/>
          </w:tcPr>
          <w:p>
            <w:pPr>
              <w:pStyle w:val="TableText"/>
              <w:ind w:left="244"/>
              <w:spacing w:before="103" w:line="178" w:lineRule="auto"/>
              <w:rPr/>
            </w:pPr>
            <w:r>
              <w:rPr>
                <w:spacing w:val="3"/>
              </w:rPr>
              <w:t>600082</w:t>
            </w:r>
          </w:p>
        </w:tc>
        <w:tc>
          <w:tcPr>
            <w:tcW w:w="1120" w:type="dxa"/>
            <w:vAlign w:val="top"/>
          </w:tcPr>
          <w:p>
            <w:pPr>
              <w:pStyle w:val="TableText"/>
              <w:ind w:left="131"/>
              <w:spacing w:before="88" w:line="189" w:lineRule="auto"/>
              <w:rPr/>
            </w:pPr>
            <w:r>
              <w:rPr>
                <w:spacing w:val="8"/>
              </w:rPr>
              <w:t>海泰发展</w:t>
            </w:r>
          </w:p>
        </w:tc>
        <w:tc>
          <w:tcPr>
            <w:tcW w:w="1316" w:type="dxa"/>
            <w:vAlign w:val="top"/>
          </w:tcPr>
          <w:p>
            <w:pPr>
              <w:pStyle w:val="TableText"/>
              <w:ind w:left="231"/>
              <w:spacing w:before="88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4714" w:type="dxa"/>
            <w:vAlign w:val="top"/>
          </w:tcPr>
          <w:p>
            <w:pPr>
              <w:pStyle w:val="TableText"/>
              <w:ind w:left="3" w:right="80"/>
              <w:spacing w:before="86" w:line="219" w:lineRule="auto"/>
              <w:rPr/>
            </w:pPr>
            <w:r>
              <w:rPr>
                <w:spacing w:val="9"/>
              </w:rPr>
              <w:t>公司在上交所尚</w:t>
            </w:r>
            <w:r>
              <w:rPr>
                <w:b/>
                <w:bCs/>
                <w:spacing w:val="9"/>
              </w:rPr>
              <w:t>未审核通过</w:t>
            </w:r>
            <w:r>
              <w:rPr>
                <w:spacing w:val="9"/>
              </w:rPr>
              <w:t>相关报送材料前即召开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>股东大会选举独立董事。</w:t>
            </w:r>
          </w:p>
        </w:tc>
      </w:tr>
      <w:tr>
        <w:trPr>
          <w:trHeight w:val="723" w:hRule="atLeast"/>
        </w:trPr>
        <w:tc>
          <w:tcPr>
            <w:shd w:val="clear" w:fill="F2DCDC"/>
            <w:tcW w:w="1220" w:type="dxa"/>
            <w:vAlign w:val="top"/>
          </w:tcPr>
          <w:p>
            <w:pPr>
              <w:pStyle w:val="TableText"/>
              <w:ind w:left="244"/>
              <w:spacing w:before="102" w:line="179" w:lineRule="auto"/>
              <w:rPr/>
            </w:pPr>
            <w:r>
              <w:rPr>
                <w:spacing w:val="3"/>
              </w:rPr>
              <w:t>600661</w:t>
            </w:r>
          </w:p>
        </w:tc>
        <w:tc>
          <w:tcPr>
            <w:shd w:val="clear" w:fill="F2DCDC"/>
            <w:tcW w:w="1120" w:type="dxa"/>
            <w:vAlign w:val="top"/>
          </w:tcPr>
          <w:p>
            <w:pPr>
              <w:pStyle w:val="TableText"/>
              <w:ind w:left="140"/>
              <w:spacing w:before="88" w:line="190" w:lineRule="auto"/>
              <w:rPr/>
            </w:pPr>
            <w:r>
              <w:rPr>
                <w:spacing w:val="6"/>
              </w:rPr>
              <w:t>昂立教育</w:t>
            </w:r>
          </w:p>
        </w:tc>
        <w:tc>
          <w:tcPr>
            <w:shd w:val="clear" w:fill="F2DCDC"/>
            <w:tcW w:w="1316" w:type="dxa"/>
            <w:vAlign w:val="top"/>
          </w:tcPr>
          <w:p>
            <w:pPr>
              <w:pStyle w:val="TableText"/>
              <w:ind w:left="231"/>
              <w:spacing w:before="89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4714" w:type="dxa"/>
            <w:vAlign w:val="top"/>
          </w:tcPr>
          <w:p>
            <w:pPr>
              <w:pStyle w:val="TableText"/>
              <w:ind w:left="3" w:right="154"/>
              <w:spacing w:before="49" w:line="232" w:lineRule="auto"/>
              <w:rPr/>
            </w:pPr>
            <w:r>
              <w:rPr>
                <w:spacing w:val="9"/>
              </w:rPr>
              <w:t>公司持股5%以上股东在连续90日内通过</w:t>
            </w:r>
            <w:r>
              <w:rPr>
                <w:b/>
                <w:bCs/>
                <w:spacing w:val="9"/>
              </w:rPr>
              <w:t>集中竞价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  <w:spacing w:val="8"/>
              </w:rPr>
              <w:t>减持公司股份超过1%。</w:t>
            </w:r>
          </w:p>
        </w:tc>
      </w:tr>
      <w:tr>
        <w:trPr>
          <w:trHeight w:val="1082" w:hRule="atLeast"/>
        </w:trPr>
        <w:tc>
          <w:tcPr>
            <w:tcW w:w="1220" w:type="dxa"/>
            <w:vAlign w:val="top"/>
          </w:tcPr>
          <w:p>
            <w:pPr>
              <w:pStyle w:val="TableText"/>
              <w:ind w:left="244"/>
              <w:spacing w:before="106" w:line="179" w:lineRule="auto"/>
              <w:rPr/>
            </w:pPr>
            <w:r>
              <w:rPr>
                <w:spacing w:val="3"/>
              </w:rPr>
              <w:t>600641</w:t>
            </w:r>
          </w:p>
        </w:tc>
        <w:tc>
          <w:tcPr>
            <w:tcW w:w="1120" w:type="dxa"/>
            <w:vAlign w:val="top"/>
          </w:tcPr>
          <w:p>
            <w:pPr>
              <w:pStyle w:val="TableText"/>
              <w:ind w:left="132"/>
              <w:spacing w:before="95" w:line="187" w:lineRule="auto"/>
              <w:rPr/>
            </w:pPr>
            <w:r>
              <w:rPr>
                <w:spacing w:val="8"/>
              </w:rPr>
              <w:t>万业企业</w:t>
            </w:r>
          </w:p>
        </w:tc>
        <w:tc>
          <w:tcPr>
            <w:tcW w:w="1316" w:type="dxa"/>
            <w:vAlign w:val="top"/>
          </w:tcPr>
          <w:p>
            <w:pPr>
              <w:pStyle w:val="TableText"/>
              <w:ind w:left="230"/>
              <w:spacing w:before="94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4714" w:type="dxa"/>
            <w:vAlign w:val="top"/>
          </w:tcPr>
          <w:p>
            <w:pPr>
              <w:pStyle w:val="TableText"/>
              <w:ind w:left="3" w:right="80"/>
              <w:spacing w:before="94" w:line="228" w:lineRule="auto"/>
              <w:jc w:val="both"/>
              <w:rPr/>
            </w:pPr>
            <w:r>
              <w:rPr>
                <w:spacing w:val="9"/>
              </w:rPr>
              <w:t>公司股东通过证券交易所的证券交易未按规定在减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>持公司股份</w:t>
            </w:r>
            <w:r>
              <w:rPr>
                <w:b/>
                <w:bCs/>
                <w:spacing w:val="8"/>
              </w:rPr>
              <w:t>达到5%时</w:t>
            </w:r>
            <w:r>
              <w:rPr>
                <w:spacing w:val="8"/>
              </w:rPr>
              <w:t>及时停止交易并披露权益变  </w:t>
            </w:r>
            <w:r>
              <w:rPr>
                <w:spacing w:val="6"/>
              </w:rPr>
              <w:t>动报告书。</w:t>
            </w:r>
          </w:p>
        </w:tc>
      </w:tr>
      <w:tr>
        <w:trPr>
          <w:trHeight w:val="1082" w:hRule="atLeast"/>
        </w:trPr>
        <w:tc>
          <w:tcPr>
            <w:shd w:val="clear" w:fill="F2DCDC"/>
            <w:tcW w:w="1220" w:type="dxa"/>
            <w:vAlign w:val="top"/>
          </w:tcPr>
          <w:p>
            <w:pPr>
              <w:pStyle w:val="TableText"/>
              <w:ind w:left="244"/>
              <w:spacing w:before="110" w:line="179" w:lineRule="auto"/>
              <w:rPr/>
            </w:pPr>
            <w:r>
              <w:rPr>
                <w:spacing w:val="3"/>
              </w:rPr>
              <w:t>600185</w:t>
            </w:r>
          </w:p>
        </w:tc>
        <w:tc>
          <w:tcPr>
            <w:shd w:val="clear" w:fill="F2DCDC"/>
            <w:tcW w:w="1120" w:type="dxa"/>
            <w:vAlign w:val="top"/>
          </w:tcPr>
          <w:p>
            <w:pPr>
              <w:pStyle w:val="TableText"/>
              <w:ind w:left="131"/>
              <w:spacing w:before="97" w:line="189" w:lineRule="auto"/>
              <w:rPr/>
            </w:pPr>
            <w:r>
              <w:rPr>
                <w:spacing w:val="8"/>
              </w:rPr>
              <w:t>格力地产</w:t>
            </w:r>
          </w:p>
        </w:tc>
        <w:tc>
          <w:tcPr>
            <w:shd w:val="clear" w:fill="F2DCDC"/>
            <w:tcW w:w="1316" w:type="dxa"/>
            <w:vAlign w:val="top"/>
          </w:tcPr>
          <w:p>
            <w:pPr>
              <w:pStyle w:val="TableText"/>
              <w:ind w:left="230"/>
              <w:spacing w:before="99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F2DCDC"/>
            <w:tcW w:w="4714" w:type="dxa"/>
            <w:vAlign w:val="top"/>
          </w:tcPr>
          <w:p>
            <w:pPr>
              <w:pStyle w:val="TableText"/>
              <w:ind w:left="3" w:right="80"/>
              <w:spacing w:before="98" w:line="227" w:lineRule="auto"/>
              <w:rPr/>
            </w:pPr>
            <w:r>
              <w:rPr>
                <w:spacing w:val="8"/>
              </w:rPr>
              <w:t>公司未准确计量存货、资产减值等多项会计科目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，</w:t>
            </w:r>
            <w:r>
              <w:rPr/>
              <w:t xml:space="preserve"> </w:t>
            </w:r>
            <w:r>
              <w:rPr>
                <w:spacing w:val="9"/>
              </w:rPr>
              <w:t>导致债券发行公告、募集说明书、多期定期报告披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8"/>
              </w:rPr>
              <w:t>露的</w:t>
            </w:r>
            <w:r>
              <w:rPr>
                <w:b/>
                <w:bCs/>
                <w:spacing w:val="8"/>
              </w:rPr>
              <w:t>财务数据不准确。</w:t>
            </w:r>
          </w:p>
        </w:tc>
      </w:tr>
      <w:tr>
        <w:trPr>
          <w:trHeight w:val="723" w:hRule="atLeast"/>
        </w:trPr>
        <w:tc>
          <w:tcPr>
            <w:tcW w:w="1220" w:type="dxa"/>
            <w:vAlign w:val="top"/>
          </w:tcPr>
          <w:p>
            <w:pPr>
              <w:pStyle w:val="TableText"/>
              <w:ind w:left="244"/>
              <w:spacing w:before="114" w:line="178" w:lineRule="auto"/>
              <w:rPr/>
            </w:pPr>
            <w:r>
              <w:rPr>
                <w:spacing w:val="3"/>
              </w:rPr>
              <w:t>600696</w:t>
            </w:r>
          </w:p>
        </w:tc>
        <w:tc>
          <w:tcPr>
            <w:tcW w:w="1120" w:type="dxa"/>
            <w:vAlign w:val="top"/>
          </w:tcPr>
          <w:p>
            <w:pPr>
              <w:pStyle w:val="TableText"/>
              <w:ind w:left="131"/>
              <w:spacing w:before="101" w:line="188" w:lineRule="auto"/>
              <w:rPr/>
            </w:pPr>
            <w:r>
              <w:rPr>
                <w:spacing w:val="8"/>
              </w:rPr>
              <w:t>岩石股份</w:t>
            </w:r>
          </w:p>
        </w:tc>
        <w:tc>
          <w:tcPr>
            <w:tcW w:w="1316" w:type="dxa"/>
            <w:vAlign w:val="top"/>
          </w:tcPr>
          <w:p>
            <w:pPr>
              <w:pStyle w:val="TableText"/>
              <w:ind w:left="230"/>
              <w:spacing w:before="102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tcW w:w="4714" w:type="dxa"/>
            <w:vAlign w:val="top"/>
          </w:tcPr>
          <w:p>
            <w:pPr>
              <w:pStyle w:val="TableText"/>
              <w:ind w:left="2" w:right="209" w:firstLine="1"/>
              <w:spacing w:before="98" w:line="215" w:lineRule="auto"/>
              <w:rPr/>
            </w:pPr>
            <w:r>
              <w:rPr>
                <w:spacing w:val="5"/>
              </w:rPr>
              <w:t>岩石股份2017年、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2018年、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2019年、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2020</w:t>
            </w:r>
            <w:r>
              <w:rPr>
                <w:spacing w:val="4"/>
              </w:rPr>
              <w:t>年年</w:t>
            </w:r>
            <w:r>
              <w:rPr/>
              <w:t xml:space="preserve"> </w:t>
            </w:r>
            <w:r>
              <w:rPr>
                <w:spacing w:val="8"/>
              </w:rPr>
              <w:t>度报告存在</w:t>
            </w:r>
            <w:r>
              <w:rPr>
                <w:b/>
                <w:bCs/>
                <w:spacing w:val="8"/>
              </w:rPr>
              <w:t>虚假记载。</w:t>
            </w:r>
          </w:p>
        </w:tc>
      </w:tr>
      <w:tr>
        <w:trPr>
          <w:trHeight w:val="1808" w:hRule="atLeast"/>
        </w:trPr>
        <w:tc>
          <w:tcPr>
            <w:shd w:val="clear" w:fill="F2DCDC"/>
            <w:tcW w:w="1220" w:type="dxa"/>
            <w:vAlign w:val="top"/>
          </w:tcPr>
          <w:p>
            <w:pPr>
              <w:pStyle w:val="TableText"/>
              <w:ind w:left="244"/>
              <w:spacing w:before="118" w:line="178" w:lineRule="auto"/>
              <w:rPr/>
            </w:pPr>
            <w:r>
              <w:rPr>
                <w:spacing w:val="3"/>
              </w:rPr>
              <w:t>603220</w:t>
            </w:r>
          </w:p>
        </w:tc>
        <w:tc>
          <w:tcPr>
            <w:shd w:val="clear" w:fill="F2DCDC"/>
            <w:tcW w:w="1120" w:type="dxa"/>
            <w:vAlign w:val="top"/>
          </w:tcPr>
          <w:p>
            <w:pPr>
              <w:pStyle w:val="TableText"/>
              <w:ind w:left="145"/>
              <w:spacing w:before="103" w:line="189" w:lineRule="auto"/>
              <w:rPr/>
            </w:pPr>
            <w:r>
              <w:rPr>
                <w:spacing w:val="5"/>
              </w:rPr>
              <w:t>中贝通信</w:t>
            </w:r>
          </w:p>
        </w:tc>
        <w:tc>
          <w:tcPr>
            <w:shd w:val="clear" w:fill="F2DCDC"/>
            <w:tcW w:w="1316" w:type="dxa"/>
            <w:vAlign w:val="top"/>
          </w:tcPr>
          <w:p>
            <w:pPr>
              <w:pStyle w:val="TableText"/>
              <w:ind w:left="230"/>
              <w:spacing w:before="104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F2DCDC"/>
            <w:tcW w:w="4714" w:type="dxa"/>
            <w:vAlign w:val="top"/>
          </w:tcPr>
          <w:p>
            <w:pPr>
              <w:pStyle w:val="TableText"/>
              <w:ind w:left="2" w:right="80" w:firstLine="1"/>
              <w:spacing w:before="103" w:line="237" w:lineRule="auto"/>
              <w:jc w:val="both"/>
              <w:rPr/>
            </w:pPr>
            <w:r>
              <w:rPr>
                <w:spacing w:val="8"/>
              </w:rPr>
              <w:t>公司算力中心建设事项为市场高度关注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，属于可能</w:t>
            </w:r>
            <w:r>
              <w:rPr/>
              <w:t xml:space="preserve"> </w:t>
            </w:r>
            <w:r>
              <w:rPr>
                <w:spacing w:val="9"/>
              </w:rPr>
              <w:t>对公司股票价格产生较大影响的重大信息。公司及</w:t>
            </w:r>
            <w:r>
              <w:rPr>
                <w:spacing w:val="17"/>
              </w:rPr>
              <w:t xml:space="preserve"> </w:t>
            </w:r>
            <w:r>
              <w:rPr>
                <w:spacing w:val="8"/>
              </w:rPr>
              <w:t>有关责任人于8月14日至8月20日期间通过微信公  </w:t>
            </w:r>
            <w:r>
              <w:rPr>
                <w:spacing w:val="9"/>
              </w:rPr>
              <w:t>众号、接受采访等渠道先于法定媒体发布相关信息</w:t>
            </w:r>
            <w:r>
              <w:rPr>
                <w:spacing w:val="17"/>
              </w:rPr>
              <w:t xml:space="preserve"> </w:t>
            </w:r>
            <w:r>
              <w:rPr>
                <w:spacing w:val="7"/>
              </w:rPr>
              <w:t>,  发布后股价触及异常波动。</w:t>
            </w:r>
            <w:r>
              <w:rPr>
                <w:spacing w:val="-20"/>
              </w:rPr>
              <w:t xml:space="preserve"> </w:t>
            </w:r>
            <w:r>
              <w:rPr>
                <w:spacing w:val="7"/>
              </w:rPr>
              <w:t>同时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，公司在8月24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374" w:right="575" w:bottom="195" w:left="463" w:header="0" w:footer="0" w:gutter="0"/>
        </w:sectPr>
        <w:rPr>
          <w:sz w:val="2"/>
          <w:szCs w:val="2"/>
        </w:rPr>
      </w:pPr>
    </w:p>
    <w:tbl>
      <w:tblPr>
        <w:tblStyle w:val="TableNormal"/>
        <w:tblW w:w="8370" w:type="dxa"/>
        <w:tblInd w:w="1661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20"/>
        <w:gridCol w:w="1120"/>
        <w:gridCol w:w="1316"/>
        <w:gridCol w:w="4714"/>
      </w:tblGrid>
      <w:tr>
        <w:trPr>
          <w:trHeight w:val="3980" w:hRule="atLeast"/>
        </w:trPr>
        <w:tc>
          <w:tcPr>
            <w:shd w:val="clear" w:fill="F2DCDC"/>
            <w:tcW w:w="1220" w:type="dxa"/>
            <w:vAlign w:val="top"/>
            <w:tcBorders>
              <w:top w:val="single" w:color="C0504D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F2DCDC"/>
            <w:tcW w:w="1120" w:type="dxa"/>
            <w:vAlign w:val="top"/>
            <w:tcBorders>
              <w:top w:val="single" w:color="C0504D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F2DCDC"/>
            <w:tcW w:w="1316" w:type="dxa"/>
            <w:vAlign w:val="top"/>
            <w:tcBorders>
              <w:top w:val="single" w:color="C0504D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F2DCDC"/>
            <w:tcW w:w="4714" w:type="dxa"/>
            <w:vAlign w:val="top"/>
            <w:tcBorders>
              <w:top w:val="single" w:color="C0504D" w:sz="2" w:space="0"/>
            </w:tcBorders>
          </w:tcPr>
          <w:p>
            <w:pPr>
              <w:pStyle w:val="TableText"/>
              <w:ind w:left="4" w:right="44" w:firstLine="28"/>
              <w:spacing w:before="103" w:line="236" w:lineRule="auto"/>
              <w:rPr/>
            </w:pPr>
            <w:r>
              <w:rPr>
                <w:spacing w:val="8"/>
              </w:rPr>
              <w:t>日的异常波动公告中未披露正在筹划中的重大</w:t>
            </w:r>
            <w:r>
              <w:rPr>
                <w:spacing w:val="7"/>
              </w:rPr>
              <w:t>事项 </w:t>
            </w:r>
            <w:r>
              <w:rPr>
                <w:spacing w:val="9"/>
              </w:rPr>
              <w:t>,  而是称不存在应披露而未披露的信息</w:t>
            </w:r>
            <w:r>
              <w:rPr>
                <w:spacing w:val="-28"/>
              </w:rPr>
              <w:t xml:space="preserve"> </w:t>
            </w:r>
            <w:r>
              <w:rPr>
                <w:spacing w:val="9"/>
              </w:rPr>
              <w:t>，</w:t>
            </w:r>
            <w:r>
              <w:rPr>
                <w:spacing w:val="8"/>
              </w:rPr>
              <w:t>迟至8月</w:t>
            </w:r>
            <w:r>
              <w:rPr/>
              <w:t xml:space="preserve">   </w:t>
            </w:r>
            <w:r>
              <w:rPr>
                <w:spacing w:val="6"/>
              </w:rPr>
              <w:t>29日才予以公告</w:t>
            </w:r>
            <w:r>
              <w:rPr>
                <w:spacing w:val="-9"/>
              </w:rPr>
              <w:t xml:space="preserve"> </w:t>
            </w:r>
            <w:r>
              <w:rPr>
                <w:spacing w:val="6"/>
              </w:rPr>
              <w:t>，</w:t>
            </w:r>
            <w:r>
              <w:rPr>
                <w:b/>
                <w:bCs/>
                <w:spacing w:val="6"/>
              </w:rPr>
              <w:t>信息披露不及时、不公平</w:t>
            </w:r>
            <w:r>
              <w:rPr>
                <w:b/>
                <w:bCs/>
                <w:spacing w:val="-33"/>
              </w:rPr>
              <w:t xml:space="preserve"> </w:t>
            </w:r>
            <w:r>
              <w:rPr>
                <w:b/>
                <w:bCs/>
                <w:spacing w:val="6"/>
              </w:rPr>
              <w:t>，且信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9"/>
              </w:rPr>
              <w:t>息披露前后不一致</w:t>
            </w:r>
            <w:r>
              <w:rPr>
                <w:spacing w:val="9"/>
              </w:rPr>
              <w:t>；公司在筹划对外投资过程中，</w:t>
            </w:r>
          </w:p>
          <w:p>
            <w:pPr>
              <w:pStyle w:val="TableText"/>
              <w:ind w:left="3" w:right="8"/>
              <w:spacing w:before="91" w:line="239" w:lineRule="auto"/>
              <w:rPr/>
            </w:pPr>
            <w:r>
              <w:rPr>
                <w:spacing w:val="8"/>
              </w:rPr>
              <w:t>合作方在微信公众号发布相关合作信息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，公司股价</w:t>
            </w:r>
            <w:r>
              <w:rPr/>
              <w:t xml:space="preserve">  </w:t>
            </w:r>
            <w:r>
              <w:rPr>
                <w:spacing w:val="8"/>
              </w:rPr>
              <w:t>触及涨幅异常波动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，公司在股票交易异常波动公告</w:t>
            </w:r>
            <w:r>
              <w:rPr/>
              <w:t xml:space="preserve">  </w:t>
            </w:r>
            <w:r>
              <w:rPr>
                <w:spacing w:val="7"/>
              </w:rPr>
              <w:t>中未及时披露合作事项</w:t>
            </w:r>
            <w:r>
              <w:rPr>
                <w:spacing w:val="-11"/>
              </w:rPr>
              <w:t xml:space="preserve"> </w:t>
            </w:r>
            <w:r>
              <w:rPr>
                <w:spacing w:val="7"/>
              </w:rPr>
              <w:t>，直至10月12日才予以公告</w:t>
            </w:r>
            <w:r>
              <w:rPr/>
              <w:t xml:space="preserve"> </w:t>
            </w:r>
            <w:r>
              <w:rPr>
                <w:spacing w:val="8"/>
              </w:rPr>
              <w:t>,  </w:t>
            </w:r>
            <w:r>
              <w:rPr>
                <w:b/>
                <w:bCs/>
                <w:spacing w:val="8"/>
              </w:rPr>
              <w:t>相关信息披露不及时</w:t>
            </w:r>
            <w:r>
              <w:rPr>
                <w:spacing w:val="8"/>
              </w:rPr>
              <w:t>。</w:t>
            </w:r>
            <w:r>
              <w:rPr>
                <w:spacing w:val="-33"/>
              </w:rPr>
              <w:t xml:space="preserve"> </w:t>
            </w:r>
            <w:r>
              <w:rPr>
                <w:spacing w:val="8"/>
              </w:rPr>
              <w:t>同时</w:t>
            </w:r>
            <w:r>
              <w:rPr>
                <w:spacing w:val="-28"/>
              </w:rPr>
              <w:t xml:space="preserve"> </w:t>
            </w:r>
            <w:r>
              <w:rPr>
                <w:spacing w:val="8"/>
              </w:rPr>
              <w:t>，后续双方签订</w:t>
            </w:r>
            <w:r>
              <w:rPr>
                <w:spacing w:val="7"/>
              </w:rPr>
              <w:t>招商</w:t>
            </w:r>
            <w:r>
              <w:rPr/>
              <w:t xml:space="preserve">  </w:t>
            </w:r>
            <w:r>
              <w:rPr>
                <w:spacing w:val="7"/>
              </w:rPr>
              <w:t>引资协议</w:t>
            </w:r>
            <w:r>
              <w:rPr>
                <w:spacing w:val="-8"/>
              </w:rPr>
              <w:t xml:space="preserve"> </w:t>
            </w:r>
            <w:r>
              <w:rPr>
                <w:spacing w:val="7"/>
              </w:rPr>
              <w:t>，公司未及时披露该</w:t>
            </w:r>
            <w:r>
              <w:rPr>
                <w:b/>
                <w:bCs/>
                <w:spacing w:val="7"/>
              </w:rPr>
              <w:t>重大投资进展</w:t>
            </w:r>
            <w:r>
              <w:rPr>
                <w:spacing w:val="7"/>
              </w:rPr>
              <w:t>情况，</w:t>
            </w:r>
          </w:p>
          <w:p>
            <w:pPr>
              <w:pStyle w:val="TableText"/>
              <w:ind w:left="4" w:right="77"/>
              <w:spacing w:before="87" w:line="220" w:lineRule="auto"/>
              <w:rPr/>
            </w:pPr>
            <w:r>
              <w:rPr>
                <w:spacing w:val="9"/>
              </w:rPr>
              <w:t>且该重大投资未及时</w:t>
            </w:r>
            <w:r>
              <w:rPr>
                <w:b/>
                <w:bCs/>
                <w:spacing w:val="9"/>
              </w:rPr>
              <w:t>履行董事会、股东大会的决策</w:t>
            </w:r>
            <w:r>
              <w:rPr>
                <w:b/>
                <w:bCs/>
                <w:spacing w:val="17"/>
                <w:w w:val="101"/>
              </w:rPr>
              <w:t xml:space="preserve"> </w:t>
            </w:r>
            <w:r>
              <w:rPr>
                <w:b/>
                <w:bCs/>
                <w:spacing w:val="4"/>
              </w:rPr>
              <w:t>程序。</w:t>
            </w:r>
          </w:p>
        </w:tc>
      </w:tr>
      <w:tr>
        <w:trPr>
          <w:trHeight w:val="1444" w:hRule="atLeast"/>
        </w:trPr>
        <w:tc>
          <w:tcPr>
            <w:tcW w:w="1220" w:type="dxa"/>
            <w:vAlign w:val="top"/>
          </w:tcPr>
          <w:p>
            <w:pPr>
              <w:pStyle w:val="TableText"/>
              <w:ind w:left="244"/>
              <w:spacing w:before="104" w:line="178" w:lineRule="auto"/>
              <w:rPr/>
            </w:pPr>
            <w:r>
              <w:rPr>
                <w:spacing w:val="3"/>
              </w:rPr>
              <w:t>600387</w:t>
            </w:r>
          </w:p>
        </w:tc>
        <w:tc>
          <w:tcPr>
            <w:tcW w:w="1120" w:type="dxa"/>
            <w:vAlign w:val="top"/>
          </w:tcPr>
          <w:p>
            <w:pPr>
              <w:pStyle w:val="TableText"/>
              <w:ind w:left="230"/>
              <w:spacing w:before="89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海越</w:t>
            </w:r>
          </w:p>
        </w:tc>
        <w:tc>
          <w:tcPr>
            <w:tcW w:w="1316" w:type="dxa"/>
            <w:vAlign w:val="top"/>
          </w:tcPr>
          <w:p>
            <w:pPr>
              <w:pStyle w:val="TableText"/>
              <w:ind w:left="337" w:right="24" w:hanging="316"/>
              <w:spacing w:before="90" w:line="220" w:lineRule="auto"/>
              <w:rPr/>
            </w:pPr>
            <w:r>
              <w:rPr>
                <w:spacing w:val="9"/>
              </w:rPr>
              <w:t>通报批评、公</w:t>
            </w:r>
            <w:r>
              <w:rPr/>
              <w:t xml:space="preserve"> </w:t>
            </w:r>
            <w:r>
              <w:rPr>
                <w:spacing w:val="8"/>
              </w:rPr>
              <w:t>开谴责</w:t>
            </w:r>
          </w:p>
        </w:tc>
        <w:tc>
          <w:tcPr>
            <w:tcW w:w="4714" w:type="dxa"/>
            <w:vAlign w:val="top"/>
          </w:tcPr>
          <w:p>
            <w:pPr>
              <w:pStyle w:val="TableText"/>
              <w:ind w:left="2" w:right="5" w:firstLine="1"/>
              <w:spacing w:before="89" w:line="235" w:lineRule="auto"/>
              <w:jc w:val="both"/>
              <w:rPr/>
            </w:pPr>
            <w:r>
              <w:rPr>
                <w:spacing w:val="8"/>
              </w:rPr>
              <w:t>控股股东及其关联方</w:t>
            </w:r>
            <w:r>
              <w:rPr>
                <w:b/>
                <w:bCs/>
                <w:spacing w:val="8"/>
              </w:rPr>
              <w:t>非经营性资金占用</w:t>
            </w:r>
            <w:r>
              <w:rPr>
                <w:spacing w:val="8"/>
              </w:rPr>
              <w:t>；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2022年一</w:t>
            </w:r>
            <w:r>
              <w:rPr/>
              <w:t xml:space="preserve"> </w:t>
            </w:r>
            <w:r>
              <w:rPr>
                <w:spacing w:val="8"/>
              </w:rPr>
              <w:t>季度、半年度、三季度报告</w:t>
            </w:r>
            <w:r>
              <w:rPr>
                <w:b/>
                <w:bCs/>
                <w:spacing w:val="8"/>
              </w:rPr>
              <w:t>披露不准确</w:t>
            </w:r>
            <w:r>
              <w:rPr>
                <w:spacing w:val="8"/>
              </w:rPr>
              <w:t>；</w:t>
            </w:r>
            <w:r>
              <w:rPr>
                <w:spacing w:val="-33"/>
              </w:rPr>
              <w:t xml:space="preserve"> </w:t>
            </w:r>
            <w:r>
              <w:rPr>
                <w:spacing w:val="8"/>
              </w:rPr>
              <w:t>2021年三</w:t>
            </w:r>
            <w:r>
              <w:rPr/>
              <w:t xml:space="preserve"> </w:t>
            </w:r>
            <w:r>
              <w:rPr>
                <w:spacing w:val="7"/>
              </w:rPr>
              <w:t>季报、年报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，</w:t>
            </w:r>
            <w:r>
              <w:rPr>
                <w:spacing w:val="-39"/>
              </w:rPr>
              <w:t xml:space="preserve"> </w:t>
            </w:r>
            <w:r>
              <w:rPr>
                <w:spacing w:val="7"/>
              </w:rPr>
              <w:t>2022年半年报、三季报、年报</w:t>
            </w:r>
            <w:r>
              <w:rPr>
                <w:b/>
                <w:bCs/>
                <w:spacing w:val="7"/>
              </w:rPr>
              <w:t>披露不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9"/>
              </w:rPr>
              <w:t>准确</w:t>
            </w:r>
            <w:r>
              <w:rPr>
                <w:spacing w:val="9"/>
              </w:rPr>
              <w:t>；未依规</w:t>
            </w:r>
            <w:r>
              <w:rPr>
                <w:b/>
                <w:bCs/>
                <w:spacing w:val="9"/>
              </w:rPr>
              <w:t>及时回复重大事项监管问询</w:t>
            </w:r>
            <w:r>
              <w:rPr>
                <w:spacing w:val="9"/>
              </w:rPr>
              <w:t>。</w:t>
            </w:r>
          </w:p>
        </w:tc>
      </w:tr>
      <w:tr>
        <w:trPr>
          <w:trHeight w:val="1443" w:hRule="atLeast"/>
        </w:trPr>
        <w:tc>
          <w:tcPr>
            <w:shd w:val="clear" w:fill="F2DCDC"/>
            <w:tcW w:w="1220" w:type="dxa"/>
            <w:vAlign w:val="top"/>
          </w:tcPr>
          <w:p>
            <w:pPr>
              <w:pStyle w:val="TableText"/>
              <w:ind w:left="244"/>
              <w:spacing w:before="104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F2DCDC"/>
            <w:tcW w:w="1120" w:type="dxa"/>
            <w:vAlign w:val="top"/>
          </w:tcPr>
          <w:p>
            <w:pPr>
              <w:pStyle w:val="TableText"/>
              <w:ind w:left="230"/>
              <w:spacing w:before="89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起步</w:t>
            </w:r>
          </w:p>
        </w:tc>
        <w:tc>
          <w:tcPr>
            <w:shd w:val="clear" w:fill="F2DCDC"/>
            <w:tcW w:w="1316" w:type="dxa"/>
            <w:vAlign w:val="top"/>
          </w:tcPr>
          <w:p>
            <w:pPr>
              <w:pStyle w:val="TableText"/>
              <w:ind w:left="230"/>
              <w:spacing w:before="92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shd w:val="clear" w:fill="F2DCDC"/>
            <w:tcW w:w="4714" w:type="dxa"/>
            <w:vAlign w:val="top"/>
          </w:tcPr>
          <w:p>
            <w:pPr>
              <w:pStyle w:val="TableText"/>
              <w:ind w:left="3" w:right="8"/>
              <w:spacing w:before="88" w:line="235" w:lineRule="auto"/>
              <w:jc w:val="both"/>
              <w:rPr/>
            </w:pPr>
            <w:r>
              <w:rPr>
                <w:spacing w:val="9"/>
              </w:rPr>
              <w:t>起步股份有限公司以虚构采购、销售业务等方式虚</w:t>
            </w:r>
            <w:r>
              <w:rPr>
                <w:spacing w:val="7"/>
              </w:rPr>
              <w:t xml:space="preserve">  </w:t>
            </w:r>
            <w:r>
              <w:rPr>
                <w:spacing w:val="8"/>
              </w:rPr>
              <w:t>增营业收入、营业成本、利润总额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，定期报告存在</w:t>
            </w:r>
            <w:r>
              <w:rPr/>
              <w:t xml:space="preserve">  </w:t>
            </w:r>
            <w:r>
              <w:rPr>
                <w:b/>
                <w:bCs/>
                <w:spacing w:val="6"/>
              </w:rPr>
              <w:t>虚假记载、重大遗漏</w:t>
            </w:r>
            <w:r>
              <w:rPr>
                <w:spacing w:val="6"/>
              </w:rPr>
              <w:t>。</w:t>
            </w:r>
            <w:r>
              <w:rPr>
                <w:spacing w:val="-21"/>
              </w:rPr>
              <w:t xml:space="preserve"> </w:t>
            </w:r>
            <w:r>
              <w:rPr>
                <w:spacing w:val="6"/>
              </w:rPr>
              <w:t>2020年度虚增营业收入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，虚</w:t>
            </w:r>
            <w:r>
              <w:rPr/>
              <w:t xml:space="preserve"> </w:t>
            </w:r>
            <w:r>
              <w:rPr>
                <w:spacing w:val="6"/>
              </w:rPr>
              <w:t>增营业成本</w:t>
            </w:r>
            <w:r>
              <w:rPr>
                <w:spacing w:val="-24"/>
              </w:rPr>
              <w:t xml:space="preserve"> </w:t>
            </w:r>
            <w:r>
              <w:rPr>
                <w:spacing w:val="6"/>
              </w:rPr>
              <w:t>，虚增利润总额。</w:t>
            </w:r>
          </w:p>
        </w:tc>
      </w:tr>
      <w:tr>
        <w:trPr>
          <w:trHeight w:val="725" w:hRule="atLeast"/>
        </w:trPr>
        <w:tc>
          <w:tcPr>
            <w:tcW w:w="1220" w:type="dxa"/>
            <w:vAlign w:val="top"/>
          </w:tcPr>
          <w:p>
            <w:pPr>
              <w:pStyle w:val="TableText"/>
              <w:ind w:left="244"/>
              <w:spacing w:before="107" w:line="178" w:lineRule="auto"/>
              <w:rPr/>
            </w:pPr>
            <w:r>
              <w:rPr>
                <w:spacing w:val="3"/>
              </w:rPr>
              <w:t>603035</w:t>
            </w:r>
          </w:p>
        </w:tc>
        <w:tc>
          <w:tcPr>
            <w:tcW w:w="1120" w:type="dxa"/>
            <w:vAlign w:val="top"/>
          </w:tcPr>
          <w:p>
            <w:pPr>
              <w:pStyle w:val="TableText"/>
              <w:ind w:left="140"/>
              <w:spacing w:before="91" w:line="190" w:lineRule="auto"/>
              <w:rPr/>
            </w:pPr>
            <w:r>
              <w:rPr>
                <w:spacing w:val="6"/>
              </w:rPr>
              <w:t>常熟汽饰</w:t>
            </w:r>
          </w:p>
        </w:tc>
        <w:tc>
          <w:tcPr>
            <w:tcW w:w="1316" w:type="dxa"/>
            <w:vAlign w:val="top"/>
          </w:tcPr>
          <w:p>
            <w:pPr>
              <w:pStyle w:val="TableText"/>
              <w:ind w:left="231"/>
              <w:spacing w:before="93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4714" w:type="dxa"/>
            <w:vAlign w:val="top"/>
          </w:tcPr>
          <w:p>
            <w:pPr>
              <w:pStyle w:val="TableText"/>
              <w:ind w:left="3" w:right="77"/>
              <w:spacing w:before="91" w:line="218" w:lineRule="auto"/>
              <w:rPr/>
            </w:pPr>
            <w:r>
              <w:rPr>
                <w:b/>
                <w:bCs/>
                <w:spacing w:val="10"/>
              </w:rPr>
              <w:t>募投项目延期</w:t>
            </w:r>
            <w:r>
              <w:rPr>
                <w:spacing w:val="10"/>
              </w:rPr>
              <w:t>未及时审议并披露；</w:t>
            </w:r>
            <w:r>
              <w:rPr>
                <w:b/>
                <w:bCs/>
                <w:spacing w:val="10"/>
              </w:rPr>
              <w:t>募投项目</w:t>
            </w:r>
            <w:r>
              <w:rPr>
                <w:spacing w:val="9"/>
              </w:rPr>
              <w:t>相关信</w:t>
            </w:r>
            <w:r>
              <w:rPr/>
              <w:t xml:space="preserve"> </w:t>
            </w:r>
            <w:r>
              <w:rPr>
                <w:spacing w:val="9"/>
              </w:rPr>
              <w:t>息披露不及时、不准确且风险提示不充分。</w:t>
            </w:r>
          </w:p>
        </w:tc>
      </w:tr>
      <w:tr>
        <w:trPr>
          <w:trHeight w:val="1452" w:hRule="atLeast"/>
        </w:trPr>
        <w:tc>
          <w:tcPr>
            <w:shd w:val="clear" w:fill="F2DCDC"/>
            <w:tcW w:w="1220" w:type="dxa"/>
            <w:vAlign w:val="top"/>
          </w:tcPr>
          <w:p>
            <w:pPr>
              <w:pStyle w:val="TableText"/>
              <w:ind w:left="244"/>
              <w:spacing w:before="107" w:line="179" w:lineRule="auto"/>
              <w:rPr/>
            </w:pPr>
            <w:r>
              <w:rPr>
                <w:spacing w:val="3"/>
              </w:rPr>
              <w:t>603011</w:t>
            </w:r>
          </w:p>
        </w:tc>
        <w:tc>
          <w:tcPr>
            <w:shd w:val="clear" w:fill="F2DCDC"/>
            <w:tcW w:w="1120" w:type="dxa"/>
            <w:vAlign w:val="top"/>
          </w:tcPr>
          <w:p>
            <w:pPr>
              <w:pStyle w:val="TableText"/>
              <w:ind w:left="131"/>
              <w:spacing w:before="93" w:line="190" w:lineRule="auto"/>
              <w:rPr/>
            </w:pPr>
            <w:r>
              <w:rPr>
                <w:spacing w:val="8"/>
              </w:rPr>
              <w:t>合锻智能</w:t>
            </w:r>
          </w:p>
        </w:tc>
        <w:tc>
          <w:tcPr>
            <w:shd w:val="clear" w:fill="F2DCDC"/>
            <w:tcW w:w="1316" w:type="dxa"/>
            <w:vAlign w:val="top"/>
          </w:tcPr>
          <w:p>
            <w:pPr>
              <w:pStyle w:val="TableText"/>
              <w:ind w:left="231"/>
              <w:spacing w:before="94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4714" w:type="dxa"/>
            <w:vAlign w:val="top"/>
          </w:tcPr>
          <w:p>
            <w:pPr>
              <w:pStyle w:val="TableText"/>
              <w:ind w:left="2" w:right="77" w:firstLine="3"/>
              <w:spacing w:before="92" w:line="236" w:lineRule="auto"/>
              <w:rPr/>
            </w:pPr>
            <w:r>
              <w:rPr>
                <w:spacing w:val="9"/>
              </w:rPr>
              <w:t>财</w:t>
            </w:r>
            <w:r>
              <w:rPr>
                <w:b/>
                <w:bCs/>
                <w:spacing w:val="9"/>
              </w:rPr>
              <w:t>务核算</w:t>
            </w:r>
            <w:r>
              <w:rPr>
                <w:spacing w:val="9"/>
              </w:rPr>
              <w:t>不准确；公司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信息披露不准确；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9"/>
              </w:rPr>
              <w:t>公司治理</w:t>
            </w:r>
            <w:r>
              <w:rPr>
                <w:spacing w:val="9"/>
              </w:rPr>
              <w:t>不规范；公司</w:t>
            </w:r>
            <w:r>
              <w:rPr>
                <w:b/>
                <w:bCs/>
                <w:spacing w:val="9"/>
              </w:rPr>
              <w:t>制度执行</w:t>
            </w:r>
            <w:r>
              <w:rPr>
                <w:spacing w:val="9"/>
              </w:rPr>
              <w:t>不到位；未严格遵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10"/>
              </w:rPr>
              <w:t>守</w:t>
            </w:r>
            <w:r>
              <w:rPr>
                <w:b/>
                <w:bCs/>
                <w:spacing w:val="10"/>
              </w:rPr>
              <w:t>公司资金管理制度</w:t>
            </w:r>
            <w:r>
              <w:rPr>
                <w:spacing w:val="10"/>
              </w:rPr>
              <w:t>；部分决策行为违反了公</w:t>
            </w:r>
            <w:r>
              <w:rPr>
                <w:spacing w:val="9"/>
              </w:rPr>
              <w:t>司</w:t>
            </w:r>
            <w:r>
              <w:rPr>
                <w:b/>
                <w:bCs/>
                <w:spacing w:val="9"/>
              </w:rPr>
              <w:t>总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8"/>
              </w:rPr>
              <w:t>经理议事制度。</w:t>
            </w:r>
          </w:p>
        </w:tc>
      </w:tr>
    </w:tbl>
    <w:p>
      <w:pPr>
        <w:ind w:left="450"/>
        <w:spacing w:before="28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8"/>
        </w:rPr>
        <w:t>（ 2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8"/>
        </w:rPr>
        <w:t>）函件统计</w:t>
      </w:r>
    </w:p>
    <w:p>
      <w:pPr>
        <w:ind w:left="462"/>
        <w:spacing w:before="293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2024年2月19日-2月25日</w:t>
      </w:r>
      <w:r>
        <w:rPr>
          <w:rFonts w:ascii="Microsoft YaHei" w:hAnsi="Microsoft YaHei" w:eastAsia="Microsoft YaHei" w:cs="Microsoft YaHei"/>
          <w:sz w:val="22"/>
          <w:szCs w:val="22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，上交所未发出监管问询函。</w:t>
      </w:r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ind w:left="461"/>
        <w:spacing w:before="103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5"/>
        </w:rPr>
        <w:t>2、市场交易监管</w:t>
      </w:r>
    </w:p>
    <w:p>
      <w:pPr>
        <w:pStyle w:val="BodyText"/>
        <w:spacing w:line="264" w:lineRule="auto"/>
        <w:rPr/>
      </w:pPr>
      <w:r/>
    </w:p>
    <w:p>
      <w:pPr>
        <w:ind w:firstLine="462"/>
        <w:spacing w:before="94" w:line="203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2024年2月19日-2月25日</w:t>
      </w:r>
      <w:r>
        <w:rPr>
          <w:rFonts w:ascii="Microsoft YaHei" w:hAnsi="Microsoft YaHei" w:eastAsia="Microsoft YaHei" w:cs="Microsoft YaHei"/>
          <w:sz w:val="22"/>
          <w:szCs w:val="22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，上交所对64起拉抬打压、虚假申报等证券异常交易行为采取了书面警示等监管措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施</w:t>
      </w:r>
      <w:r>
        <w:rPr>
          <w:rFonts w:ascii="Microsoft YaHei" w:hAnsi="Microsoft YaHei" w:eastAsia="Microsoft YaHei" w:cs="Microsoft YaHei"/>
          <w:sz w:val="22"/>
          <w:szCs w:val="22"/>
          <w:spacing w:val="-31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，对近期波动较大的退市风险警示股票进行重点监控</w:t>
      </w:r>
      <w:r>
        <w:rPr>
          <w:rFonts w:ascii="Microsoft YaHei" w:hAnsi="Microsoft YaHei" w:eastAsia="Microsoft YaHei" w:cs="Microsoft YaHei"/>
          <w:sz w:val="22"/>
          <w:szCs w:val="22"/>
          <w:spacing w:val="-3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，加强对量化交易特别是高频交易的监测分析</w:t>
      </w:r>
      <w:r>
        <w:rPr>
          <w:rFonts w:ascii="Microsoft YaHei" w:hAnsi="Microsoft YaHei" w:eastAsia="Microsoft YaHei" w:cs="Microsoft YaHei"/>
          <w:sz w:val="22"/>
          <w:szCs w:val="22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，对26起上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</w:t>
      </w: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市公司重大事项等进行专项核查。</w:t>
      </w:r>
    </w:p>
    <w:p>
      <w:pPr>
        <w:spacing w:line="203" w:lineRule="auto"/>
        <w:sectPr>
          <w:pgSz w:w="11910" w:h="16840"/>
          <w:pgMar w:top="400" w:right="574" w:bottom="400" w:left="443" w:header="0" w:footer="0" w:gutter="0"/>
        </w:sectPr>
        <w:rPr>
          <w:rFonts w:ascii="Microsoft YaHei" w:hAnsi="Microsoft YaHei" w:eastAsia="Microsoft YaHei" w:cs="Microsoft YaHei"/>
          <w:sz w:val="22"/>
          <w:szCs w:val="22"/>
        </w:rPr>
      </w:pPr>
    </w:p>
    <w:p>
      <w:pPr>
        <w:spacing w:line="924" w:lineRule="exact"/>
        <w:rPr/>
      </w:pPr>
      <w:r>
        <w:rPr>
          <w:position w:val="-18"/>
        </w:rPr>
        <w:pict>
          <v:group id="_x0000_s38" style="mso-position-vertical-relative:line;mso-position-horizontal-relative:char;width:134.8pt;height:46.25pt;" filled="false" stroked="false" coordsize="2696,925" coordorigin="0,0">
            <v:shape id="_x0000_s40" style="position:absolute;left:0;top:0;width:2696;height:925;" filled="false" stroked="false" type="#_x0000_t75">
              <v:imagedata o:title="" r:id="rId10"/>
            </v:shape>
            <v:shape id="_x0000_s42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2"/>
                      <w:spacing w:before="304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2"/>
                      </w:rPr>
                      <w:t>深交所监管动态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89" w:lineRule="auto"/>
        <w:rPr/>
      </w:pPr>
      <w:r/>
    </w:p>
    <w:p>
      <w:pPr>
        <w:ind w:left="941"/>
        <w:spacing w:before="103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6"/>
        </w:rPr>
        <w:t>1、上市公司监管动态</w:t>
      </w:r>
    </w:p>
    <w:p>
      <w:pPr>
        <w:ind w:left="871" w:firstLine="437"/>
        <w:spacing w:before="328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2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024年2月19日-2月25日，深交所发出15份监管函，对1宗行为予以纪律处分；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共发出关注函11份，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并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购重组问询函1份。</w:t>
      </w:r>
    </w:p>
    <w:p>
      <w:pPr>
        <w:pStyle w:val="BodyText"/>
        <w:spacing w:line="242" w:lineRule="auto"/>
        <w:rPr/>
      </w:pPr>
      <w:r/>
    </w:p>
    <w:p>
      <w:pPr>
        <w:ind w:firstLine="1815"/>
        <w:spacing w:line="4331" w:lineRule="exact"/>
        <w:rPr/>
      </w:pPr>
      <w:r>
        <w:rPr>
          <w:position w:val="-86"/>
        </w:rPr>
        <w:drawing>
          <wp:inline distT="0" distB="0" distL="0" distR="0">
            <wp:extent cx="5493384" cy="275018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93384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1415"/>
        <w:spacing w:before="103" w:line="20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pict>
          <v:shape id="_x0000_s44" style="position:absolute;margin-left:42.618pt;margin-top:4.16637pt;mso-position-vertical-relative:text;mso-position-horizontal-relative:text;width:23.75pt;height:21.35pt;z-index:2516787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5" w:lineRule="auto"/>
                    <w:jc w:val="right"/>
                    <w:rPr>
                      <w:rFonts w:ascii="Microsoft YaHei" w:hAnsi="Microsoft YaHei" w:eastAsia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spacing w:val="-30"/>
                    </w:rPr>
                    <w:t>（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spacing w:val="34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24"/>
                      <w:szCs w:val="24"/>
                      <w:b/>
                      <w:bCs/>
                      <w:spacing w:val="-3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3"/>
        </w:rPr>
        <w:t>)  纪律处分及监管措施</w:t>
      </w:r>
    </w:p>
    <w:tbl>
      <w:tblPr>
        <w:tblStyle w:val="TableNormal"/>
        <w:tblW w:w="9044" w:type="dxa"/>
        <w:tblInd w:w="1382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504"/>
        <w:gridCol w:w="1460"/>
        <w:gridCol w:w="1525"/>
        <w:gridCol w:w="4555"/>
      </w:tblGrid>
      <w:tr>
        <w:trPr>
          <w:trHeight w:val="639" w:hRule="atLeast"/>
        </w:trPr>
        <w:tc>
          <w:tcPr>
            <w:shd w:val="clear" w:fill="4BACC6"/>
            <w:tcW w:w="1504" w:type="dxa"/>
            <w:vAlign w:val="top"/>
          </w:tcPr>
          <w:p>
            <w:pPr>
              <w:pStyle w:val="TableText"/>
              <w:ind w:left="311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460" w:type="dxa"/>
            <w:vAlign w:val="top"/>
            <w:tcBorders>
              <w:top w:val="nil"/>
            </w:tcBorders>
          </w:tcPr>
          <w:p>
            <w:pPr>
              <w:pStyle w:val="TableText"/>
              <w:ind w:left="288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1525" w:type="dxa"/>
            <w:vAlign w:val="top"/>
            <w:tcBorders>
              <w:top w:val="nil"/>
            </w:tcBorders>
          </w:tcPr>
          <w:p>
            <w:pPr>
              <w:pStyle w:val="TableText"/>
              <w:ind w:left="323"/>
              <w:spacing w:before="9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color w:val="FFFFFF"/>
                <w:spacing w:val="-1"/>
              </w:rPr>
              <w:t>监管类型</w:t>
            </w:r>
          </w:p>
        </w:tc>
        <w:tc>
          <w:tcPr>
            <w:shd w:val="clear" w:fill="4BACC6"/>
            <w:tcW w:w="4555" w:type="dxa"/>
            <w:vAlign w:val="top"/>
            <w:tcBorders>
              <w:top w:val="nil"/>
            </w:tcBorders>
          </w:tcPr>
          <w:p>
            <w:pPr>
              <w:pStyle w:val="TableText"/>
              <w:ind w:left="1836"/>
              <w:spacing w:before="94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color w:val="FFFFFF"/>
                <w:spacing w:val="-1"/>
              </w:rPr>
              <w:t>处理事由</w:t>
            </w:r>
          </w:p>
        </w:tc>
      </w:tr>
      <w:tr>
        <w:trPr>
          <w:trHeight w:val="1443" w:hRule="atLeast"/>
        </w:trPr>
        <w:tc>
          <w:tcPr>
            <w:tcW w:w="150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3"/>
              <w:spacing w:before="86" w:line="178" w:lineRule="auto"/>
              <w:rPr/>
            </w:pPr>
            <w:r>
              <w:rPr>
                <w:spacing w:val="3"/>
              </w:rPr>
              <w:t>300985</w:t>
            </w:r>
          </w:p>
        </w:tc>
        <w:tc>
          <w:tcPr>
            <w:tcW w:w="146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8"/>
              <w:spacing w:before="86" w:line="190" w:lineRule="auto"/>
              <w:rPr/>
            </w:pPr>
            <w:r>
              <w:rPr>
                <w:spacing w:val="8"/>
              </w:rPr>
              <w:t>致远新能</w:t>
            </w:r>
          </w:p>
        </w:tc>
        <w:tc>
          <w:tcPr>
            <w:tcW w:w="1525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55" w:type="dxa"/>
            <w:vAlign w:val="top"/>
          </w:tcPr>
          <w:p>
            <w:pPr>
              <w:pStyle w:val="TableText"/>
              <w:ind w:left="109" w:right="142" w:hanging="1"/>
              <w:spacing w:before="88" w:line="235" w:lineRule="auto"/>
              <w:jc w:val="both"/>
              <w:rPr/>
            </w:pPr>
            <w:r>
              <w:rPr>
                <w:b/>
                <w:bCs/>
                <w:spacing w:val="9"/>
              </w:rPr>
              <w:t>募集资金置换自筹资金事项</w:t>
            </w:r>
            <w:r>
              <w:rPr>
                <w:spacing w:val="9"/>
              </w:rPr>
              <w:t>未经董事会审议通  </w:t>
            </w:r>
            <w:r>
              <w:rPr>
                <w:spacing w:val="5"/>
              </w:rPr>
              <w:t>过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，会计师事务所未出具鉴证报告</w:t>
            </w:r>
            <w:r>
              <w:rPr>
                <w:spacing w:val="-28"/>
              </w:rPr>
              <w:t xml:space="preserve"> </w:t>
            </w:r>
            <w:r>
              <w:rPr>
                <w:spacing w:val="5"/>
              </w:rPr>
              <w:t>，</w:t>
            </w:r>
            <w:r>
              <w:rPr>
                <w:spacing w:val="56"/>
                <w:w w:val="101"/>
              </w:rPr>
              <w:t xml:space="preserve"> </w:t>
            </w:r>
            <w:r>
              <w:rPr>
                <w:spacing w:val="5"/>
              </w:rPr>
              <w:t>独立董事</w:t>
            </w:r>
            <w:r>
              <w:rPr/>
              <w:t xml:space="preserve"> </w:t>
            </w:r>
            <w:r>
              <w:rPr>
                <w:spacing w:val="8"/>
              </w:rPr>
              <w:t>（当时）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、监事会、保荐机构未发表明确同</w:t>
            </w:r>
            <w:r>
              <w:rPr>
                <w:spacing w:val="7"/>
              </w:rPr>
              <w:t>意  </w:t>
            </w:r>
            <w:r>
              <w:rPr>
                <w:spacing w:val="7"/>
              </w:rPr>
              <w:t>意见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，且上述事项未履行信息披露义务。</w:t>
            </w:r>
          </w:p>
        </w:tc>
      </w:tr>
      <w:tr>
        <w:trPr>
          <w:trHeight w:val="364" w:hRule="atLeast"/>
        </w:trPr>
        <w:tc>
          <w:tcPr>
            <w:shd w:val="clear" w:fill="B8CCE4"/>
            <w:tcW w:w="1504" w:type="dxa"/>
            <w:vAlign w:val="top"/>
          </w:tcPr>
          <w:p>
            <w:pPr>
              <w:pStyle w:val="TableText"/>
              <w:ind w:left="393"/>
              <w:spacing w:before="106" w:line="173" w:lineRule="auto"/>
              <w:rPr/>
            </w:pPr>
            <w:r>
              <w:rPr>
                <w:spacing w:val="3"/>
              </w:rPr>
              <w:t>300307</w:t>
            </w:r>
          </w:p>
        </w:tc>
        <w:tc>
          <w:tcPr>
            <w:shd w:val="clear" w:fill="B8CCE4"/>
            <w:tcW w:w="1460" w:type="dxa"/>
            <w:vAlign w:val="top"/>
          </w:tcPr>
          <w:p>
            <w:pPr>
              <w:pStyle w:val="TableText"/>
              <w:ind w:left="308"/>
              <w:spacing w:before="92" w:line="183" w:lineRule="auto"/>
              <w:rPr/>
            </w:pPr>
            <w:r>
              <w:rPr>
                <w:spacing w:val="8"/>
              </w:rPr>
              <w:t>慈星股份</w:t>
            </w:r>
          </w:p>
        </w:tc>
        <w:tc>
          <w:tcPr>
            <w:shd w:val="clear" w:fill="B8CCE4"/>
            <w:tcW w:w="1525" w:type="dxa"/>
            <w:vAlign w:val="top"/>
          </w:tcPr>
          <w:p>
            <w:pPr>
              <w:pStyle w:val="TableText"/>
              <w:ind w:left="450"/>
              <w:spacing w:before="92" w:line="183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55" w:type="dxa"/>
            <w:vAlign w:val="top"/>
          </w:tcPr>
          <w:p>
            <w:pPr>
              <w:pStyle w:val="TableText"/>
              <w:ind w:left="110"/>
              <w:spacing w:before="92" w:line="183" w:lineRule="auto"/>
              <w:rPr/>
            </w:pPr>
            <w:r>
              <w:rPr>
                <w:spacing w:val="8"/>
              </w:rPr>
              <w:t>董事配偶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  <w:tr>
        <w:trPr>
          <w:trHeight w:val="3599" w:hRule="atLeast"/>
        </w:trPr>
        <w:tc>
          <w:tcPr>
            <w:tcW w:w="150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7"/>
              <w:spacing w:before="86" w:line="179" w:lineRule="auto"/>
              <w:rPr/>
            </w:pPr>
            <w:r>
              <w:rPr>
                <w:spacing w:val="3"/>
              </w:rPr>
              <w:t>002771</w:t>
            </w:r>
          </w:p>
        </w:tc>
        <w:tc>
          <w:tcPr>
            <w:tcW w:w="146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5"/>
              <w:spacing w:before="85" w:line="189" w:lineRule="auto"/>
              <w:rPr/>
            </w:pPr>
            <w:r>
              <w:rPr>
                <w:spacing w:val="7"/>
              </w:rPr>
              <w:t>真视通</w:t>
            </w:r>
          </w:p>
        </w:tc>
        <w:tc>
          <w:tcPr>
            <w:tcW w:w="1525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55" w:type="dxa"/>
            <w:vAlign w:val="top"/>
          </w:tcPr>
          <w:p>
            <w:pPr>
              <w:pStyle w:val="TableText"/>
              <w:ind w:left="107" w:right="140" w:firstLine="2"/>
              <w:spacing w:before="85" w:line="245" w:lineRule="auto"/>
              <w:rPr/>
            </w:pPr>
            <w:r>
              <w:rPr>
                <w:spacing w:val="9"/>
              </w:rPr>
              <w:t>根据当时规定独立董事提名人在提名候选人时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,</w:t>
            </w:r>
            <w:r>
              <w:rPr>
                <w:spacing w:val="20"/>
              </w:rPr>
              <w:t xml:space="preserve">  </w:t>
            </w:r>
            <w:r>
              <w:rPr>
                <w:spacing w:val="9"/>
              </w:rPr>
              <w:t>除应当确保候选人具备独立性、</w:t>
            </w:r>
            <w:r>
              <w:rPr>
                <w:spacing w:val="55"/>
                <w:w w:val="101"/>
              </w:rPr>
              <w:t xml:space="preserve"> </w:t>
            </w:r>
            <w:r>
              <w:rPr>
                <w:spacing w:val="9"/>
              </w:rPr>
              <w:t>符合最多在</w:t>
            </w:r>
            <w:r>
              <w:rPr/>
              <w:t xml:space="preserve"> </w:t>
            </w:r>
            <w:r>
              <w:rPr>
                <w:spacing w:val="8"/>
              </w:rPr>
              <w:t>五家上市公司担任独立董事等任职资格外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，还</w:t>
            </w:r>
            <w:r>
              <w:rPr/>
              <w:t xml:space="preserve">   </w:t>
            </w:r>
            <w:r>
              <w:rPr>
                <w:spacing w:val="9"/>
              </w:rPr>
              <w:t>应当重点关注独立董事候选人是否存在同时在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超过五家公司担任董事、</w:t>
            </w:r>
            <w:r>
              <w:rPr>
                <w:spacing w:val="62"/>
              </w:rPr>
              <w:t xml:space="preserve"> </w:t>
            </w:r>
            <w:r>
              <w:rPr>
                <w:spacing w:val="9"/>
              </w:rPr>
              <w:t>监事或高级管理人员</w:t>
            </w:r>
            <w:r>
              <w:rPr/>
              <w:t xml:space="preserve"> </w:t>
            </w:r>
            <w:r>
              <w:rPr>
                <w:spacing w:val="9"/>
              </w:rPr>
              <w:t>的情形。但李某华、公司董事会分别在《独立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董事候选人声明》和《独立董事提名人声明》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中对于“不存在同时在</w:t>
            </w:r>
            <w:r>
              <w:rPr>
                <w:b/>
                <w:bCs/>
                <w:spacing w:val="9"/>
              </w:rPr>
              <w:t>超过五家以上的公司担</w:t>
            </w:r>
            <w:r>
              <w:rPr>
                <w:b/>
                <w:bCs/>
                <w:spacing w:val="5"/>
              </w:rPr>
              <w:t xml:space="preserve">   </w:t>
            </w:r>
            <w:r>
              <w:rPr>
                <w:b/>
                <w:bCs/>
                <w:spacing w:val="9"/>
              </w:rPr>
              <w:t>任董事、监事或高级管理人员</w:t>
            </w:r>
            <w:r>
              <w:rPr>
                <w:spacing w:val="9"/>
              </w:rPr>
              <w:t>”一栏均勾选“</w:t>
            </w:r>
            <w:r>
              <w:rPr>
                <w:spacing w:val="5"/>
              </w:rPr>
              <w:t xml:space="preserve">   </w:t>
            </w:r>
            <w:r>
              <w:rPr>
                <w:spacing w:val="4"/>
              </w:rPr>
              <w:t>是”</w:t>
            </w:r>
            <w:r>
              <w:rPr>
                <w:spacing w:val="-20"/>
              </w:rPr>
              <w:t xml:space="preserve"> </w:t>
            </w:r>
            <w:r>
              <w:rPr>
                <w:spacing w:val="4"/>
              </w:rPr>
              <w:t>，与事实不符。</w:t>
            </w:r>
          </w:p>
        </w:tc>
      </w:tr>
      <w:tr>
        <w:trPr>
          <w:trHeight w:val="1446" w:hRule="atLeast"/>
        </w:trPr>
        <w:tc>
          <w:tcPr>
            <w:shd w:val="clear" w:fill="B8CCE4"/>
            <w:tcW w:w="150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7"/>
              <w:spacing w:before="86" w:line="178" w:lineRule="auto"/>
              <w:rPr/>
            </w:pPr>
            <w:r>
              <w:rPr>
                <w:spacing w:val="3"/>
              </w:rPr>
              <w:t>002985</w:t>
            </w:r>
          </w:p>
        </w:tc>
        <w:tc>
          <w:tcPr>
            <w:shd w:val="clear" w:fill="B8CCE4"/>
            <w:tcW w:w="146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7"/>
              <w:spacing w:before="86" w:line="190" w:lineRule="auto"/>
              <w:rPr/>
            </w:pPr>
            <w:r>
              <w:rPr>
                <w:spacing w:val="8"/>
              </w:rPr>
              <w:t>北摩高科</w:t>
            </w:r>
          </w:p>
        </w:tc>
        <w:tc>
          <w:tcPr>
            <w:shd w:val="clear" w:fill="B8CCE4"/>
            <w:tcW w:w="152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55" w:type="dxa"/>
            <w:vAlign w:val="top"/>
          </w:tcPr>
          <w:p>
            <w:pPr>
              <w:pStyle w:val="TableText"/>
              <w:ind w:left="107" w:right="140" w:firstLine="2"/>
              <w:spacing w:before="97" w:line="234" w:lineRule="auto"/>
              <w:rPr/>
            </w:pPr>
            <w:r>
              <w:rPr>
                <w:spacing w:val="9"/>
              </w:rPr>
              <w:t>根据当时规定独立董事提名人在提名候选人时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,</w:t>
            </w:r>
            <w:r>
              <w:rPr>
                <w:spacing w:val="20"/>
              </w:rPr>
              <w:t xml:space="preserve">  </w:t>
            </w:r>
            <w:r>
              <w:rPr>
                <w:spacing w:val="9"/>
              </w:rPr>
              <w:t>除应当确保候选人具备独立性、</w:t>
            </w:r>
            <w:r>
              <w:rPr>
                <w:spacing w:val="55"/>
                <w:w w:val="101"/>
              </w:rPr>
              <w:t xml:space="preserve"> </w:t>
            </w:r>
            <w:r>
              <w:rPr>
                <w:spacing w:val="9"/>
              </w:rPr>
              <w:t>符合最多在</w:t>
            </w:r>
            <w:r>
              <w:rPr/>
              <w:t xml:space="preserve"> </w:t>
            </w:r>
            <w:r>
              <w:rPr>
                <w:spacing w:val="8"/>
              </w:rPr>
              <w:t>五家上市公司担任独立董事等任职资格外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，还</w:t>
            </w:r>
            <w:r>
              <w:rPr/>
              <w:t xml:space="preserve">   </w:t>
            </w:r>
            <w:r>
              <w:rPr>
                <w:spacing w:val="9"/>
              </w:rPr>
              <w:t>应当重点关注独立董事候选人是否存在同时在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374" w:right="459" w:bottom="119" w:left="460" w:header="0" w:footer="0" w:gutter="0"/>
        </w:sectPr>
        <w:rPr>
          <w:sz w:val="2"/>
          <w:szCs w:val="2"/>
        </w:rPr>
      </w:pPr>
    </w:p>
    <w:tbl>
      <w:tblPr>
        <w:tblStyle w:val="TableNormal"/>
        <w:tblW w:w="9044" w:type="dxa"/>
        <w:tblInd w:w="57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504"/>
        <w:gridCol w:w="1460"/>
        <w:gridCol w:w="1525"/>
        <w:gridCol w:w="4555"/>
      </w:tblGrid>
      <w:tr>
        <w:trPr>
          <w:trHeight w:val="2169" w:hRule="atLeast"/>
        </w:trPr>
        <w:tc>
          <w:tcPr>
            <w:shd w:val="clear" w:fill="B8CCE4"/>
            <w:tcW w:w="15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4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4555" w:type="dxa"/>
            <w:vAlign w:val="top"/>
          </w:tcPr>
          <w:p>
            <w:pPr>
              <w:pStyle w:val="TableText"/>
              <w:ind w:left="107" w:right="140" w:firstLine="2"/>
              <w:spacing w:before="91" w:line="241" w:lineRule="auto"/>
              <w:rPr/>
            </w:pPr>
            <w:r>
              <w:rPr>
                <w:spacing w:val="9"/>
              </w:rPr>
              <w:t>超过五家公司担任董事、</w:t>
            </w:r>
            <w:r>
              <w:rPr>
                <w:spacing w:val="59"/>
                <w:w w:val="101"/>
              </w:rPr>
              <w:t xml:space="preserve"> </w:t>
            </w:r>
            <w:r>
              <w:rPr>
                <w:spacing w:val="9"/>
              </w:rPr>
              <w:t>监事或高级管理人员</w:t>
            </w:r>
            <w:r>
              <w:rPr/>
              <w:t xml:space="preserve"> </w:t>
            </w:r>
            <w:r>
              <w:rPr>
                <w:spacing w:val="9"/>
              </w:rPr>
              <w:t>的情形。但李某华、公司董事会分别在《独立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董事候选人声明》和《独立董事提名人声明》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中对于“不存在同时在</w:t>
            </w:r>
            <w:r>
              <w:rPr>
                <w:b/>
                <w:bCs/>
                <w:spacing w:val="9"/>
              </w:rPr>
              <w:t>超过五家以上的公司担</w:t>
            </w:r>
            <w:r>
              <w:rPr>
                <w:b/>
                <w:bCs/>
                <w:spacing w:val="5"/>
              </w:rPr>
              <w:t xml:space="preserve">   </w:t>
            </w:r>
            <w:r>
              <w:rPr>
                <w:b/>
                <w:bCs/>
                <w:spacing w:val="9"/>
              </w:rPr>
              <w:t>任董事、监事或高级管理人员</w:t>
            </w:r>
            <w:r>
              <w:rPr>
                <w:spacing w:val="9"/>
              </w:rPr>
              <w:t>”一栏均勾选“</w:t>
            </w:r>
            <w:r>
              <w:rPr>
                <w:spacing w:val="5"/>
              </w:rPr>
              <w:t xml:space="preserve">   </w:t>
            </w:r>
            <w:r>
              <w:rPr>
                <w:spacing w:val="4"/>
              </w:rPr>
              <w:t>是”</w:t>
            </w:r>
            <w:r>
              <w:rPr>
                <w:spacing w:val="-20"/>
              </w:rPr>
              <w:t xml:space="preserve"> </w:t>
            </w:r>
            <w:r>
              <w:rPr>
                <w:spacing w:val="4"/>
              </w:rPr>
              <w:t>，与事实不符。</w:t>
            </w:r>
          </w:p>
        </w:tc>
      </w:tr>
      <w:tr>
        <w:trPr>
          <w:trHeight w:val="3604" w:hRule="atLeast"/>
        </w:trPr>
        <w:tc>
          <w:tcPr>
            <w:tcW w:w="150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7"/>
              <w:spacing w:before="86" w:line="178" w:lineRule="auto"/>
              <w:rPr/>
            </w:pPr>
            <w:r>
              <w:rPr>
                <w:spacing w:val="3"/>
              </w:rPr>
              <w:t>002829</w:t>
            </w:r>
          </w:p>
        </w:tc>
        <w:tc>
          <w:tcPr>
            <w:tcW w:w="146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86" w:line="189" w:lineRule="auto"/>
              <w:rPr/>
            </w:pPr>
            <w:r>
              <w:rPr>
                <w:spacing w:val="8"/>
              </w:rPr>
              <w:t>星网宇达</w:t>
            </w:r>
          </w:p>
        </w:tc>
        <w:tc>
          <w:tcPr>
            <w:tcW w:w="152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55" w:type="dxa"/>
            <w:vAlign w:val="top"/>
          </w:tcPr>
          <w:p>
            <w:pPr>
              <w:pStyle w:val="TableText"/>
              <w:ind w:left="107" w:right="140" w:firstLine="2"/>
              <w:spacing w:before="90" w:line="245" w:lineRule="auto"/>
              <w:rPr/>
            </w:pPr>
            <w:r>
              <w:rPr>
                <w:spacing w:val="9"/>
              </w:rPr>
              <w:t>根据当时规定独立董事提名人在提名候选人时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,</w:t>
            </w:r>
            <w:r>
              <w:rPr>
                <w:spacing w:val="20"/>
              </w:rPr>
              <w:t xml:space="preserve">  </w:t>
            </w:r>
            <w:r>
              <w:rPr>
                <w:spacing w:val="9"/>
              </w:rPr>
              <w:t>除应当确保候选人具备独立性、</w:t>
            </w:r>
            <w:r>
              <w:rPr>
                <w:spacing w:val="55"/>
                <w:w w:val="101"/>
              </w:rPr>
              <w:t xml:space="preserve"> </w:t>
            </w:r>
            <w:r>
              <w:rPr>
                <w:spacing w:val="9"/>
              </w:rPr>
              <w:t>符合最多在</w:t>
            </w:r>
            <w:r>
              <w:rPr/>
              <w:t xml:space="preserve"> </w:t>
            </w:r>
            <w:r>
              <w:rPr>
                <w:spacing w:val="8"/>
              </w:rPr>
              <w:t>五家上市公司担任独立董事等任职资格外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，还</w:t>
            </w:r>
            <w:r>
              <w:rPr/>
              <w:t xml:space="preserve">   </w:t>
            </w:r>
            <w:r>
              <w:rPr>
                <w:spacing w:val="9"/>
              </w:rPr>
              <w:t>应当重点关注独立董事候选人是否存在同时在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超过五家公司担任董事、</w:t>
            </w:r>
            <w:r>
              <w:rPr>
                <w:spacing w:val="62"/>
              </w:rPr>
              <w:t xml:space="preserve"> </w:t>
            </w:r>
            <w:r>
              <w:rPr>
                <w:spacing w:val="9"/>
              </w:rPr>
              <w:t>监事或高级管理人员</w:t>
            </w:r>
            <w:r>
              <w:rPr/>
              <w:t xml:space="preserve"> </w:t>
            </w:r>
            <w:r>
              <w:rPr>
                <w:spacing w:val="9"/>
              </w:rPr>
              <w:t>的情形。但刘某伟、公司董事会分别在《独立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董事候选人声明》和《独立董事提名人声明》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中对于“不存在同时在</w:t>
            </w:r>
            <w:r>
              <w:rPr>
                <w:b/>
                <w:bCs/>
                <w:spacing w:val="9"/>
              </w:rPr>
              <w:t>超过五家以上的公司担</w:t>
            </w:r>
            <w:r>
              <w:rPr>
                <w:b/>
                <w:bCs/>
                <w:spacing w:val="5"/>
              </w:rPr>
              <w:t xml:space="preserve">   </w:t>
            </w:r>
            <w:r>
              <w:rPr>
                <w:b/>
                <w:bCs/>
                <w:spacing w:val="9"/>
              </w:rPr>
              <w:t>任董事、监事或高级管理人员</w:t>
            </w:r>
            <w:r>
              <w:rPr>
                <w:spacing w:val="9"/>
              </w:rPr>
              <w:t>”一栏均勾选“</w:t>
            </w:r>
            <w:r>
              <w:rPr>
                <w:spacing w:val="5"/>
              </w:rPr>
              <w:t xml:space="preserve">   </w:t>
            </w:r>
            <w:r>
              <w:rPr>
                <w:spacing w:val="4"/>
              </w:rPr>
              <w:t>是”</w:t>
            </w:r>
            <w:r>
              <w:rPr>
                <w:spacing w:val="-20"/>
              </w:rPr>
              <w:t xml:space="preserve"> </w:t>
            </w:r>
            <w:r>
              <w:rPr>
                <w:spacing w:val="4"/>
              </w:rPr>
              <w:t>，与事实不符。</w:t>
            </w:r>
          </w:p>
        </w:tc>
      </w:tr>
      <w:tr>
        <w:trPr>
          <w:trHeight w:val="1084" w:hRule="atLeast"/>
        </w:trPr>
        <w:tc>
          <w:tcPr>
            <w:shd w:val="clear" w:fill="B8CCE4"/>
            <w:tcW w:w="1504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7"/>
              <w:spacing w:before="86" w:line="178" w:lineRule="auto"/>
              <w:rPr/>
            </w:pPr>
            <w:r>
              <w:rPr>
                <w:spacing w:val="3"/>
              </w:rPr>
              <w:t>000890</w:t>
            </w:r>
          </w:p>
        </w:tc>
        <w:tc>
          <w:tcPr>
            <w:shd w:val="clear" w:fill="B8CCE4"/>
            <w:tcW w:w="1460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3"/>
              <w:spacing w:before="86" w:line="189" w:lineRule="auto"/>
              <w:rPr/>
            </w:pPr>
            <w:r>
              <w:rPr>
                <w:spacing w:val="8"/>
              </w:rPr>
              <w:t>法尔胜</w:t>
            </w:r>
          </w:p>
        </w:tc>
        <w:tc>
          <w:tcPr>
            <w:shd w:val="clear" w:fill="B8CCE4"/>
            <w:tcW w:w="1525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55" w:type="dxa"/>
            <w:vAlign w:val="top"/>
          </w:tcPr>
          <w:p>
            <w:pPr>
              <w:pStyle w:val="TableText"/>
              <w:ind w:left="108" w:right="130"/>
              <w:spacing w:before="48" w:line="239" w:lineRule="auto"/>
              <w:jc w:val="both"/>
              <w:rPr/>
            </w:pPr>
            <w:r>
              <w:rPr>
                <w:spacing w:val="8"/>
              </w:rPr>
              <w:t>股东</w:t>
            </w:r>
            <w:r>
              <w:rPr>
                <w:b/>
                <w:bCs/>
                <w:spacing w:val="8"/>
              </w:rPr>
              <w:t>持有上市公司股份达到5%时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8"/>
              </w:rPr>
              <w:t>，未按照</w:t>
            </w:r>
            <w:r>
              <w:rPr>
                <w:spacing w:val="7"/>
              </w:rPr>
              <w:t>《证</w:t>
            </w:r>
            <w:r>
              <w:rPr/>
              <w:t xml:space="preserve"> </w:t>
            </w:r>
            <w:r>
              <w:rPr>
                <w:spacing w:val="9"/>
              </w:rPr>
              <w:t>券法》和《上市公司收购管理办法》的相关规</w:t>
            </w:r>
            <w:r>
              <w:rPr>
                <w:spacing w:val="4"/>
              </w:rPr>
              <w:t xml:space="preserve">   </w:t>
            </w:r>
            <w:r>
              <w:rPr>
                <w:spacing w:val="8"/>
              </w:rPr>
              <w:t>定停止交易上市公司股票。</w:t>
            </w:r>
          </w:p>
        </w:tc>
      </w:tr>
      <w:tr>
        <w:trPr>
          <w:trHeight w:val="3603" w:hRule="atLeast"/>
        </w:trPr>
        <w:tc>
          <w:tcPr>
            <w:tcW w:w="150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7"/>
              <w:spacing w:before="86" w:line="178" w:lineRule="auto"/>
              <w:rPr/>
            </w:pPr>
            <w:r>
              <w:rPr>
                <w:spacing w:val="3"/>
              </w:rPr>
              <w:t>002725</w:t>
            </w:r>
          </w:p>
        </w:tc>
        <w:tc>
          <w:tcPr>
            <w:tcW w:w="1460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7"/>
              <w:spacing w:before="86" w:line="188" w:lineRule="auto"/>
              <w:rPr/>
            </w:pPr>
            <w:r>
              <w:rPr>
                <w:spacing w:val="8"/>
              </w:rPr>
              <w:t>跃岭股份</w:t>
            </w:r>
          </w:p>
        </w:tc>
        <w:tc>
          <w:tcPr>
            <w:tcW w:w="1525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55" w:type="dxa"/>
            <w:vAlign w:val="top"/>
          </w:tcPr>
          <w:p>
            <w:pPr>
              <w:pStyle w:val="TableText"/>
              <w:ind w:left="107" w:right="140" w:firstLine="2"/>
              <w:spacing w:before="89" w:line="245" w:lineRule="auto"/>
              <w:rPr/>
            </w:pPr>
            <w:r>
              <w:rPr>
                <w:spacing w:val="9"/>
              </w:rPr>
              <w:t>根据当时规定独立董事提名人在提名候选人时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,</w:t>
            </w:r>
            <w:r>
              <w:rPr>
                <w:spacing w:val="20"/>
              </w:rPr>
              <w:t xml:space="preserve">  </w:t>
            </w:r>
            <w:r>
              <w:rPr>
                <w:spacing w:val="9"/>
              </w:rPr>
              <w:t>除应当确保候选人具备独立性、</w:t>
            </w:r>
            <w:r>
              <w:rPr>
                <w:spacing w:val="55"/>
                <w:w w:val="101"/>
              </w:rPr>
              <w:t xml:space="preserve"> </w:t>
            </w:r>
            <w:r>
              <w:rPr>
                <w:spacing w:val="9"/>
              </w:rPr>
              <w:t>符合最多在</w:t>
            </w:r>
            <w:r>
              <w:rPr/>
              <w:t xml:space="preserve"> </w:t>
            </w:r>
            <w:r>
              <w:rPr>
                <w:spacing w:val="8"/>
              </w:rPr>
              <w:t>五家上市公司担任独立董事等任职资格外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，还</w:t>
            </w:r>
            <w:r>
              <w:rPr/>
              <w:t xml:space="preserve">   </w:t>
            </w:r>
            <w:r>
              <w:rPr>
                <w:spacing w:val="9"/>
              </w:rPr>
              <w:t>应当重点关注独立董事候选人是否存在同时在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超过五家公司担任董事、</w:t>
            </w:r>
            <w:r>
              <w:rPr>
                <w:spacing w:val="62"/>
              </w:rPr>
              <w:t xml:space="preserve"> </w:t>
            </w:r>
            <w:r>
              <w:rPr>
                <w:spacing w:val="9"/>
              </w:rPr>
              <w:t>监事或高级管理人员</w:t>
            </w:r>
            <w:r>
              <w:rPr/>
              <w:t xml:space="preserve"> </w:t>
            </w:r>
            <w:r>
              <w:rPr>
                <w:spacing w:val="9"/>
              </w:rPr>
              <w:t>的情形。但金某兴、公司董事会分别在《独立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董事候选人声明》和《独立董事提名人声明》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中对于“不存在同时在</w:t>
            </w:r>
            <w:r>
              <w:rPr>
                <w:b/>
                <w:bCs/>
                <w:spacing w:val="9"/>
              </w:rPr>
              <w:t>超过五家以上的公司担</w:t>
            </w:r>
            <w:r>
              <w:rPr>
                <w:b/>
                <w:bCs/>
                <w:spacing w:val="5"/>
              </w:rPr>
              <w:t xml:space="preserve">   </w:t>
            </w:r>
            <w:r>
              <w:rPr>
                <w:b/>
                <w:bCs/>
                <w:spacing w:val="9"/>
              </w:rPr>
              <w:t>任董事、监事或高级管理人员</w:t>
            </w:r>
            <w:r>
              <w:rPr>
                <w:spacing w:val="9"/>
              </w:rPr>
              <w:t>”一栏均勾选“</w:t>
            </w:r>
            <w:r>
              <w:rPr>
                <w:spacing w:val="5"/>
              </w:rPr>
              <w:t xml:space="preserve">   </w:t>
            </w:r>
            <w:r>
              <w:rPr>
                <w:spacing w:val="4"/>
              </w:rPr>
              <w:t>是”</w:t>
            </w:r>
            <w:r>
              <w:rPr>
                <w:spacing w:val="-20"/>
              </w:rPr>
              <w:t xml:space="preserve"> </w:t>
            </w:r>
            <w:r>
              <w:rPr>
                <w:spacing w:val="4"/>
              </w:rPr>
              <w:t>，与事实不符。</w:t>
            </w:r>
          </w:p>
        </w:tc>
      </w:tr>
      <w:tr>
        <w:trPr>
          <w:trHeight w:val="3604" w:hRule="atLeast"/>
        </w:trPr>
        <w:tc>
          <w:tcPr>
            <w:shd w:val="clear" w:fill="B8CCE4"/>
            <w:tcW w:w="150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3"/>
              <w:spacing w:before="85" w:line="179" w:lineRule="auto"/>
              <w:rPr/>
            </w:pPr>
            <w:r>
              <w:rPr>
                <w:spacing w:val="3"/>
              </w:rPr>
              <w:t>301038</w:t>
            </w:r>
          </w:p>
        </w:tc>
        <w:tc>
          <w:tcPr>
            <w:shd w:val="clear" w:fill="B8CCE4"/>
            <w:tcW w:w="1460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8"/>
              <w:spacing w:before="86" w:line="189" w:lineRule="auto"/>
              <w:rPr/>
            </w:pPr>
            <w:r>
              <w:rPr>
                <w:spacing w:val="8"/>
              </w:rPr>
              <w:t>深水规院</w:t>
            </w:r>
          </w:p>
        </w:tc>
        <w:tc>
          <w:tcPr>
            <w:shd w:val="clear" w:fill="B8CCE4"/>
            <w:tcW w:w="1525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55" w:type="dxa"/>
            <w:vAlign w:val="top"/>
          </w:tcPr>
          <w:p>
            <w:pPr>
              <w:pStyle w:val="TableText"/>
              <w:ind w:left="107" w:right="140" w:firstLine="2"/>
              <w:spacing w:before="90" w:line="245" w:lineRule="auto"/>
              <w:rPr/>
            </w:pPr>
            <w:r>
              <w:rPr>
                <w:spacing w:val="9"/>
              </w:rPr>
              <w:t>根据当时规定独立董事提名人在提名候选人时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,</w:t>
            </w:r>
            <w:r>
              <w:rPr>
                <w:spacing w:val="20"/>
              </w:rPr>
              <w:t xml:space="preserve">  </w:t>
            </w:r>
            <w:r>
              <w:rPr>
                <w:spacing w:val="9"/>
              </w:rPr>
              <w:t>除应当确保候选人具备独立性、</w:t>
            </w:r>
            <w:r>
              <w:rPr>
                <w:spacing w:val="55"/>
                <w:w w:val="101"/>
              </w:rPr>
              <w:t xml:space="preserve"> </w:t>
            </w:r>
            <w:r>
              <w:rPr>
                <w:spacing w:val="9"/>
              </w:rPr>
              <w:t>符合最多在</w:t>
            </w:r>
            <w:r>
              <w:rPr/>
              <w:t xml:space="preserve"> </w:t>
            </w:r>
            <w:r>
              <w:rPr>
                <w:spacing w:val="8"/>
              </w:rPr>
              <w:t>五家上市公司担任独立董事等任职资格外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，还</w:t>
            </w:r>
            <w:r>
              <w:rPr/>
              <w:t xml:space="preserve">   </w:t>
            </w:r>
            <w:r>
              <w:rPr>
                <w:spacing w:val="9"/>
              </w:rPr>
              <w:t>应当重点关注独立董事候选人是否存在同时在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超过五家公司担任董事、</w:t>
            </w:r>
            <w:r>
              <w:rPr>
                <w:spacing w:val="62"/>
              </w:rPr>
              <w:t xml:space="preserve"> </w:t>
            </w:r>
            <w:r>
              <w:rPr>
                <w:spacing w:val="9"/>
              </w:rPr>
              <w:t>监事或高级管理人员</w:t>
            </w:r>
            <w:r>
              <w:rPr/>
              <w:t xml:space="preserve"> </w:t>
            </w:r>
            <w:r>
              <w:rPr>
                <w:spacing w:val="9"/>
              </w:rPr>
              <w:t>的情形。但郭某龙、公司董事会分别在《独立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董事候选人声明》和《独立董事提名人声明》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中对于“不存在同时在</w:t>
            </w:r>
            <w:r>
              <w:rPr>
                <w:b/>
                <w:bCs/>
                <w:spacing w:val="9"/>
              </w:rPr>
              <w:t>超过五家以上的公司担</w:t>
            </w:r>
            <w:r>
              <w:rPr>
                <w:b/>
                <w:bCs/>
                <w:spacing w:val="5"/>
              </w:rPr>
              <w:t xml:space="preserve">   </w:t>
            </w:r>
            <w:r>
              <w:rPr>
                <w:b/>
                <w:bCs/>
                <w:spacing w:val="9"/>
              </w:rPr>
              <w:t>任董事、监事或高级管理人员</w:t>
            </w:r>
            <w:r>
              <w:rPr>
                <w:spacing w:val="9"/>
              </w:rPr>
              <w:t>”一栏均勾选“</w:t>
            </w:r>
            <w:r>
              <w:rPr>
                <w:spacing w:val="5"/>
              </w:rPr>
              <w:t xml:space="preserve">   </w:t>
            </w:r>
            <w:r>
              <w:rPr>
                <w:spacing w:val="4"/>
              </w:rPr>
              <w:t>是”</w:t>
            </w:r>
            <w:r>
              <w:rPr>
                <w:spacing w:val="-20"/>
              </w:rPr>
              <w:t xml:space="preserve"> </w:t>
            </w:r>
            <w:r>
              <w:rPr>
                <w:spacing w:val="4"/>
              </w:rPr>
              <w:t>，与事实不符。</w:t>
            </w:r>
          </w:p>
        </w:tc>
      </w:tr>
      <w:tr>
        <w:trPr>
          <w:trHeight w:val="2167" w:hRule="atLeast"/>
        </w:trPr>
        <w:tc>
          <w:tcPr>
            <w:tcW w:w="1504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7"/>
              <w:spacing w:before="86" w:line="179" w:lineRule="auto"/>
              <w:rPr/>
            </w:pPr>
            <w:r>
              <w:rPr>
                <w:spacing w:val="3"/>
              </w:rPr>
              <w:t>002811</w:t>
            </w:r>
          </w:p>
        </w:tc>
        <w:tc>
          <w:tcPr>
            <w:tcW w:w="146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7"/>
              <w:spacing w:before="86" w:line="189" w:lineRule="auto"/>
              <w:rPr/>
            </w:pPr>
            <w:r>
              <w:rPr>
                <w:spacing w:val="8"/>
              </w:rPr>
              <w:t>郑中设计</w:t>
            </w:r>
          </w:p>
        </w:tc>
        <w:tc>
          <w:tcPr>
            <w:tcW w:w="1525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55" w:type="dxa"/>
            <w:vAlign w:val="top"/>
          </w:tcPr>
          <w:p>
            <w:pPr>
              <w:pStyle w:val="TableText"/>
              <w:ind w:left="107" w:right="140" w:firstLine="2"/>
              <w:spacing w:before="98"/>
              <w:jc w:val="both"/>
              <w:rPr/>
            </w:pPr>
            <w:r>
              <w:rPr>
                <w:spacing w:val="9"/>
              </w:rPr>
              <w:t>根据当时规定独立董事提名人在提名候选人时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,</w:t>
            </w:r>
            <w:r>
              <w:rPr>
                <w:spacing w:val="20"/>
              </w:rPr>
              <w:t xml:space="preserve">  </w:t>
            </w:r>
            <w:r>
              <w:rPr>
                <w:spacing w:val="9"/>
              </w:rPr>
              <w:t>除应当确保候选人具备独立性、</w:t>
            </w:r>
            <w:r>
              <w:rPr>
                <w:spacing w:val="55"/>
                <w:w w:val="101"/>
              </w:rPr>
              <w:t xml:space="preserve"> </w:t>
            </w:r>
            <w:r>
              <w:rPr>
                <w:spacing w:val="9"/>
              </w:rPr>
              <w:t>符合最多在</w:t>
            </w:r>
            <w:r>
              <w:rPr/>
              <w:t xml:space="preserve"> </w:t>
            </w:r>
            <w:r>
              <w:rPr>
                <w:spacing w:val="8"/>
              </w:rPr>
              <w:t>五家上市公司担任独立董事等任职资格外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，还</w:t>
            </w:r>
            <w:r>
              <w:rPr/>
              <w:t xml:space="preserve">   </w:t>
            </w:r>
            <w:r>
              <w:rPr>
                <w:spacing w:val="9"/>
              </w:rPr>
              <w:t>应当重点关注独立董事候选人是否存在同时在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超过五家公司担任董事、</w:t>
            </w:r>
            <w:r>
              <w:rPr>
                <w:spacing w:val="62"/>
              </w:rPr>
              <w:t xml:space="preserve"> </w:t>
            </w:r>
            <w:r>
              <w:rPr>
                <w:spacing w:val="9"/>
              </w:rPr>
              <w:t>监事或高级管理人员</w:t>
            </w:r>
            <w:r>
              <w:rPr/>
              <w:t xml:space="preserve"> </w:t>
            </w:r>
            <w:r>
              <w:rPr>
                <w:spacing w:val="9"/>
              </w:rPr>
              <w:t>的情形。但章某文、公司董事会分别在《独立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019" w:bottom="162" w:left="1786" w:header="0" w:footer="0" w:gutter="0"/>
        </w:sectPr>
        <w:rPr>
          <w:sz w:val="2"/>
          <w:szCs w:val="2"/>
        </w:rPr>
      </w:pPr>
    </w:p>
    <w:tbl>
      <w:tblPr>
        <w:tblStyle w:val="TableNormal"/>
        <w:tblW w:w="9044" w:type="dxa"/>
        <w:tblInd w:w="57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504"/>
        <w:gridCol w:w="1460"/>
        <w:gridCol w:w="1525"/>
        <w:gridCol w:w="4555"/>
      </w:tblGrid>
      <w:tr>
        <w:trPr>
          <w:trHeight w:val="1450" w:hRule="atLeast"/>
        </w:trPr>
        <w:tc>
          <w:tcPr>
            <w:tcW w:w="15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55" w:type="dxa"/>
            <w:vAlign w:val="top"/>
          </w:tcPr>
          <w:p>
            <w:pPr>
              <w:pStyle w:val="TableText"/>
              <w:ind w:left="107" w:right="245" w:firstLine="2"/>
              <w:spacing w:before="50" w:line="243" w:lineRule="auto"/>
              <w:jc w:val="both"/>
              <w:rPr/>
            </w:pPr>
            <w:r>
              <w:rPr>
                <w:spacing w:val="9"/>
              </w:rPr>
              <w:t>董事候选人声明》和《独立董事提名人声明》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中对于“不存在同时在</w:t>
            </w:r>
            <w:r>
              <w:rPr>
                <w:b/>
                <w:bCs/>
                <w:spacing w:val="9"/>
              </w:rPr>
              <w:t>超过五家以上的公司担</w:t>
            </w:r>
            <w:r>
              <w:rPr>
                <w:b/>
                <w:bCs/>
                <w:spacing w:val="15"/>
              </w:rPr>
              <w:t xml:space="preserve"> </w:t>
            </w:r>
            <w:r>
              <w:rPr>
                <w:b/>
                <w:bCs/>
                <w:spacing w:val="9"/>
              </w:rPr>
              <w:t>任董事、监事或高级管理人员</w:t>
            </w:r>
            <w:r>
              <w:rPr>
                <w:spacing w:val="9"/>
              </w:rPr>
              <w:t>”一栏均勾选“</w:t>
            </w:r>
            <w:r>
              <w:rPr>
                <w:spacing w:val="15"/>
              </w:rPr>
              <w:t xml:space="preserve"> </w:t>
            </w:r>
            <w:r>
              <w:rPr>
                <w:spacing w:val="4"/>
              </w:rPr>
              <w:t>是”</w:t>
            </w:r>
            <w:r>
              <w:rPr>
                <w:spacing w:val="-20"/>
              </w:rPr>
              <w:t xml:space="preserve"> </w:t>
            </w:r>
            <w:r>
              <w:rPr>
                <w:spacing w:val="4"/>
              </w:rPr>
              <w:t>，与事实不符。</w:t>
            </w:r>
          </w:p>
        </w:tc>
      </w:tr>
      <w:tr>
        <w:trPr>
          <w:trHeight w:val="3606" w:hRule="atLeast"/>
        </w:trPr>
        <w:tc>
          <w:tcPr>
            <w:shd w:val="clear" w:fill="B8CCE4"/>
            <w:tcW w:w="150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7"/>
              <w:spacing w:before="86" w:line="178" w:lineRule="auto"/>
              <w:rPr/>
            </w:pPr>
            <w:r>
              <w:rPr>
                <w:spacing w:val="3"/>
              </w:rPr>
              <w:t>000027</w:t>
            </w:r>
          </w:p>
        </w:tc>
        <w:tc>
          <w:tcPr>
            <w:shd w:val="clear" w:fill="B8CCE4"/>
            <w:tcW w:w="146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8"/>
              <w:spacing w:before="86" w:line="190" w:lineRule="auto"/>
              <w:rPr/>
            </w:pPr>
            <w:r>
              <w:rPr>
                <w:spacing w:val="8"/>
              </w:rPr>
              <w:t>深圳能源</w:t>
            </w:r>
          </w:p>
        </w:tc>
        <w:tc>
          <w:tcPr>
            <w:shd w:val="clear" w:fill="B8CCE4"/>
            <w:tcW w:w="152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55" w:type="dxa"/>
            <w:vAlign w:val="top"/>
          </w:tcPr>
          <w:p>
            <w:pPr>
              <w:pStyle w:val="TableText"/>
              <w:ind w:left="107" w:right="140" w:firstLine="2"/>
              <w:spacing w:before="92" w:line="245" w:lineRule="auto"/>
              <w:rPr/>
            </w:pPr>
            <w:r>
              <w:rPr>
                <w:spacing w:val="9"/>
              </w:rPr>
              <w:t>根据当时规定独立董事提名人在提名候选人时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,</w:t>
            </w:r>
            <w:r>
              <w:rPr>
                <w:spacing w:val="20"/>
              </w:rPr>
              <w:t xml:space="preserve">  </w:t>
            </w:r>
            <w:r>
              <w:rPr>
                <w:spacing w:val="9"/>
              </w:rPr>
              <w:t>除应当确保候选人具备独立性、</w:t>
            </w:r>
            <w:r>
              <w:rPr>
                <w:spacing w:val="55"/>
                <w:w w:val="101"/>
              </w:rPr>
              <w:t xml:space="preserve"> </w:t>
            </w:r>
            <w:r>
              <w:rPr>
                <w:spacing w:val="9"/>
              </w:rPr>
              <w:t>符合最多在</w:t>
            </w:r>
            <w:r>
              <w:rPr/>
              <w:t xml:space="preserve"> </w:t>
            </w:r>
            <w:r>
              <w:rPr>
                <w:spacing w:val="8"/>
              </w:rPr>
              <w:t>五家上市公司担任独立董事等任职资格外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，还</w:t>
            </w:r>
            <w:r>
              <w:rPr/>
              <w:t xml:space="preserve">   </w:t>
            </w:r>
            <w:r>
              <w:rPr>
                <w:spacing w:val="9"/>
              </w:rPr>
              <w:t>应当重点关注独立董事候选人是否存在同时在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超过五家公司担任董事、</w:t>
            </w:r>
            <w:r>
              <w:rPr>
                <w:spacing w:val="62"/>
              </w:rPr>
              <w:t xml:space="preserve"> </w:t>
            </w:r>
            <w:r>
              <w:rPr>
                <w:spacing w:val="9"/>
              </w:rPr>
              <w:t>监事或高级管理人员</w:t>
            </w:r>
            <w:r>
              <w:rPr/>
              <w:t xml:space="preserve"> </w:t>
            </w:r>
            <w:r>
              <w:rPr>
                <w:spacing w:val="9"/>
              </w:rPr>
              <w:t>的情形。但章某文、公司董事会分别在《独立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董事候选人声明》和《独立董事提名人声明》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中对于“不存在同时在</w:t>
            </w:r>
            <w:r>
              <w:rPr>
                <w:b/>
                <w:bCs/>
                <w:spacing w:val="9"/>
              </w:rPr>
              <w:t>超过五家以上的公司担</w:t>
            </w:r>
            <w:r>
              <w:rPr>
                <w:b/>
                <w:bCs/>
                <w:spacing w:val="5"/>
              </w:rPr>
              <w:t xml:space="preserve">   </w:t>
            </w:r>
            <w:r>
              <w:rPr>
                <w:b/>
                <w:bCs/>
                <w:spacing w:val="9"/>
              </w:rPr>
              <w:t>任董事、监事或高级管理人员</w:t>
            </w:r>
            <w:r>
              <w:rPr>
                <w:spacing w:val="9"/>
              </w:rPr>
              <w:t>”一栏均勾选“</w:t>
            </w:r>
            <w:r>
              <w:rPr>
                <w:spacing w:val="5"/>
              </w:rPr>
              <w:t xml:space="preserve">   </w:t>
            </w:r>
            <w:r>
              <w:rPr>
                <w:spacing w:val="4"/>
              </w:rPr>
              <w:t>是”</w:t>
            </w:r>
            <w:r>
              <w:rPr>
                <w:spacing w:val="-20"/>
              </w:rPr>
              <w:t xml:space="preserve"> </w:t>
            </w:r>
            <w:r>
              <w:rPr>
                <w:spacing w:val="4"/>
              </w:rPr>
              <w:t>，与事实不符。</w:t>
            </w:r>
          </w:p>
        </w:tc>
      </w:tr>
      <w:tr>
        <w:trPr>
          <w:trHeight w:val="3606" w:hRule="atLeast"/>
        </w:trPr>
        <w:tc>
          <w:tcPr>
            <w:tcW w:w="150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3"/>
              <w:spacing w:before="86" w:line="178" w:lineRule="auto"/>
              <w:rPr/>
            </w:pPr>
            <w:r>
              <w:rPr>
                <w:spacing w:val="3"/>
              </w:rPr>
              <w:t>300889</w:t>
            </w:r>
          </w:p>
        </w:tc>
        <w:tc>
          <w:tcPr>
            <w:tcW w:w="146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6"/>
              <w:spacing w:before="86" w:line="189" w:lineRule="auto"/>
              <w:rPr/>
            </w:pPr>
            <w:r>
              <w:rPr>
                <w:spacing w:val="9"/>
              </w:rPr>
              <w:t>爱克股份</w:t>
            </w:r>
          </w:p>
        </w:tc>
        <w:tc>
          <w:tcPr>
            <w:tcW w:w="152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55" w:type="dxa"/>
            <w:vAlign w:val="top"/>
          </w:tcPr>
          <w:p>
            <w:pPr>
              <w:pStyle w:val="TableText"/>
              <w:ind w:left="107" w:right="140" w:firstLine="2"/>
              <w:spacing w:before="92" w:line="245" w:lineRule="auto"/>
              <w:rPr/>
            </w:pPr>
            <w:r>
              <w:rPr>
                <w:spacing w:val="9"/>
              </w:rPr>
              <w:t>根据当时规定独立董事提名人在提名候选人时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,</w:t>
            </w:r>
            <w:r>
              <w:rPr>
                <w:spacing w:val="20"/>
              </w:rPr>
              <w:t xml:space="preserve">  </w:t>
            </w:r>
            <w:r>
              <w:rPr>
                <w:spacing w:val="9"/>
              </w:rPr>
              <w:t>除应当确保候选人具备独立性、</w:t>
            </w:r>
            <w:r>
              <w:rPr>
                <w:spacing w:val="55"/>
                <w:w w:val="101"/>
              </w:rPr>
              <w:t xml:space="preserve"> </w:t>
            </w:r>
            <w:r>
              <w:rPr>
                <w:spacing w:val="9"/>
              </w:rPr>
              <w:t>符合最多在</w:t>
            </w:r>
            <w:r>
              <w:rPr/>
              <w:t xml:space="preserve"> </w:t>
            </w:r>
            <w:r>
              <w:rPr>
                <w:spacing w:val="8"/>
              </w:rPr>
              <w:t>五家上市公司担任独立董事等任职资格外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，还</w:t>
            </w:r>
            <w:r>
              <w:rPr/>
              <w:t xml:space="preserve">   </w:t>
            </w:r>
            <w:r>
              <w:rPr>
                <w:spacing w:val="9"/>
              </w:rPr>
              <w:t>应当重点关注独立董事候选人是否存在同时在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超过五家公司担任董事、</w:t>
            </w:r>
            <w:r>
              <w:rPr>
                <w:spacing w:val="62"/>
              </w:rPr>
              <w:t xml:space="preserve"> </w:t>
            </w:r>
            <w:r>
              <w:rPr>
                <w:spacing w:val="9"/>
              </w:rPr>
              <w:t>监事或高级管理人员</w:t>
            </w:r>
            <w:r>
              <w:rPr/>
              <w:t xml:space="preserve"> </w:t>
            </w:r>
            <w:r>
              <w:rPr>
                <w:spacing w:val="9"/>
              </w:rPr>
              <w:t>的情形。但杨某宇、公司董事会分别在《独立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董事候选人声明》和《独立董事提名人声明》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中对于“不存在同时在</w:t>
            </w:r>
            <w:r>
              <w:rPr>
                <w:b/>
                <w:bCs/>
                <w:spacing w:val="9"/>
              </w:rPr>
              <w:t>超过五家以上的公司担</w:t>
            </w:r>
            <w:r>
              <w:rPr>
                <w:b/>
                <w:bCs/>
                <w:spacing w:val="5"/>
              </w:rPr>
              <w:t xml:space="preserve">   </w:t>
            </w:r>
            <w:r>
              <w:rPr>
                <w:b/>
                <w:bCs/>
                <w:spacing w:val="9"/>
              </w:rPr>
              <w:t>任董事、监事或高级管理人员</w:t>
            </w:r>
            <w:r>
              <w:rPr>
                <w:spacing w:val="9"/>
              </w:rPr>
              <w:t>”一栏均勾选“</w:t>
            </w:r>
            <w:r>
              <w:rPr>
                <w:spacing w:val="5"/>
              </w:rPr>
              <w:t xml:space="preserve">   </w:t>
            </w:r>
            <w:r>
              <w:rPr>
                <w:spacing w:val="4"/>
              </w:rPr>
              <w:t>是”</w:t>
            </w:r>
            <w:r>
              <w:rPr>
                <w:spacing w:val="-20"/>
              </w:rPr>
              <w:t xml:space="preserve"> </w:t>
            </w:r>
            <w:r>
              <w:rPr>
                <w:spacing w:val="4"/>
              </w:rPr>
              <w:t>，与事实不符。</w:t>
            </w:r>
          </w:p>
        </w:tc>
      </w:tr>
      <w:tr>
        <w:trPr>
          <w:trHeight w:val="3606" w:hRule="atLeast"/>
        </w:trPr>
        <w:tc>
          <w:tcPr>
            <w:shd w:val="clear" w:fill="B8CCE4"/>
            <w:tcW w:w="150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7"/>
              <w:spacing w:before="86" w:line="178" w:lineRule="auto"/>
              <w:rPr/>
            </w:pPr>
            <w:r>
              <w:rPr>
                <w:spacing w:val="3"/>
              </w:rPr>
              <w:t>000039</w:t>
            </w:r>
          </w:p>
        </w:tc>
        <w:tc>
          <w:tcPr>
            <w:shd w:val="clear" w:fill="B8CCE4"/>
            <w:tcW w:w="146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2"/>
              <w:spacing w:before="86" w:line="189" w:lineRule="auto"/>
              <w:rPr/>
            </w:pPr>
            <w:r>
              <w:rPr>
                <w:spacing w:val="5"/>
              </w:rPr>
              <w:t>中集集团</w:t>
            </w:r>
          </w:p>
        </w:tc>
        <w:tc>
          <w:tcPr>
            <w:shd w:val="clear" w:fill="B8CCE4"/>
            <w:tcW w:w="152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0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55" w:type="dxa"/>
            <w:vAlign w:val="top"/>
          </w:tcPr>
          <w:p>
            <w:pPr>
              <w:pStyle w:val="TableText"/>
              <w:ind w:left="107" w:right="140" w:firstLine="2"/>
              <w:spacing w:before="92" w:line="245" w:lineRule="auto"/>
              <w:jc w:val="both"/>
              <w:rPr/>
            </w:pPr>
            <w:r>
              <w:rPr>
                <w:spacing w:val="9"/>
              </w:rPr>
              <w:t>根据当时规定独立董事提名人在提名候选人时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,</w:t>
            </w:r>
            <w:r>
              <w:rPr>
                <w:spacing w:val="20"/>
              </w:rPr>
              <w:t xml:space="preserve">  </w:t>
            </w:r>
            <w:r>
              <w:rPr>
                <w:spacing w:val="9"/>
              </w:rPr>
              <w:t>除应当确保候选人具备独立性、</w:t>
            </w:r>
            <w:r>
              <w:rPr>
                <w:spacing w:val="55"/>
                <w:w w:val="101"/>
              </w:rPr>
              <w:t xml:space="preserve"> </w:t>
            </w:r>
            <w:r>
              <w:rPr>
                <w:spacing w:val="9"/>
              </w:rPr>
              <w:t>符合最多在</w:t>
            </w:r>
            <w:r>
              <w:rPr/>
              <w:t xml:space="preserve"> </w:t>
            </w:r>
            <w:r>
              <w:rPr>
                <w:spacing w:val="8"/>
              </w:rPr>
              <w:t>五家上市公司担任独立董事等任职资格外</w:t>
            </w:r>
            <w:r>
              <w:rPr>
                <w:spacing w:val="-24"/>
              </w:rPr>
              <w:t xml:space="preserve"> </w:t>
            </w:r>
            <w:r>
              <w:rPr>
                <w:spacing w:val="8"/>
              </w:rPr>
              <w:t>，还</w:t>
            </w:r>
            <w:r>
              <w:rPr/>
              <w:t xml:space="preserve">   </w:t>
            </w:r>
            <w:r>
              <w:rPr>
                <w:spacing w:val="9"/>
              </w:rPr>
              <w:t>应当重点关注独立董事候选人是否存在同时在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超过五家公司担任董事、</w:t>
            </w:r>
            <w:r>
              <w:rPr>
                <w:spacing w:val="62"/>
              </w:rPr>
              <w:t xml:space="preserve"> </w:t>
            </w:r>
            <w:r>
              <w:rPr>
                <w:spacing w:val="9"/>
              </w:rPr>
              <w:t>监事或高级管理人员</w:t>
            </w:r>
            <w:r>
              <w:rPr/>
              <w:t xml:space="preserve"> </w:t>
            </w:r>
            <w:r>
              <w:rPr>
                <w:spacing w:val="9"/>
              </w:rPr>
              <w:t>的情形。但杨某、公司董事会分别在《独立董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事候选人声明》和《独立董事提名人声明》中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对于“不存在同时在</w:t>
            </w:r>
            <w:r>
              <w:rPr>
                <w:b/>
                <w:bCs/>
                <w:spacing w:val="9"/>
              </w:rPr>
              <w:t>超过五家以上的公司担任</w:t>
            </w:r>
            <w:r>
              <w:rPr>
                <w:b/>
                <w:bCs/>
                <w:spacing w:val="5"/>
              </w:rPr>
              <w:t xml:space="preserve">   </w:t>
            </w:r>
            <w:r>
              <w:rPr>
                <w:b/>
                <w:bCs/>
                <w:spacing w:val="9"/>
              </w:rPr>
              <w:t>董事、监事或高级管理人员</w:t>
            </w:r>
            <w:r>
              <w:rPr>
                <w:spacing w:val="9"/>
              </w:rPr>
              <w:t>”一栏均勾选“是</w:t>
            </w:r>
            <w:r>
              <w:rPr>
                <w:spacing w:val="5"/>
              </w:rPr>
              <w:t xml:space="preserve">   </w:t>
            </w:r>
            <w:r>
              <w:rPr>
                <w:spacing w:val="4"/>
              </w:rPr>
              <w:t>”</w:t>
            </w:r>
            <w:r>
              <w:rPr>
                <w:spacing w:val="-24"/>
              </w:rPr>
              <w:t xml:space="preserve"> </w:t>
            </w:r>
            <w:r>
              <w:rPr>
                <w:spacing w:val="4"/>
              </w:rPr>
              <w:t>,</w:t>
            </w:r>
            <w:r>
              <w:rPr>
                <w:spacing w:val="15"/>
              </w:rPr>
              <w:t xml:space="preserve">  </w:t>
            </w:r>
            <w:r>
              <w:rPr>
                <w:spacing w:val="4"/>
              </w:rPr>
              <w:t>与事实不符。</w:t>
            </w:r>
          </w:p>
        </w:tc>
      </w:tr>
      <w:tr>
        <w:trPr>
          <w:trHeight w:val="725" w:hRule="atLeast"/>
        </w:trPr>
        <w:tc>
          <w:tcPr>
            <w:tcW w:w="1504" w:type="dxa"/>
            <w:vAlign w:val="top"/>
          </w:tcPr>
          <w:p>
            <w:pPr>
              <w:pStyle w:val="TableText"/>
              <w:ind w:left="387"/>
              <w:spacing w:before="285" w:line="178" w:lineRule="auto"/>
              <w:rPr/>
            </w:pPr>
            <w:r>
              <w:rPr>
                <w:spacing w:val="3"/>
              </w:rPr>
              <w:t>000046</w:t>
            </w:r>
          </w:p>
        </w:tc>
        <w:tc>
          <w:tcPr>
            <w:tcW w:w="1460" w:type="dxa"/>
            <w:vAlign w:val="top"/>
          </w:tcPr>
          <w:p>
            <w:pPr>
              <w:pStyle w:val="TableText"/>
              <w:ind w:left="356"/>
              <w:spacing w:before="270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泛海</w:t>
            </w:r>
          </w:p>
        </w:tc>
        <w:tc>
          <w:tcPr>
            <w:tcW w:w="1525" w:type="dxa"/>
            <w:vAlign w:val="top"/>
          </w:tcPr>
          <w:p>
            <w:pPr>
              <w:pStyle w:val="TableText"/>
              <w:ind w:left="450"/>
              <w:spacing w:before="270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55" w:type="dxa"/>
            <w:vAlign w:val="top"/>
          </w:tcPr>
          <w:p>
            <w:pPr>
              <w:pStyle w:val="TableText"/>
              <w:ind w:left="108"/>
              <w:spacing w:before="90" w:line="189" w:lineRule="auto"/>
              <w:rPr/>
            </w:pPr>
            <w:r>
              <w:rPr>
                <w:spacing w:val="9"/>
              </w:rPr>
              <w:t>公司存在多笔</w:t>
            </w:r>
            <w:r>
              <w:rPr>
                <w:b/>
                <w:bCs/>
                <w:spacing w:val="9"/>
              </w:rPr>
              <w:t>重大债务逾期</w:t>
            </w:r>
            <w:r>
              <w:rPr>
                <w:spacing w:val="9"/>
              </w:rPr>
              <w:t>未及时披露的情形</w:t>
            </w:r>
          </w:p>
          <w:p>
            <w:pPr>
              <w:pStyle w:val="TableText"/>
              <w:ind w:left="119"/>
              <w:spacing w:before="238" w:line="115" w:lineRule="exact"/>
              <w:rPr/>
            </w:pPr>
            <w:r>
              <w:rPr>
                <w:position w:val="3"/>
              </w:rPr>
              <w:t>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504" w:type="dxa"/>
            <w:vAlign w:val="top"/>
          </w:tcPr>
          <w:p>
            <w:pPr>
              <w:pStyle w:val="TableText"/>
              <w:ind w:left="393"/>
              <w:spacing w:before="285" w:line="178" w:lineRule="auto"/>
              <w:rPr/>
            </w:pPr>
            <w:r>
              <w:rPr>
                <w:spacing w:val="3"/>
              </w:rPr>
              <w:t>300903</w:t>
            </w:r>
          </w:p>
        </w:tc>
        <w:tc>
          <w:tcPr>
            <w:shd w:val="clear" w:fill="B8CCE4"/>
            <w:tcW w:w="1460" w:type="dxa"/>
            <w:vAlign w:val="top"/>
          </w:tcPr>
          <w:p>
            <w:pPr>
              <w:pStyle w:val="TableText"/>
              <w:ind w:left="307"/>
              <w:spacing w:before="271" w:line="188" w:lineRule="auto"/>
              <w:rPr/>
            </w:pPr>
            <w:r>
              <w:rPr>
                <w:spacing w:val="8"/>
              </w:rPr>
              <w:t>科翔股份</w:t>
            </w:r>
          </w:p>
        </w:tc>
        <w:tc>
          <w:tcPr>
            <w:shd w:val="clear" w:fill="B8CCE4"/>
            <w:tcW w:w="1525" w:type="dxa"/>
            <w:vAlign w:val="top"/>
          </w:tcPr>
          <w:p>
            <w:pPr>
              <w:pStyle w:val="TableText"/>
              <w:ind w:left="450"/>
              <w:spacing w:before="270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55" w:type="dxa"/>
            <w:vAlign w:val="top"/>
          </w:tcPr>
          <w:p>
            <w:pPr>
              <w:pStyle w:val="TableText"/>
              <w:ind w:left="109" w:right="245"/>
              <w:spacing w:before="88" w:line="219" w:lineRule="auto"/>
              <w:rPr/>
            </w:pPr>
            <w:r>
              <w:rPr>
                <w:b/>
                <w:bCs/>
                <w:spacing w:val="9"/>
              </w:rPr>
              <w:t>重大投资项目进展</w:t>
            </w:r>
            <w:r>
              <w:rPr>
                <w:spacing w:val="9"/>
              </w:rPr>
              <w:t>披露不及时；未披露</w:t>
            </w:r>
            <w:r>
              <w:rPr>
                <w:b/>
                <w:bCs/>
                <w:spacing w:val="9"/>
              </w:rPr>
              <w:t>并购子</w:t>
            </w:r>
            <w:r>
              <w:rPr>
                <w:b/>
                <w:bCs/>
                <w:spacing w:val="13"/>
              </w:rPr>
              <w:t xml:space="preserve"> </w:t>
            </w:r>
            <w:r>
              <w:rPr>
                <w:b/>
                <w:bCs/>
                <w:spacing w:val="8"/>
              </w:rPr>
              <w:t>公司对外担保</w:t>
            </w:r>
            <w:r>
              <w:rPr>
                <w:spacing w:val="8"/>
              </w:rPr>
              <w:t>情况。</w:t>
            </w:r>
          </w:p>
        </w:tc>
      </w:tr>
      <w:tr>
        <w:trPr>
          <w:trHeight w:val="726" w:hRule="atLeast"/>
        </w:trPr>
        <w:tc>
          <w:tcPr>
            <w:tcW w:w="1504" w:type="dxa"/>
            <w:vAlign w:val="top"/>
          </w:tcPr>
          <w:p>
            <w:pPr>
              <w:pStyle w:val="TableText"/>
              <w:ind w:left="387"/>
              <w:spacing w:before="284" w:line="178" w:lineRule="auto"/>
              <w:rPr/>
            </w:pPr>
            <w:r>
              <w:rPr>
                <w:spacing w:val="3"/>
              </w:rPr>
              <w:t>000826</w:t>
            </w:r>
          </w:p>
        </w:tc>
        <w:tc>
          <w:tcPr>
            <w:tcW w:w="1460" w:type="dxa"/>
            <w:vAlign w:val="top"/>
          </w:tcPr>
          <w:p>
            <w:pPr>
              <w:pStyle w:val="TableText"/>
              <w:ind w:left="306"/>
              <w:spacing w:before="268" w:line="190" w:lineRule="auto"/>
              <w:rPr/>
            </w:pPr>
            <w:r>
              <w:rPr>
                <w:spacing w:val="9"/>
              </w:rPr>
              <w:t>启迪环境</w:t>
            </w:r>
          </w:p>
        </w:tc>
        <w:tc>
          <w:tcPr>
            <w:tcW w:w="1525" w:type="dxa"/>
            <w:vAlign w:val="top"/>
          </w:tcPr>
          <w:p>
            <w:pPr>
              <w:pStyle w:val="TableText"/>
              <w:ind w:left="450"/>
              <w:spacing w:before="269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55" w:type="dxa"/>
            <w:vAlign w:val="top"/>
          </w:tcPr>
          <w:p>
            <w:pPr>
              <w:pStyle w:val="TableText"/>
              <w:ind w:left="110" w:right="245" w:hanging="1"/>
              <w:spacing w:before="92" w:line="218" w:lineRule="auto"/>
              <w:rPr/>
            </w:pPr>
            <w:r>
              <w:rPr>
                <w:spacing w:val="9"/>
              </w:rPr>
              <w:t>未完整披露</w:t>
            </w:r>
            <w:r>
              <w:rPr>
                <w:b/>
                <w:bCs/>
                <w:spacing w:val="9"/>
              </w:rPr>
              <w:t>关联方和关联应收款项</w:t>
            </w:r>
            <w:r>
              <w:rPr>
                <w:spacing w:val="9"/>
              </w:rPr>
              <w:t>；未披露对</w:t>
            </w:r>
            <w:r>
              <w:rPr>
                <w:spacing w:val="14"/>
              </w:rPr>
              <w:t xml:space="preserve"> </w:t>
            </w:r>
            <w:r>
              <w:rPr>
                <w:spacing w:val="8"/>
              </w:rPr>
              <w:t>关联方的</w:t>
            </w:r>
            <w:r>
              <w:rPr>
                <w:b/>
                <w:bCs/>
                <w:spacing w:val="8"/>
              </w:rPr>
              <w:t>担保债权。</w:t>
            </w:r>
          </w:p>
        </w:tc>
      </w:tr>
      <w:tr>
        <w:trPr>
          <w:trHeight w:val="729" w:hRule="atLeast"/>
        </w:trPr>
        <w:tc>
          <w:tcPr>
            <w:shd w:val="clear" w:fill="B8CCE4"/>
            <w:tcW w:w="1504" w:type="dxa"/>
            <w:vAlign w:val="top"/>
          </w:tcPr>
          <w:p>
            <w:pPr>
              <w:pStyle w:val="TableText"/>
              <w:ind w:left="387"/>
              <w:spacing w:before="283" w:line="178" w:lineRule="auto"/>
              <w:rPr/>
            </w:pPr>
            <w:r>
              <w:rPr>
                <w:spacing w:val="3"/>
              </w:rPr>
              <w:t>002483</w:t>
            </w:r>
          </w:p>
        </w:tc>
        <w:tc>
          <w:tcPr>
            <w:shd w:val="clear" w:fill="B8CCE4"/>
            <w:tcW w:w="1460" w:type="dxa"/>
            <w:vAlign w:val="top"/>
          </w:tcPr>
          <w:p>
            <w:pPr>
              <w:pStyle w:val="TableText"/>
              <w:ind w:left="307"/>
              <w:spacing w:before="269" w:line="188" w:lineRule="auto"/>
              <w:rPr/>
            </w:pPr>
            <w:r>
              <w:rPr>
                <w:spacing w:val="8"/>
              </w:rPr>
              <w:t>润邦股份</w:t>
            </w:r>
          </w:p>
        </w:tc>
        <w:tc>
          <w:tcPr>
            <w:shd w:val="clear" w:fill="B8CCE4"/>
            <w:tcW w:w="1525" w:type="dxa"/>
            <w:vAlign w:val="top"/>
          </w:tcPr>
          <w:p>
            <w:pPr>
              <w:pStyle w:val="TableText"/>
              <w:ind w:left="342"/>
              <w:spacing w:before="269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B8CCE4"/>
            <w:tcW w:w="4555" w:type="dxa"/>
            <w:vAlign w:val="top"/>
          </w:tcPr>
          <w:p>
            <w:pPr>
              <w:pStyle w:val="TableText"/>
              <w:ind w:left="109" w:right="245" w:firstLine="1"/>
              <w:spacing w:before="89" w:line="220" w:lineRule="auto"/>
              <w:rPr/>
            </w:pPr>
            <w:r>
              <w:rPr>
                <w:spacing w:val="8"/>
              </w:rPr>
              <w:t>业绩承诺方未支付现金补偿款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，未按照公开披</w:t>
            </w:r>
            <w:r>
              <w:rPr/>
              <w:t xml:space="preserve"> </w:t>
            </w:r>
            <w:r>
              <w:rPr>
                <w:spacing w:val="8"/>
              </w:rPr>
              <w:t>露的信息及时</w:t>
            </w:r>
            <w:r>
              <w:rPr>
                <w:b/>
                <w:bCs/>
                <w:spacing w:val="8"/>
              </w:rPr>
              <w:t>履行业绩补偿承诺。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019" w:bottom="400" w:left="1786" w:header="0" w:footer="0" w:gutter="0"/>
        </w:sectPr>
        <w:rPr/>
      </w:pPr>
    </w:p>
    <w:p>
      <w:pPr>
        <w:ind w:left="79"/>
        <w:spacing w:before="26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8"/>
        </w:rPr>
        <w:t>（ 2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8"/>
        </w:rPr>
        <w:t>）函件统计</w:t>
      </w:r>
    </w:p>
    <w:p>
      <w:pPr>
        <w:ind w:left="743"/>
        <w:spacing w:before="62" w:line="183" w:lineRule="auto"/>
        <w:rPr>
          <w:rFonts w:ascii="Microsoft YaHei" w:hAnsi="Microsoft YaHei" w:eastAsia="Microsoft YaHei" w:cs="Microsoft YaHei"/>
          <w:sz w:val="22"/>
          <w:szCs w:val="22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column">
                  <wp:posOffset>393522</wp:posOffset>
                </wp:positionH>
                <wp:positionV relativeFrom="paragraph">
                  <wp:posOffset>-17009</wp:posOffset>
                </wp:positionV>
                <wp:extent cx="5698490" cy="384175"/>
                <wp:effectExtent l="0" t="0" r="0" b="0"/>
                <wp:wrapNone/>
                <wp:docPr id="16" name="Rect 16"/>
                <wp:cNvGraphicFramePr/>
                <a:graphic>
                  <a:graphicData uri="http://schemas.microsoft.com/office/word/2010/wordprocessingShape">
                    <wps:wsp>
                      <wps:cNvPr id="16" name="Rect 16"/>
                      <wps:cNvSpPr/>
                      <wps:spPr>
                        <a:xfrm>
                          <a:off x="393522" y="-17009"/>
                          <a:ext cx="5698490" cy="384175"/>
                        </a:xfrm>
                        <a:prstGeom prst="rect">
                          <a:avLst/>
                        </a:prstGeom>
                        <a:solidFill>
                          <a:srgbClr val="4BACC6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46" style="position:absolute;margin-left:30.986pt;margin-top:-1.3393pt;mso-position-vertical-relative:text;mso-position-horizontal-relative:text;width:448.7pt;height:30.25pt;z-index:-251631616;" fillcolor="#4BACC6" filled="true" stroked="false"/>
            </w:pict>
          </mc:Fallback>
        </mc:AlternateContent>
      </w:r>
      <w:r>
        <w:pict>
          <v:shape id="_x0000_s48" style="position:absolute;margin-left:292.297pt;margin-top:2.10821pt;mso-position-vertical-relative:text;mso-position-horizontal-relative:text;width:45.45pt;height:16.45pt;z-index:251686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4" w:lineRule="auto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b/>
                      <w:bCs/>
                      <w:spacing w:val="-3"/>
                    </w:rPr>
                    <w:t>问询类型</w:t>
                  </w:r>
                </w:p>
              </w:txbxContent>
            </v:textbox>
          </v:shape>
        </w:pict>
      </w:r>
      <w:r>
        <w:pict>
          <v:shape id="_x0000_s50" style="position:absolute;margin-left:95.557pt;margin-top:2.14135pt;mso-position-vertical-relative:text;mso-position-horizontal-relative:text;width:45.85pt;height:16.45pt;z-index:2516858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3" w:lineRule="auto"/>
                    <w:rPr>
                      <w:rFonts w:ascii="Microsoft YaHei" w:hAnsi="Microsoft YaHei" w:eastAsia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22"/>
                      <w:szCs w:val="22"/>
                      <w:b/>
                      <w:bCs/>
                      <w:spacing w:val="-1"/>
                    </w:rPr>
                    <w:t>公司简称</w:t>
                  </w:r>
                </w:p>
              </w:txbxContent>
            </v:textbox>
          </v:shape>
        </w:pict>
      </w:r>
      <w:r>
        <w:rPr>
          <w:rFonts w:ascii="Microsoft YaHei" w:hAnsi="Microsoft YaHei" w:eastAsia="Microsoft YaHei" w:cs="Microsoft YaHei"/>
          <w:sz w:val="22"/>
          <w:szCs w:val="22"/>
          <w:b/>
          <w:bCs/>
          <w:spacing w:val="-1"/>
        </w:rPr>
        <w:t>公司代码</w:t>
      </w:r>
    </w:p>
    <w:p>
      <w:pPr>
        <w:spacing w:line="227" w:lineRule="exact"/>
        <w:rPr/>
      </w:pPr>
      <w:r/>
    </w:p>
    <w:tbl>
      <w:tblPr>
        <w:tblStyle w:val="TableNormal"/>
        <w:tblW w:w="8977" w:type="dxa"/>
        <w:tblInd w:w="617" w:type="dxa"/>
        <w:tblLayout w:type="fixed"/>
        <w:tblBorders>
          <w:top w:val="single" w:color="78C0D4" w:sz="2" w:space="0"/>
          <w:left w:val="single" w:color="78C0D4" w:sz="2" w:space="0"/>
          <w:bottom w:val="single" w:color="78C0D4" w:sz="2" w:space="0"/>
          <w:right w:val="single" w:color="78C0D4" w:sz="2" w:space="0"/>
          <w:insideH w:val="single" w:color="78C0D4" w:sz="2" w:space="0"/>
          <w:insideV w:val="single" w:color="78C0D4" w:sz="2" w:space="0"/>
        </w:tblBorders>
      </w:tblPr>
      <w:tblGrid>
        <w:gridCol w:w="1125"/>
        <w:gridCol w:w="1251"/>
        <w:gridCol w:w="6601"/>
      </w:tblGrid>
      <w:tr>
        <w:trPr>
          <w:trHeight w:val="468" w:hRule="atLeast"/>
        </w:trPr>
        <w:tc>
          <w:tcPr>
            <w:tcW w:w="1125" w:type="dxa"/>
            <w:vAlign w:val="top"/>
          </w:tcPr>
          <w:p>
            <w:pPr>
              <w:pStyle w:val="TableText"/>
              <w:ind w:left="199"/>
              <w:spacing w:before="153" w:line="179" w:lineRule="auto"/>
              <w:rPr/>
            </w:pPr>
            <w:r>
              <w:rPr>
                <w:spacing w:val="3"/>
              </w:rPr>
              <w:t>001288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04"/>
              <w:spacing w:before="139" w:line="189" w:lineRule="auto"/>
              <w:rPr/>
            </w:pPr>
            <w:r>
              <w:rPr>
                <w:spacing w:val="8"/>
              </w:rPr>
              <w:t>运机集团</w:t>
            </w:r>
          </w:p>
        </w:tc>
        <w:tc>
          <w:tcPr>
            <w:tcW w:w="6601" w:type="dxa"/>
            <w:vAlign w:val="top"/>
          </w:tcPr>
          <w:p>
            <w:pPr>
              <w:pStyle w:val="TableText"/>
              <w:ind w:left="2566"/>
              <w:spacing w:before="139" w:line="189" w:lineRule="auto"/>
              <w:rPr/>
            </w:pPr>
            <w:r>
              <w:rPr>
                <w:spacing w:val="9"/>
              </w:rPr>
              <w:t>并购重组问询函</w:t>
            </w:r>
          </w:p>
        </w:tc>
      </w:tr>
      <w:tr>
        <w:trPr>
          <w:trHeight w:val="464" w:hRule="atLeast"/>
        </w:trPr>
        <w:tc>
          <w:tcPr>
            <w:shd w:val="clear" w:fill="C7D9F1"/>
            <w:tcW w:w="1125" w:type="dxa"/>
            <w:vAlign w:val="top"/>
          </w:tcPr>
          <w:p>
            <w:pPr>
              <w:pStyle w:val="TableText"/>
              <w:ind w:left="199"/>
              <w:spacing w:before="149" w:line="178" w:lineRule="auto"/>
              <w:rPr/>
            </w:pPr>
            <w:r>
              <w:rPr>
                <w:spacing w:val="3"/>
              </w:rPr>
              <w:t>002657</w:t>
            </w:r>
          </w:p>
        </w:tc>
        <w:tc>
          <w:tcPr>
            <w:shd w:val="clear" w:fill="C7D9F1"/>
            <w:tcW w:w="1251" w:type="dxa"/>
            <w:vAlign w:val="top"/>
          </w:tcPr>
          <w:p>
            <w:pPr>
              <w:pStyle w:val="TableText"/>
              <w:ind w:left="218"/>
              <w:spacing w:before="134" w:line="189" w:lineRule="auto"/>
              <w:rPr/>
            </w:pPr>
            <w:r>
              <w:rPr>
                <w:spacing w:val="5"/>
              </w:rPr>
              <w:t>中科金财</w:t>
            </w:r>
          </w:p>
        </w:tc>
        <w:tc>
          <w:tcPr>
            <w:shd w:val="clear" w:fill="C7D9F1"/>
            <w:tcW w:w="6601" w:type="dxa"/>
            <w:vAlign w:val="top"/>
          </w:tcPr>
          <w:p>
            <w:pPr>
              <w:pStyle w:val="TableText"/>
              <w:ind w:left="2986"/>
              <w:spacing w:before="134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tcW w:w="1125" w:type="dxa"/>
            <w:vAlign w:val="top"/>
          </w:tcPr>
          <w:p>
            <w:pPr>
              <w:pStyle w:val="TableText"/>
              <w:ind w:left="199"/>
              <w:spacing w:before="150" w:line="178" w:lineRule="auto"/>
              <w:rPr/>
            </w:pPr>
            <w:r>
              <w:rPr>
                <w:spacing w:val="3"/>
              </w:rPr>
              <w:t>000005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302"/>
              <w:spacing w:before="140" w:line="186" w:lineRule="auto"/>
              <w:rPr/>
            </w:pPr>
            <w:r>
              <w:rPr/>
              <w:t>ST</w:t>
            </w:r>
            <w:r>
              <w:rPr>
                <w:spacing w:val="8"/>
              </w:rPr>
              <w:t>星源</w:t>
            </w:r>
          </w:p>
        </w:tc>
        <w:tc>
          <w:tcPr>
            <w:tcW w:w="6601" w:type="dxa"/>
            <w:vAlign w:val="top"/>
          </w:tcPr>
          <w:p>
            <w:pPr>
              <w:pStyle w:val="TableText"/>
              <w:ind w:left="2986"/>
              <w:spacing w:before="136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shd w:val="clear" w:fill="C7D9F1"/>
            <w:tcW w:w="1125" w:type="dxa"/>
            <w:vAlign w:val="top"/>
          </w:tcPr>
          <w:p>
            <w:pPr>
              <w:pStyle w:val="TableText"/>
              <w:ind w:left="199"/>
              <w:spacing w:before="151" w:line="178" w:lineRule="auto"/>
              <w:rPr/>
            </w:pPr>
            <w:r>
              <w:rPr>
                <w:spacing w:val="3"/>
              </w:rPr>
              <w:t>000976</w:t>
            </w:r>
          </w:p>
        </w:tc>
        <w:tc>
          <w:tcPr>
            <w:shd w:val="clear" w:fill="C7D9F1"/>
            <w:tcW w:w="1251" w:type="dxa"/>
            <w:vAlign w:val="top"/>
          </w:tcPr>
          <w:p>
            <w:pPr>
              <w:pStyle w:val="TableText"/>
              <w:ind w:left="302"/>
              <w:spacing w:before="136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华铁</w:t>
            </w:r>
          </w:p>
        </w:tc>
        <w:tc>
          <w:tcPr>
            <w:shd w:val="clear" w:fill="C7D9F1"/>
            <w:tcW w:w="6601" w:type="dxa"/>
            <w:vAlign w:val="top"/>
          </w:tcPr>
          <w:p>
            <w:pPr>
              <w:pStyle w:val="TableText"/>
              <w:ind w:left="2986"/>
              <w:spacing w:before="136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tcW w:w="1125" w:type="dxa"/>
            <w:vAlign w:val="top"/>
          </w:tcPr>
          <w:p>
            <w:pPr>
              <w:pStyle w:val="TableText"/>
              <w:ind w:left="205"/>
              <w:spacing w:before="152" w:line="178" w:lineRule="auto"/>
              <w:rPr/>
            </w:pPr>
            <w:r>
              <w:rPr>
                <w:spacing w:val="3"/>
              </w:rPr>
              <w:t>300366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03"/>
              <w:spacing w:before="136" w:line="190" w:lineRule="auto"/>
              <w:rPr/>
            </w:pPr>
            <w:r>
              <w:rPr>
                <w:spacing w:val="8"/>
              </w:rPr>
              <w:t>创意信息</w:t>
            </w:r>
          </w:p>
        </w:tc>
        <w:tc>
          <w:tcPr>
            <w:tcW w:w="6601" w:type="dxa"/>
            <w:vAlign w:val="top"/>
          </w:tcPr>
          <w:p>
            <w:pPr>
              <w:pStyle w:val="TableText"/>
              <w:ind w:left="2986"/>
              <w:spacing w:before="137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shd w:val="clear" w:fill="C7D9F1"/>
            <w:tcW w:w="1125" w:type="dxa"/>
            <w:vAlign w:val="top"/>
          </w:tcPr>
          <w:p>
            <w:pPr>
              <w:pStyle w:val="TableText"/>
              <w:ind w:left="205"/>
              <w:spacing w:before="152" w:line="178" w:lineRule="auto"/>
              <w:rPr/>
            </w:pPr>
            <w:r>
              <w:rPr>
                <w:spacing w:val="3"/>
              </w:rPr>
              <w:t>300282</w:t>
            </w:r>
          </w:p>
        </w:tc>
        <w:tc>
          <w:tcPr>
            <w:shd w:val="clear" w:fill="C7D9F1"/>
            <w:tcW w:w="1251" w:type="dxa"/>
            <w:vAlign w:val="top"/>
          </w:tcPr>
          <w:p>
            <w:pPr>
              <w:pStyle w:val="TableText"/>
              <w:ind w:left="250"/>
              <w:spacing w:before="137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三盛</w:t>
            </w:r>
          </w:p>
        </w:tc>
        <w:tc>
          <w:tcPr>
            <w:shd w:val="clear" w:fill="C7D9F1"/>
            <w:tcW w:w="6601" w:type="dxa"/>
            <w:vAlign w:val="top"/>
          </w:tcPr>
          <w:p>
            <w:pPr>
              <w:pStyle w:val="TableText"/>
              <w:ind w:left="2986"/>
              <w:spacing w:before="137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tcW w:w="1125" w:type="dxa"/>
            <w:vAlign w:val="top"/>
          </w:tcPr>
          <w:p>
            <w:pPr>
              <w:pStyle w:val="TableText"/>
              <w:ind w:left="205"/>
              <w:spacing w:before="150" w:line="179" w:lineRule="auto"/>
              <w:rPr/>
            </w:pPr>
            <w:r>
              <w:rPr>
                <w:spacing w:val="3"/>
              </w:rPr>
              <w:t>300410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03"/>
              <w:spacing w:before="139" w:line="188" w:lineRule="auto"/>
              <w:rPr/>
            </w:pPr>
            <w:r>
              <w:rPr>
                <w:spacing w:val="8"/>
              </w:rPr>
              <w:t>正业科技</w:t>
            </w:r>
          </w:p>
        </w:tc>
        <w:tc>
          <w:tcPr>
            <w:tcW w:w="6601" w:type="dxa"/>
            <w:vAlign w:val="top"/>
          </w:tcPr>
          <w:p>
            <w:pPr>
              <w:pStyle w:val="TableText"/>
              <w:ind w:left="2986"/>
              <w:spacing w:before="137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shd w:val="clear" w:fill="C7D9F1"/>
            <w:tcW w:w="1125" w:type="dxa"/>
            <w:vAlign w:val="top"/>
          </w:tcPr>
          <w:p>
            <w:pPr>
              <w:pStyle w:val="TableText"/>
              <w:ind w:left="205"/>
              <w:spacing w:before="153" w:line="178" w:lineRule="auto"/>
              <w:rPr/>
            </w:pPr>
            <w:r>
              <w:rPr>
                <w:spacing w:val="3"/>
              </w:rPr>
              <w:t>300067</w:t>
            </w:r>
          </w:p>
        </w:tc>
        <w:tc>
          <w:tcPr>
            <w:shd w:val="clear" w:fill="C7D9F1"/>
            <w:tcW w:w="1251" w:type="dxa"/>
            <w:vAlign w:val="top"/>
          </w:tcPr>
          <w:p>
            <w:pPr>
              <w:pStyle w:val="TableText"/>
              <w:ind w:left="310"/>
              <w:spacing w:before="137" w:line="190" w:lineRule="auto"/>
              <w:rPr/>
            </w:pPr>
            <w:r>
              <w:rPr>
                <w:spacing w:val="8"/>
              </w:rPr>
              <w:t>安诺其</w:t>
            </w:r>
          </w:p>
        </w:tc>
        <w:tc>
          <w:tcPr>
            <w:shd w:val="clear" w:fill="C7D9F1"/>
            <w:tcW w:w="6601" w:type="dxa"/>
            <w:vAlign w:val="top"/>
          </w:tcPr>
          <w:p>
            <w:pPr>
              <w:pStyle w:val="TableText"/>
              <w:ind w:left="2986"/>
              <w:spacing w:before="139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tcW w:w="1125" w:type="dxa"/>
            <w:vAlign w:val="top"/>
          </w:tcPr>
          <w:p>
            <w:pPr>
              <w:pStyle w:val="TableText"/>
              <w:ind w:left="205"/>
              <w:spacing w:before="152" w:line="179" w:lineRule="auto"/>
              <w:rPr/>
            </w:pPr>
            <w:r>
              <w:rPr>
                <w:spacing w:val="3"/>
              </w:rPr>
              <w:t>300144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03"/>
              <w:spacing w:before="138" w:line="189" w:lineRule="auto"/>
              <w:rPr/>
            </w:pPr>
            <w:r>
              <w:rPr>
                <w:spacing w:val="8"/>
              </w:rPr>
              <w:t>宋城演艺</w:t>
            </w:r>
          </w:p>
        </w:tc>
        <w:tc>
          <w:tcPr>
            <w:tcW w:w="6601" w:type="dxa"/>
            <w:vAlign w:val="top"/>
          </w:tcPr>
          <w:p>
            <w:pPr>
              <w:pStyle w:val="TableText"/>
              <w:ind w:left="2986"/>
              <w:spacing w:before="138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shd w:val="clear" w:fill="C7D9F1"/>
            <w:tcW w:w="1125" w:type="dxa"/>
            <w:vAlign w:val="top"/>
          </w:tcPr>
          <w:p>
            <w:pPr>
              <w:pStyle w:val="TableText"/>
              <w:ind w:left="205"/>
              <w:spacing w:before="155" w:line="178" w:lineRule="auto"/>
              <w:rPr/>
            </w:pPr>
            <w:r>
              <w:rPr>
                <w:spacing w:val="3"/>
              </w:rPr>
              <w:t>300282</w:t>
            </w:r>
          </w:p>
        </w:tc>
        <w:tc>
          <w:tcPr>
            <w:shd w:val="clear" w:fill="C7D9F1"/>
            <w:tcW w:w="1251" w:type="dxa"/>
            <w:vAlign w:val="top"/>
          </w:tcPr>
          <w:p>
            <w:pPr>
              <w:pStyle w:val="TableText"/>
              <w:ind w:left="250"/>
              <w:spacing w:before="139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三盛</w:t>
            </w:r>
          </w:p>
        </w:tc>
        <w:tc>
          <w:tcPr>
            <w:shd w:val="clear" w:fill="C7D9F1"/>
            <w:tcW w:w="6601" w:type="dxa"/>
            <w:vAlign w:val="top"/>
          </w:tcPr>
          <w:p>
            <w:pPr>
              <w:pStyle w:val="TableText"/>
              <w:ind w:left="2986"/>
              <w:spacing w:before="140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tcW w:w="1125" w:type="dxa"/>
            <w:vAlign w:val="top"/>
          </w:tcPr>
          <w:p>
            <w:pPr>
              <w:pStyle w:val="TableText"/>
              <w:ind w:left="205"/>
              <w:spacing w:before="152" w:line="179" w:lineRule="auto"/>
              <w:rPr/>
            </w:pPr>
            <w:r>
              <w:rPr>
                <w:spacing w:val="3"/>
              </w:rPr>
              <w:t>300715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ind w:left="209"/>
              <w:spacing w:before="139" w:line="189" w:lineRule="auto"/>
              <w:rPr/>
            </w:pPr>
            <w:r>
              <w:rPr>
                <w:spacing w:val="7"/>
              </w:rPr>
              <w:t>凯伦股份</w:t>
            </w:r>
          </w:p>
        </w:tc>
        <w:tc>
          <w:tcPr>
            <w:tcW w:w="6601" w:type="dxa"/>
            <w:vAlign w:val="top"/>
          </w:tcPr>
          <w:p>
            <w:pPr>
              <w:pStyle w:val="TableText"/>
              <w:ind w:left="2986"/>
              <w:spacing w:before="139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8" w:hRule="atLeast"/>
        </w:trPr>
        <w:tc>
          <w:tcPr>
            <w:shd w:val="clear" w:fill="C7D9F1"/>
            <w:tcW w:w="1125" w:type="dxa"/>
            <w:vAlign w:val="top"/>
          </w:tcPr>
          <w:p>
            <w:pPr>
              <w:pStyle w:val="TableText"/>
              <w:ind w:left="205"/>
              <w:spacing w:before="153" w:line="178" w:lineRule="auto"/>
              <w:rPr/>
            </w:pPr>
            <w:r>
              <w:rPr>
                <w:spacing w:val="3"/>
              </w:rPr>
              <w:t>300742</w:t>
            </w:r>
          </w:p>
        </w:tc>
        <w:tc>
          <w:tcPr>
            <w:shd w:val="clear" w:fill="C7D9F1"/>
            <w:tcW w:w="1251" w:type="dxa"/>
            <w:vAlign w:val="top"/>
          </w:tcPr>
          <w:p>
            <w:pPr>
              <w:pStyle w:val="TableText"/>
              <w:ind w:left="250"/>
              <w:spacing w:before="139" w:line="188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越博</w:t>
            </w:r>
          </w:p>
        </w:tc>
        <w:tc>
          <w:tcPr>
            <w:shd w:val="clear" w:fill="C7D9F1"/>
            <w:tcW w:w="6601" w:type="dxa"/>
            <w:vAlign w:val="top"/>
          </w:tcPr>
          <w:p>
            <w:pPr>
              <w:pStyle w:val="TableText"/>
              <w:ind w:left="2986"/>
              <w:spacing w:before="138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</w:tbl>
    <w:p>
      <w:pPr>
        <w:pStyle w:val="BodyText"/>
        <w:spacing w:line="320" w:lineRule="auto"/>
        <w:rPr/>
      </w:pPr>
      <w:r/>
    </w:p>
    <w:p>
      <w:pPr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5"/>
        </w:rPr>
        <w:t>2、市场交易监管动态</w:t>
      </w:r>
    </w:p>
    <w:p>
      <w:pPr>
        <w:pStyle w:val="BodyText"/>
        <w:spacing w:line="253" w:lineRule="auto"/>
        <w:rPr/>
      </w:pPr>
      <w:r/>
    </w:p>
    <w:p>
      <w:pPr>
        <w:ind w:left="79" w:firstLine="436"/>
        <w:spacing w:before="94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2024年2月19日-2月25日，深交所共对82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起证券异常交易行为采取了自律监管措施，涉及盘中拉抬打  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压、虚假申报等异常交易情形；对“*ST左江”等涨跌异常证券以及量化交易行为进行重点监控；共对7起上</w:t>
      </w:r>
      <w:r>
        <w:rPr>
          <w:rFonts w:ascii="Microsoft YaHei" w:hAnsi="Microsoft YaHei" w:eastAsia="Microsoft YaHei" w:cs="Microsoft YaHei"/>
          <w:sz w:val="22"/>
          <w:szCs w:val="22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市公司重大事项进行核查，并上报证监会1起涉嫌违法违规案件线索。</w:t>
      </w:r>
    </w:p>
    <w:sectPr>
      <w:pgSz w:w="11910" w:h="16840"/>
      <w:pgMar w:top="400" w:right="473" w:bottom="400" w:left="125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19811</wp:posOffset>
          </wp:positionH>
          <wp:positionV relativeFrom="page">
            <wp:posOffset>0</wp:posOffset>
          </wp:positionV>
          <wp:extent cx="7543038" cy="7498080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43038" cy="7498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footer" Target="footer1.xml"/><Relationship Id="rId7" Type="http://schemas.openxmlformats.org/officeDocument/2006/relationships/image" Target="media/image6.jpe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" Type="http://schemas.openxmlformats.org/officeDocument/2006/relationships/image" Target="media/image2.jpeg"/><Relationship Id="rId2" Type="http://schemas.openxmlformats.org/officeDocument/2006/relationships/header" Target="header2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白尚武</dc:creator>
  <dcterms:created xsi:type="dcterms:W3CDTF">2024-02-26T11:26:26Z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2024-03-06T16:13:32</vt:filetime>
  </property>
</Properties>
</file>