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5" w:lineRule="auto"/>
        <w:rPr/>
      </w:pPr>
      <w:r/>
    </w:p>
    <w:p>
      <w:pPr>
        <w:pStyle w:val="BodyText"/>
        <w:spacing w:line="265" w:lineRule="auto"/>
        <w:rPr/>
      </w:pPr>
      <w:r/>
    </w:p>
    <w:p>
      <w:pPr>
        <w:pStyle w:val="BodyText"/>
        <w:spacing w:line="265" w:lineRule="auto"/>
        <w:rPr/>
      </w:pPr>
      <w:r/>
    </w:p>
    <w:p>
      <w:pPr>
        <w:pStyle w:val="BodyText"/>
        <w:spacing w:line="265" w:lineRule="auto"/>
        <w:rPr/>
      </w:pPr>
      <w:r/>
    </w:p>
    <w:p>
      <w:pPr>
        <w:pStyle w:val="BodyText"/>
        <w:spacing w:line="265" w:lineRule="auto"/>
        <w:rPr/>
      </w:pPr>
      <w:r/>
    </w:p>
    <w:p>
      <w:pPr>
        <w:pStyle w:val="BodyText"/>
        <w:spacing w:line="265" w:lineRule="auto"/>
        <w:rPr/>
      </w:pPr>
      <w:r/>
    </w:p>
    <w:p>
      <w:pPr>
        <w:pStyle w:val="BodyText"/>
        <w:spacing w:line="266" w:lineRule="auto"/>
        <w:rPr/>
      </w:pPr>
      <w:r/>
    </w:p>
    <w:p>
      <w:pPr>
        <w:pStyle w:val="BodyText"/>
        <w:spacing w:line="266" w:lineRule="auto"/>
        <w:rPr/>
      </w:pPr>
      <w:r/>
    </w:p>
    <w:p>
      <w:pPr>
        <w:pStyle w:val="BodyText"/>
        <w:spacing w:line="266" w:lineRule="auto"/>
        <w:rPr/>
      </w:pPr>
      <w:r/>
    </w:p>
    <w:p>
      <w:pPr>
        <w:ind w:left="2571"/>
        <w:spacing w:before="260" w:line="217" w:lineRule="auto"/>
        <w:outlineLvl w:val="0"/>
        <w:rPr>
          <w:rFonts w:ascii="SimHei" w:hAnsi="SimHei" w:eastAsia="SimHei" w:cs="SimHei"/>
          <w:sz w:val="80"/>
          <w:szCs w:val="80"/>
        </w:rPr>
      </w:pPr>
      <w:r>
        <w:drawing>
          <wp:anchor distT="0" distB="0" distL="0" distR="0" simplePos="0" relativeHeight="251658240" behindDoc="1" locked="0" layoutInCell="1" allowOverlap="1">
            <wp:simplePos x="0" y="0"/>
            <wp:positionH relativeFrom="column">
              <wp:posOffset>0</wp:posOffset>
            </wp:positionH>
            <wp:positionV relativeFrom="paragraph">
              <wp:posOffset>-1781050</wp:posOffset>
            </wp:positionV>
            <wp:extent cx="7562850" cy="10693400"/>
            <wp:effectExtent l="0" t="0" r="0" b="0"/>
            <wp:wrapNone/>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7562850" cy="10693400"/>
                    </a:xfrm>
                    <a:prstGeom prst="rect">
                      <a:avLst/>
                    </a:prstGeom>
                  </pic:spPr>
                </pic:pic>
              </a:graphicData>
            </a:graphic>
          </wp:anchor>
        </w:drawing>
      </w:r>
      <w:r>
        <w:rPr>
          <w:rFonts w:ascii="SimHei" w:hAnsi="SimHei" w:eastAsia="SimHei" w:cs="SimHei"/>
          <w:sz w:val="80"/>
          <w:szCs w:val="80"/>
          <w:b/>
          <w:bCs/>
          <w:color w:val="FFFFFF"/>
          <w:spacing w:val="16"/>
        </w:rPr>
        <w:t>一周法规速递|监管动态</w:t>
      </w:r>
    </w:p>
    <w:p>
      <w:pPr>
        <w:ind w:left="5559"/>
        <w:spacing w:before="79" w:line="223" w:lineRule="auto"/>
        <w:rPr>
          <w:rFonts w:ascii="SimHei" w:hAnsi="SimHei" w:eastAsia="SimHei" w:cs="SimHei"/>
          <w:sz w:val="30"/>
          <w:szCs w:val="30"/>
        </w:rPr>
      </w:pPr>
      <w:r>
        <w:rPr>
          <w:rFonts w:ascii="SimHei" w:hAnsi="SimHei" w:eastAsia="SimHei" w:cs="SimHei"/>
          <w:sz w:val="30"/>
          <w:szCs w:val="30"/>
          <w:spacing w:val="16"/>
        </w:rPr>
        <w:t>2024年1月22日-2024年1月28日</w:t>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left="3689"/>
        <w:spacing w:before="98" w:line="436" w:lineRule="exact"/>
        <w:rPr>
          <w:rFonts w:ascii="SimHei" w:hAnsi="SimHei" w:eastAsia="SimHei" w:cs="SimHei"/>
          <w:sz w:val="30"/>
          <w:szCs w:val="30"/>
        </w:rPr>
      </w:pPr>
      <w:r>
        <w:rPr>
          <w:rFonts w:ascii="SimHei" w:hAnsi="SimHei" w:eastAsia="SimHei" w:cs="SimHei"/>
          <w:sz w:val="30"/>
          <w:szCs w:val="30"/>
          <w:spacing w:val="17"/>
          <w:position w:val="9"/>
        </w:rPr>
        <w:t>深圳价值在线咨询顾问有限公司</w:t>
      </w:r>
    </w:p>
    <w:p>
      <w:pPr>
        <w:ind w:left="4579"/>
        <w:spacing w:line="223" w:lineRule="auto"/>
        <w:rPr>
          <w:rFonts w:ascii="SimHei" w:hAnsi="SimHei" w:eastAsia="SimHei" w:cs="SimHei"/>
          <w:sz w:val="30"/>
          <w:szCs w:val="30"/>
        </w:rPr>
      </w:pPr>
      <w:r>
        <w:rPr>
          <w:rFonts w:ascii="SimHei" w:hAnsi="SimHei" w:eastAsia="SimHei" w:cs="SimHei"/>
          <w:sz w:val="30"/>
          <w:szCs w:val="30"/>
          <w:spacing w:val="37"/>
        </w:rPr>
        <w:t>2024年1月29日</w:t>
      </w:r>
    </w:p>
    <w:p>
      <w:pPr>
        <w:spacing w:line="223" w:lineRule="auto"/>
        <w:sectPr>
          <w:headerReference w:type="default" r:id="rId1"/>
          <w:pgSz w:w="11910" w:h="16840"/>
          <w:pgMar w:top="400" w:right="0" w:bottom="0" w:left="0" w:header="0" w:footer="0" w:gutter="0"/>
        </w:sectPr>
        <w:rPr>
          <w:rFonts w:ascii="SimHei" w:hAnsi="SimHei" w:eastAsia="SimHei" w:cs="SimHei"/>
          <w:sz w:val="30"/>
          <w:szCs w:val="30"/>
        </w:rPr>
      </w:pPr>
    </w:p>
    <w:p>
      <w:pPr>
        <w:ind w:left="1716"/>
        <w:spacing w:before="292" w:line="223" w:lineRule="auto"/>
        <w:rPr>
          <w:rFonts w:ascii="SimHei" w:hAnsi="SimHei" w:eastAsia="SimHei" w:cs="SimHei"/>
          <w:sz w:val="43"/>
          <w:szCs w:val="43"/>
        </w:rPr>
      </w:pPr>
      <w:r>
        <w:pict>
          <v:rect id="_x0000_s2" style="position:absolute;margin-left:0pt;margin-top:66.9979pt;mso-position-vertical-relative:page;mso-position-horizontal-relative:page;width:590pt;height:1.05pt;z-index:251660288;" o:allowincell="f" fillcolor="#FF0000" filled="true" stroked="false"/>
        </w:pict>
      </w:r>
      <w:r>
        <w:drawing>
          <wp:anchor distT="0" distB="0" distL="0" distR="0" simplePos="0" relativeHeight="251659264" behindDoc="0" locked="0" layoutInCell="0" allowOverlap="1">
            <wp:simplePos x="0" y="0"/>
            <wp:positionH relativeFrom="page">
              <wp:posOffset>0</wp:posOffset>
            </wp:positionH>
            <wp:positionV relativeFrom="page">
              <wp:posOffset>209590</wp:posOffset>
            </wp:positionV>
            <wp:extent cx="831837" cy="692077"/>
            <wp:effectExtent l="0" t="0" r="0" b="0"/>
            <wp:wrapNone/>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831837" cy="692077"/>
                    </a:xfrm>
                    <a:prstGeom prst="rect">
                      <a:avLst/>
                    </a:prstGeom>
                  </pic:spPr>
                </pic:pic>
              </a:graphicData>
            </a:graphic>
          </wp:anchor>
        </w:drawing>
      </w:r>
      <w:r>
        <w:rPr>
          <w:rFonts w:ascii="SimHei" w:hAnsi="SimHei" w:eastAsia="SimHei" w:cs="SimHei"/>
          <w:sz w:val="43"/>
          <w:szCs w:val="43"/>
          <w:b/>
          <w:bCs/>
          <w:spacing w:val="-9"/>
        </w:rPr>
        <w:t>法规速递</w:t>
      </w:r>
    </w:p>
    <w:p>
      <w:pPr>
        <w:pStyle w:val="BodyText"/>
        <w:spacing w:line="242" w:lineRule="auto"/>
        <w:rPr/>
      </w:pPr>
      <w:r/>
    </w:p>
    <w:p>
      <w:pPr>
        <w:pStyle w:val="BodyText"/>
        <w:spacing w:line="242" w:lineRule="auto"/>
        <w:rPr/>
      </w:pPr>
      <w:r/>
    </w:p>
    <w:p>
      <w:pPr>
        <w:ind w:left="953"/>
        <w:spacing w:before="74" w:line="221" w:lineRule="auto"/>
        <w:outlineLvl w:val="0"/>
        <w:rPr>
          <w:rFonts w:ascii="SimHei" w:hAnsi="SimHei" w:eastAsia="SimHei" w:cs="SimHei"/>
          <w:sz w:val="23"/>
          <w:szCs w:val="23"/>
        </w:rPr>
      </w:pPr>
      <w:r>
        <w:rPr>
          <w:rFonts w:ascii="SimHei" w:hAnsi="SimHei" w:eastAsia="SimHei" w:cs="SimHei"/>
          <w:sz w:val="23"/>
          <w:szCs w:val="23"/>
          <w:b/>
          <w:bCs/>
          <w:spacing w:val="10"/>
        </w:rPr>
        <w:t>1、关于暂停战略投资者在承诺的持有期限内出借获配股</w:t>
      </w:r>
      <w:r>
        <w:rPr>
          <w:rFonts w:ascii="SimHei" w:hAnsi="SimHei" w:eastAsia="SimHei" w:cs="SimHei"/>
          <w:sz w:val="23"/>
          <w:szCs w:val="23"/>
          <w:b/>
          <w:bCs/>
          <w:spacing w:val="9"/>
        </w:rPr>
        <w:t>票的通知(深市)</w:t>
      </w:r>
    </w:p>
    <w:p>
      <w:pPr>
        <w:pStyle w:val="BodyText"/>
        <w:spacing w:line="281" w:lineRule="auto"/>
        <w:rPr/>
      </w:pPr>
      <w:r/>
    </w:p>
    <w:p>
      <w:pPr>
        <w:ind w:left="910" w:right="361" w:firstLine="459"/>
        <w:spacing w:before="75" w:line="263" w:lineRule="auto"/>
        <w:rPr>
          <w:rFonts w:ascii="SimHei" w:hAnsi="SimHei" w:eastAsia="SimHei" w:cs="SimHei"/>
          <w:sz w:val="23"/>
          <w:szCs w:val="23"/>
        </w:rPr>
      </w:pPr>
      <w:r>
        <w:rPr>
          <w:rFonts w:ascii="SimHei" w:hAnsi="SimHei" w:eastAsia="SimHei" w:cs="SimHei"/>
          <w:sz w:val="23"/>
          <w:szCs w:val="23"/>
          <w:spacing w:val="-6"/>
        </w:rPr>
        <w:t>为进一步优化融券制度，经中国证监会批准，深圳证券交易所(以下简称本所)决定暂停</w:t>
      </w:r>
      <w:r>
        <w:rPr>
          <w:rFonts w:ascii="SimHei" w:hAnsi="SimHei" w:eastAsia="SimHei" w:cs="SimHei"/>
          <w:sz w:val="23"/>
          <w:szCs w:val="23"/>
          <w:spacing w:val="-7"/>
        </w:rPr>
        <w:t>战略投资者在承</w:t>
      </w:r>
      <w:r>
        <w:rPr>
          <w:rFonts w:ascii="SimHei" w:hAnsi="SimHei" w:eastAsia="SimHei" w:cs="SimHei"/>
          <w:sz w:val="23"/>
          <w:szCs w:val="23"/>
        </w:rPr>
        <w:t xml:space="preserve"> </w:t>
      </w:r>
      <w:r>
        <w:rPr>
          <w:rFonts w:ascii="SimHei" w:hAnsi="SimHei" w:eastAsia="SimHei" w:cs="SimHei"/>
          <w:sz w:val="23"/>
          <w:szCs w:val="23"/>
          <w:spacing w:val="-14"/>
        </w:rPr>
        <w:t>诺的持有期限内出借获配股票。本通知实施前尚未了结的出借合约到期不得展期。</w:t>
      </w:r>
    </w:p>
    <w:p>
      <w:pPr>
        <w:pStyle w:val="BodyText"/>
        <w:spacing w:line="397" w:lineRule="auto"/>
        <w:rPr/>
      </w:pPr>
      <w:r/>
    </w:p>
    <w:p>
      <w:pPr>
        <w:ind w:left="1360"/>
        <w:spacing w:before="75" w:line="213" w:lineRule="auto"/>
        <w:rPr>
          <w:rFonts w:ascii="SimHei" w:hAnsi="SimHei" w:eastAsia="SimHei" w:cs="SimHei"/>
          <w:sz w:val="23"/>
          <w:szCs w:val="23"/>
        </w:rPr>
      </w:pPr>
      <w:r>
        <w:rPr>
          <w:rFonts w:ascii="SimHei" w:hAnsi="SimHei" w:eastAsia="SimHei" w:cs="SimHei"/>
          <w:sz w:val="23"/>
          <w:szCs w:val="23"/>
          <w:spacing w:val="-10"/>
        </w:rPr>
        <w:t>本通知自2024年1月29日起施行。本所此前发布的其他业务规则与本通知规定不一致的，以本通知为准。</w:t>
      </w:r>
    </w:p>
    <w:p>
      <w:pPr>
        <w:pStyle w:val="BodyText"/>
        <w:spacing w:line="294" w:lineRule="auto"/>
        <w:rPr/>
      </w:pPr>
      <w:r/>
    </w:p>
    <w:p>
      <w:pPr>
        <w:pStyle w:val="BodyText"/>
        <w:spacing w:line="294" w:lineRule="auto"/>
        <w:rPr/>
      </w:pPr>
      <w:r/>
    </w:p>
    <w:p>
      <w:pPr>
        <w:ind w:left="9790"/>
        <w:spacing w:before="75" w:line="222" w:lineRule="auto"/>
        <w:rPr>
          <w:rFonts w:ascii="SimHei" w:hAnsi="SimHei" w:eastAsia="SimHei" w:cs="SimHei"/>
          <w:sz w:val="23"/>
          <w:szCs w:val="23"/>
        </w:rPr>
      </w:pPr>
      <w:r>
        <w:rPr>
          <w:rFonts w:ascii="SimHei" w:hAnsi="SimHei" w:eastAsia="SimHei" w:cs="SimHei"/>
          <w:sz w:val="23"/>
          <w:szCs w:val="23"/>
          <w:spacing w:val="-10"/>
        </w:rPr>
        <w:t>深圳证券交易所</w:t>
      </w:r>
    </w:p>
    <w:p>
      <w:pPr>
        <w:pStyle w:val="BodyText"/>
        <w:spacing w:line="446" w:lineRule="auto"/>
        <w:rPr/>
      </w:pPr>
      <w:r/>
    </w:p>
    <w:p>
      <w:pPr>
        <w:ind w:left="9860"/>
        <w:spacing w:before="75" w:line="223" w:lineRule="auto"/>
        <w:rPr>
          <w:rFonts w:ascii="SimHei" w:hAnsi="SimHei" w:eastAsia="SimHei" w:cs="SimHei"/>
          <w:sz w:val="23"/>
          <w:szCs w:val="23"/>
        </w:rPr>
      </w:pPr>
      <w:r>
        <w:rPr>
          <w:rFonts w:ascii="SimHei" w:hAnsi="SimHei" w:eastAsia="SimHei" w:cs="SimHei"/>
          <w:sz w:val="23"/>
          <w:szCs w:val="23"/>
          <w:spacing w:val="4"/>
        </w:rPr>
        <w:t>2024年1月28日</w:t>
      </w:r>
    </w:p>
    <w:p>
      <w:pPr>
        <w:pStyle w:val="BodyText"/>
        <w:spacing w:line="328" w:lineRule="auto"/>
        <w:rPr/>
      </w:pPr>
      <w:r/>
    </w:p>
    <w:p>
      <w:pPr>
        <w:pStyle w:val="BodyText"/>
        <w:spacing w:line="329" w:lineRule="auto"/>
        <w:rPr/>
      </w:pPr>
      <w:r/>
    </w:p>
    <w:p>
      <w:pPr>
        <w:ind w:firstLine="4519"/>
        <w:spacing w:before="1" w:line="2820" w:lineRule="exact"/>
        <w:rPr/>
      </w:pPr>
      <w:r>
        <w:rPr>
          <w:position w:val="-56"/>
        </w:rPr>
        <w:drawing>
          <wp:inline distT="0" distB="0" distL="0" distR="0">
            <wp:extent cx="1803437" cy="1790717"/>
            <wp:effectExtent l="0" t="0" r="0" b="0"/>
            <wp:docPr id="6" name="IM 6"/>
            <wp:cNvGraphicFramePr/>
            <a:graphic>
              <a:graphicData uri="http://schemas.openxmlformats.org/drawingml/2006/picture">
                <pic:pic>
                  <pic:nvPicPr>
                    <pic:cNvPr id="6" name="IM 6"/>
                    <pic:cNvPicPr/>
                  </pic:nvPicPr>
                  <pic:blipFill>
                    <a:blip r:embed="rId5"/>
                    <a:stretch>
                      <a:fillRect/>
                    </a:stretch>
                  </pic:blipFill>
                  <pic:spPr>
                    <a:xfrm rot="0">
                      <a:off x="0" y="0"/>
                      <a:ext cx="1803437" cy="1790717"/>
                    </a:xfrm>
                    <a:prstGeom prst="rect">
                      <a:avLst/>
                    </a:prstGeom>
                  </pic:spPr>
                </pic:pic>
              </a:graphicData>
            </a:graphic>
          </wp:inline>
        </w:drawing>
      </w:r>
    </w:p>
    <w:p>
      <w:pPr>
        <w:pStyle w:val="BodyText"/>
        <w:spacing w:line="257" w:lineRule="auto"/>
        <w:rPr/>
      </w:pPr>
      <w:r/>
    </w:p>
    <w:p>
      <w:pPr>
        <w:ind w:left="2163"/>
        <w:spacing w:before="76" w:line="221" w:lineRule="auto"/>
        <w:rPr>
          <w:rFonts w:ascii="SimHei" w:hAnsi="SimHei" w:eastAsia="SimHei" w:cs="SimHei"/>
          <w:sz w:val="23"/>
          <w:szCs w:val="23"/>
        </w:rPr>
      </w:pPr>
      <w:r>
        <w:rPr>
          <w:rFonts w:ascii="SimHei" w:hAnsi="SimHei" w:eastAsia="SimHei" w:cs="SimHei"/>
          <w:sz w:val="23"/>
          <w:szCs w:val="23"/>
          <w:b/>
          <w:bCs/>
          <w:spacing w:val="11"/>
        </w:rPr>
        <w:t>关于暂停战略投资者在承诺的持有期限内出借获配</w:t>
      </w:r>
      <w:r>
        <w:rPr>
          <w:rFonts w:ascii="SimHei" w:hAnsi="SimHei" w:eastAsia="SimHei" w:cs="SimHei"/>
          <w:sz w:val="23"/>
          <w:szCs w:val="23"/>
          <w:b/>
          <w:bCs/>
          <w:spacing w:val="10"/>
        </w:rPr>
        <w:t>股票的通知(深市)</w:t>
      </w:r>
    </w:p>
    <w:p>
      <w:pPr>
        <w:spacing w:line="221" w:lineRule="auto"/>
        <w:sectPr>
          <w:headerReference w:type="default" r:id="rId3"/>
          <w:pgSz w:w="11910" w:h="16840"/>
          <w:pgMar w:top="400" w:right="110" w:bottom="0" w:left="0" w:header="0" w:footer="0" w:gutter="0"/>
        </w:sectPr>
        <w:rPr>
          <w:rFonts w:ascii="SimHei" w:hAnsi="SimHei" w:eastAsia="SimHei" w:cs="SimHei"/>
          <w:sz w:val="23"/>
          <w:szCs w:val="23"/>
        </w:rPr>
      </w:pPr>
    </w:p>
    <w:p>
      <w:pPr>
        <w:ind w:left="29"/>
        <w:spacing w:before="137" w:line="221" w:lineRule="auto"/>
        <w:rPr>
          <w:rFonts w:ascii="SimHei" w:hAnsi="SimHei" w:eastAsia="SimHei" w:cs="SimHei"/>
          <w:sz w:val="23"/>
          <w:szCs w:val="23"/>
        </w:rPr>
      </w:pPr>
      <w:r>
        <w:rPr>
          <w:rFonts w:ascii="SimHei" w:hAnsi="SimHei" w:eastAsia="SimHei" w:cs="SimHei"/>
          <w:sz w:val="23"/>
          <w:szCs w:val="23"/>
          <w:spacing w:val="13"/>
        </w:rPr>
        <w:t>2、关于暂停战略投资者在承诺的持有期限内出借</w:t>
      </w:r>
      <w:r>
        <w:rPr>
          <w:rFonts w:ascii="SimHei" w:hAnsi="SimHei" w:eastAsia="SimHei" w:cs="SimHei"/>
          <w:sz w:val="23"/>
          <w:szCs w:val="23"/>
          <w:spacing w:val="12"/>
        </w:rPr>
        <w:t>获配股票的通知(沪市)</w:t>
      </w:r>
    </w:p>
    <w:p>
      <w:pPr>
        <w:pStyle w:val="BodyText"/>
        <w:spacing w:line="297" w:lineRule="auto"/>
        <w:rPr/>
      </w:pPr>
      <w:r/>
    </w:p>
    <w:p>
      <w:pPr>
        <w:ind w:right="126" w:firstLine="449"/>
        <w:spacing w:before="75" w:line="251" w:lineRule="auto"/>
        <w:rPr>
          <w:rFonts w:ascii="SimHei" w:hAnsi="SimHei" w:eastAsia="SimHei" w:cs="SimHei"/>
          <w:sz w:val="23"/>
          <w:szCs w:val="23"/>
        </w:rPr>
      </w:pPr>
      <w:r>
        <w:rPr>
          <w:rFonts w:ascii="SimHei" w:hAnsi="SimHei" w:eastAsia="SimHei" w:cs="SimHei"/>
          <w:sz w:val="23"/>
          <w:szCs w:val="23"/>
          <w:spacing w:val="-8"/>
        </w:rPr>
        <w:t>为进一步优化融券制度，经中国证监会批准，上</w:t>
      </w:r>
      <w:r>
        <w:rPr>
          <w:rFonts w:ascii="SimHei" w:hAnsi="SimHei" w:eastAsia="SimHei" w:cs="SimHei"/>
          <w:sz w:val="23"/>
          <w:szCs w:val="23"/>
          <w:spacing w:val="-9"/>
        </w:rPr>
        <w:t>海证券交易所(以下简称本所)决定暂停战略投资者在承</w:t>
      </w:r>
      <w:r>
        <w:rPr>
          <w:rFonts w:ascii="SimHei" w:hAnsi="SimHei" w:eastAsia="SimHei" w:cs="SimHei"/>
          <w:sz w:val="23"/>
          <w:szCs w:val="23"/>
        </w:rPr>
        <w:t xml:space="preserve"> </w:t>
      </w:r>
      <w:r>
        <w:rPr>
          <w:rFonts w:ascii="SimHei" w:hAnsi="SimHei" w:eastAsia="SimHei" w:cs="SimHei"/>
          <w:sz w:val="23"/>
          <w:szCs w:val="23"/>
          <w:spacing w:val="-14"/>
        </w:rPr>
        <w:t>诺的持有期限内出借获配股票。本通知实施前尚未了结的出借合约到期不得展期。</w:t>
      </w:r>
    </w:p>
    <w:p>
      <w:pPr>
        <w:pStyle w:val="BodyText"/>
        <w:spacing w:line="338" w:lineRule="auto"/>
        <w:rPr/>
      </w:pPr>
      <w:r/>
    </w:p>
    <w:p>
      <w:pPr>
        <w:ind w:left="439"/>
        <w:spacing w:before="74" w:line="213" w:lineRule="auto"/>
        <w:rPr>
          <w:rFonts w:ascii="SimHei" w:hAnsi="SimHei" w:eastAsia="SimHei" w:cs="SimHei"/>
          <w:sz w:val="23"/>
          <w:szCs w:val="23"/>
        </w:rPr>
      </w:pPr>
      <w:r>
        <w:rPr>
          <w:rFonts w:ascii="SimHei" w:hAnsi="SimHei" w:eastAsia="SimHei" w:cs="SimHei"/>
          <w:sz w:val="23"/>
          <w:szCs w:val="23"/>
          <w:spacing w:val="-10"/>
        </w:rPr>
        <w:t>本通知自2024年1月29日起施行。本所此前发布的其他业务规则</w:t>
      </w:r>
      <w:r>
        <w:rPr>
          <w:rFonts w:ascii="SimHei" w:hAnsi="SimHei" w:eastAsia="SimHei" w:cs="SimHei"/>
          <w:sz w:val="23"/>
          <w:szCs w:val="23"/>
          <w:spacing w:val="-11"/>
        </w:rPr>
        <w:t>与本通知规定不一致的，以本通知为准。</w:t>
      </w:r>
    </w:p>
    <w:p>
      <w:pPr>
        <w:pStyle w:val="BodyText"/>
        <w:spacing w:line="333" w:lineRule="auto"/>
        <w:rPr/>
      </w:pPr>
      <w:r/>
    </w:p>
    <w:p>
      <w:pPr>
        <w:pStyle w:val="BodyText"/>
        <w:spacing w:line="333" w:lineRule="auto"/>
        <w:rPr/>
      </w:pPr>
      <w:r/>
    </w:p>
    <w:p>
      <w:pPr>
        <w:spacing w:before="74" w:line="222" w:lineRule="auto"/>
        <w:jc w:val="right"/>
        <w:rPr>
          <w:rFonts w:ascii="SimHei" w:hAnsi="SimHei" w:eastAsia="SimHei" w:cs="SimHei"/>
          <w:sz w:val="23"/>
          <w:szCs w:val="23"/>
        </w:rPr>
      </w:pPr>
      <w:r>
        <w:rPr>
          <w:rFonts w:ascii="SimHei" w:hAnsi="SimHei" w:eastAsia="SimHei" w:cs="SimHei"/>
          <w:sz w:val="23"/>
          <w:szCs w:val="23"/>
          <w:spacing w:val="-11"/>
        </w:rPr>
        <w:t>上海证券交易所</w:t>
      </w:r>
    </w:p>
    <w:p>
      <w:pPr>
        <w:pStyle w:val="BodyText"/>
        <w:spacing w:line="248" w:lineRule="auto"/>
        <w:rPr/>
      </w:pPr>
      <w:r/>
    </w:p>
    <w:p>
      <w:pPr>
        <w:pStyle w:val="BodyText"/>
        <w:spacing w:line="249" w:lineRule="auto"/>
        <w:rPr/>
      </w:pPr>
      <w:r/>
    </w:p>
    <w:p>
      <w:pPr>
        <w:ind w:right="17"/>
        <w:spacing w:before="76" w:line="223" w:lineRule="auto"/>
        <w:jc w:val="right"/>
        <w:rPr>
          <w:rFonts w:ascii="SimHei" w:hAnsi="SimHei" w:eastAsia="SimHei" w:cs="SimHei"/>
          <w:sz w:val="23"/>
          <w:szCs w:val="23"/>
        </w:rPr>
      </w:pPr>
      <w:r>
        <w:rPr>
          <w:rFonts w:ascii="SimHei" w:hAnsi="SimHei" w:eastAsia="SimHei" w:cs="SimHei"/>
          <w:sz w:val="23"/>
          <w:szCs w:val="23"/>
          <w:spacing w:val="5"/>
        </w:rPr>
        <w:t>2024年1月28日</w:t>
      </w:r>
    </w:p>
    <w:p>
      <w:pPr>
        <w:pStyle w:val="BodyText"/>
        <w:spacing w:line="379" w:lineRule="auto"/>
        <w:rPr/>
      </w:pPr>
      <w:r/>
    </w:p>
    <w:p>
      <w:pPr>
        <w:ind w:firstLine="3819"/>
        <w:spacing w:before="1" w:line="2830" w:lineRule="exact"/>
        <w:rPr/>
      </w:pPr>
      <w:r>
        <w:rPr>
          <w:position w:val="-56"/>
        </w:rPr>
        <w:drawing>
          <wp:inline distT="0" distB="0" distL="0" distR="0">
            <wp:extent cx="1797084" cy="1797026"/>
            <wp:effectExtent l="0" t="0" r="0" b="0"/>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1797084" cy="1797026"/>
                    </a:xfrm>
                    <a:prstGeom prst="rect">
                      <a:avLst/>
                    </a:prstGeom>
                  </pic:spPr>
                </pic:pic>
              </a:graphicData>
            </a:graphic>
          </wp:inline>
        </w:drawing>
      </w:r>
    </w:p>
    <w:p>
      <w:pPr>
        <w:pStyle w:val="BodyText"/>
        <w:spacing w:line="271" w:lineRule="auto"/>
        <w:rPr/>
      </w:pPr>
      <w:r/>
    </w:p>
    <w:p>
      <w:pPr>
        <w:ind w:left="1539"/>
        <w:spacing w:before="74" w:line="221" w:lineRule="auto"/>
        <w:rPr>
          <w:rFonts w:ascii="SimHei" w:hAnsi="SimHei" w:eastAsia="SimHei" w:cs="SimHei"/>
          <w:sz w:val="23"/>
          <w:szCs w:val="23"/>
        </w:rPr>
      </w:pPr>
      <w:r>
        <w:rPr>
          <w:rFonts w:ascii="SimHei" w:hAnsi="SimHei" w:eastAsia="SimHei" w:cs="SimHei"/>
          <w:sz w:val="23"/>
          <w:szCs w:val="23"/>
          <w:spacing w:val="14"/>
        </w:rPr>
        <w:t>关于暂停战略投资者在承诺的持有期限内出借</w:t>
      </w:r>
      <w:r>
        <w:rPr>
          <w:rFonts w:ascii="SimHei" w:hAnsi="SimHei" w:eastAsia="SimHei" w:cs="SimHei"/>
          <w:sz w:val="23"/>
          <w:szCs w:val="23"/>
          <w:spacing w:val="13"/>
        </w:rPr>
        <w:t>获配股票的通知(沪市)</w:t>
      </w:r>
    </w:p>
    <w:p>
      <w:pPr>
        <w:spacing w:line="221" w:lineRule="auto"/>
        <w:sectPr>
          <w:pgSz w:w="11910" w:h="16840"/>
          <w:pgMar w:top="400" w:right="455" w:bottom="0" w:left="920" w:header="0" w:footer="0" w:gutter="0"/>
        </w:sectPr>
        <w:rPr>
          <w:rFonts w:ascii="SimHei" w:hAnsi="SimHei" w:eastAsia="SimHei" w:cs="SimHei"/>
          <w:sz w:val="23"/>
          <w:szCs w:val="23"/>
        </w:rPr>
      </w:pPr>
    </w:p>
    <w:p>
      <w:pPr>
        <w:ind w:right="262"/>
        <w:spacing w:before="117" w:line="243" w:lineRule="auto"/>
        <w:rPr>
          <w:rFonts w:ascii="SimHei" w:hAnsi="SimHei" w:eastAsia="SimHei" w:cs="SimHei"/>
          <w:sz w:val="23"/>
          <w:szCs w:val="23"/>
        </w:rPr>
      </w:pPr>
      <w:r>
        <w:rPr>
          <w:rFonts w:ascii="SimHei" w:hAnsi="SimHei" w:eastAsia="SimHei" w:cs="SimHei"/>
          <w:sz w:val="23"/>
          <w:szCs w:val="23"/>
          <w:spacing w:val="15"/>
        </w:rPr>
        <w:t>3、深圳证券交易所债券发行业务指南第1号——公司债券(含企业债券)和资产支持证券发行上市</w:t>
      </w:r>
      <w:r>
        <w:rPr>
          <w:rFonts w:ascii="SimHei" w:hAnsi="SimHei" w:eastAsia="SimHei" w:cs="SimHei"/>
          <w:sz w:val="23"/>
          <w:szCs w:val="23"/>
          <w:spacing w:val="1"/>
        </w:rPr>
        <w:t xml:space="preserve"> </w:t>
      </w:r>
      <w:r>
        <w:rPr>
          <w:rFonts w:ascii="SimHei" w:hAnsi="SimHei" w:eastAsia="SimHei" w:cs="SimHei"/>
          <w:sz w:val="23"/>
          <w:szCs w:val="23"/>
          <w:spacing w:val="22"/>
        </w:rPr>
        <w:t>挂牌业务指南(2024年修订)</w:t>
      </w:r>
    </w:p>
    <w:p>
      <w:pPr>
        <w:pStyle w:val="BodyText"/>
        <w:spacing w:line="307" w:lineRule="auto"/>
        <w:rPr/>
      </w:pPr>
      <w:r/>
    </w:p>
    <w:p>
      <w:pPr>
        <w:ind w:firstLine="459"/>
        <w:spacing w:before="75" w:line="262" w:lineRule="auto"/>
        <w:jc w:val="both"/>
        <w:rPr>
          <w:rFonts w:ascii="SimHei" w:hAnsi="SimHei" w:eastAsia="SimHei" w:cs="SimHei"/>
          <w:sz w:val="23"/>
          <w:szCs w:val="23"/>
        </w:rPr>
      </w:pPr>
      <w:r>
        <w:rPr>
          <w:rFonts w:ascii="SimHei" w:hAnsi="SimHei" w:eastAsia="SimHei" w:cs="SimHei"/>
          <w:sz w:val="23"/>
          <w:szCs w:val="23"/>
          <w:spacing w:val="-10"/>
        </w:rPr>
        <w:t>为了进一步明确公司债券(含企业债券)和资产支持证券发行上市挂牌工作要求，提升发行上市挂牌效率，</w:t>
      </w:r>
      <w:r>
        <w:rPr>
          <w:rFonts w:ascii="SimHei" w:hAnsi="SimHei" w:eastAsia="SimHei" w:cs="SimHei"/>
          <w:sz w:val="23"/>
          <w:szCs w:val="23"/>
          <w:spacing w:val="13"/>
        </w:rPr>
        <w:t xml:space="preserve"> </w:t>
      </w:r>
      <w:r>
        <w:rPr>
          <w:rFonts w:ascii="SimHei" w:hAnsi="SimHei" w:eastAsia="SimHei" w:cs="SimHei"/>
          <w:sz w:val="23"/>
          <w:szCs w:val="23"/>
          <w:spacing w:val="-13"/>
        </w:rPr>
        <w:t>根据《深圳证券交易所公司债券发行承销规则》等有关规定，本所修订了《</w:t>
      </w:r>
      <w:r>
        <w:rPr>
          <w:rFonts w:ascii="SimHei" w:hAnsi="SimHei" w:eastAsia="SimHei" w:cs="SimHei"/>
          <w:sz w:val="23"/>
          <w:szCs w:val="23"/>
          <w:spacing w:val="-14"/>
        </w:rPr>
        <w:t>深圳证券交易所债券发行业务指南</w:t>
      </w:r>
      <w:r>
        <w:rPr>
          <w:rFonts w:ascii="SimHei" w:hAnsi="SimHei" w:eastAsia="SimHei" w:cs="SimHei"/>
          <w:sz w:val="23"/>
          <w:szCs w:val="23"/>
          <w:spacing w:val="-14"/>
        </w:rPr>
        <w:t xml:space="preserve">  </w:t>
      </w:r>
      <w:r>
        <w:rPr>
          <w:rFonts w:ascii="SimHei" w:hAnsi="SimHei" w:eastAsia="SimHei" w:cs="SimHei"/>
          <w:sz w:val="23"/>
          <w:szCs w:val="23"/>
          <w:spacing w:val="-2"/>
        </w:rPr>
        <w:t>第1号——公司债券(含企业债券)和资产支持</w:t>
      </w:r>
      <w:r>
        <w:rPr>
          <w:rFonts w:ascii="SimHei" w:hAnsi="SimHei" w:eastAsia="SimHei" w:cs="SimHei"/>
          <w:sz w:val="23"/>
          <w:szCs w:val="23"/>
          <w:spacing w:val="-3"/>
        </w:rPr>
        <w:t>证券发行上市挂牌业务指南(2024年修订)》</w:t>
      </w:r>
      <w:r>
        <w:rPr>
          <w:rFonts w:ascii="SimHei" w:hAnsi="SimHei" w:eastAsia="SimHei" w:cs="SimHei"/>
          <w:sz w:val="23"/>
          <w:szCs w:val="23"/>
          <w:spacing w:val="85"/>
        </w:rPr>
        <w:t xml:space="preserve"> </w:t>
      </w:r>
      <w:r>
        <w:rPr>
          <w:rFonts w:ascii="SimHei" w:hAnsi="SimHei" w:eastAsia="SimHei" w:cs="SimHei"/>
          <w:sz w:val="23"/>
          <w:szCs w:val="23"/>
          <w:spacing w:val="-3"/>
        </w:rPr>
        <w:t>(以下简称《指</w:t>
      </w:r>
      <w:r>
        <w:rPr>
          <w:rFonts w:ascii="SimHei" w:hAnsi="SimHei" w:eastAsia="SimHei" w:cs="SimHei"/>
          <w:sz w:val="23"/>
          <w:szCs w:val="23"/>
        </w:rPr>
        <w:t xml:space="preserve">  </w:t>
      </w:r>
      <w:r>
        <w:rPr>
          <w:rFonts w:ascii="SimHei" w:hAnsi="SimHei" w:eastAsia="SimHei" w:cs="SimHei"/>
          <w:sz w:val="23"/>
          <w:szCs w:val="23"/>
          <w:spacing w:val="-3"/>
        </w:rPr>
        <w:t>南》),现予以发布，自发布之日起施行。</w:t>
      </w:r>
    </w:p>
    <w:p>
      <w:pPr>
        <w:pStyle w:val="BodyText"/>
        <w:spacing w:line="249" w:lineRule="auto"/>
        <w:rPr/>
      </w:pPr>
      <w:r/>
    </w:p>
    <w:p>
      <w:pPr>
        <w:pStyle w:val="BodyText"/>
        <w:spacing w:line="249" w:lineRule="auto"/>
        <w:rPr/>
      </w:pPr>
      <w:r/>
    </w:p>
    <w:p>
      <w:pPr>
        <w:pStyle w:val="BodyText"/>
        <w:spacing w:line="249" w:lineRule="auto"/>
        <w:rPr/>
      </w:pPr>
      <w:r/>
    </w:p>
    <w:p>
      <w:pPr>
        <w:ind w:right="40"/>
        <w:spacing w:before="75" w:line="222" w:lineRule="auto"/>
        <w:jc w:val="right"/>
        <w:rPr>
          <w:rFonts w:ascii="SimHei" w:hAnsi="SimHei" w:eastAsia="SimHei" w:cs="SimHei"/>
          <w:sz w:val="23"/>
          <w:szCs w:val="23"/>
        </w:rPr>
      </w:pPr>
      <w:r>
        <w:rPr>
          <w:rFonts w:ascii="SimHei" w:hAnsi="SimHei" w:eastAsia="SimHei" w:cs="SimHei"/>
          <w:sz w:val="23"/>
          <w:szCs w:val="23"/>
          <w:spacing w:val="-8"/>
        </w:rPr>
        <w:t>深圳证券交易所</w:t>
      </w:r>
    </w:p>
    <w:p>
      <w:pPr>
        <w:pStyle w:val="BodyText"/>
        <w:spacing w:line="262" w:lineRule="auto"/>
        <w:rPr/>
      </w:pPr>
      <w:r/>
    </w:p>
    <w:p>
      <w:pPr>
        <w:pStyle w:val="BodyText"/>
        <w:spacing w:line="263" w:lineRule="auto"/>
        <w:rPr/>
      </w:pPr>
      <w:r/>
    </w:p>
    <w:p>
      <w:pPr>
        <w:ind w:left="8969"/>
        <w:spacing w:before="75" w:line="223" w:lineRule="auto"/>
        <w:rPr>
          <w:rFonts w:ascii="SimHei" w:hAnsi="SimHei" w:eastAsia="SimHei" w:cs="SimHei"/>
          <w:sz w:val="23"/>
          <w:szCs w:val="23"/>
        </w:rPr>
      </w:pPr>
      <w:r>
        <w:rPr>
          <w:rFonts w:ascii="SimHei" w:hAnsi="SimHei" w:eastAsia="SimHei" w:cs="SimHei"/>
          <w:sz w:val="23"/>
          <w:szCs w:val="23"/>
          <w:spacing w:val="4"/>
        </w:rPr>
        <w:t>2024年1月26日</w:t>
      </w:r>
    </w:p>
    <w:p>
      <w:pPr>
        <w:pStyle w:val="BodyText"/>
        <w:spacing w:line="369" w:lineRule="auto"/>
        <w:rPr/>
      </w:pPr>
      <w:r/>
    </w:p>
    <w:p>
      <w:pPr>
        <w:ind w:firstLine="3819"/>
        <w:spacing w:line="2830" w:lineRule="exact"/>
        <w:rPr/>
      </w:pPr>
      <w:r>
        <w:rPr>
          <w:position w:val="-56"/>
        </w:rPr>
        <w:drawing>
          <wp:inline distT="0" distB="0" distL="0" distR="0">
            <wp:extent cx="1797084" cy="1797025"/>
            <wp:effectExtent l="0" t="0" r="0" b="0"/>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1797084" cy="1797025"/>
                    </a:xfrm>
                    <a:prstGeom prst="rect">
                      <a:avLst/>
                    </a:prstGeom>
                  </pic:spPr>
                </pic:pic>
              </a:graphicData>
            </a:graphic>
          </wp:inline>
        </w:drawing>
      </w:r>
    </w:p>
    <w:p>
      <w:pPr>
        <w:pStyle w:val="BodyText"/>
        <w:spacing w:line="247" w:lineRule="auto"/>
        <w:rPr/>
      </w:pPr>
      <w:r/>
    </w:p>
    <w:p>
      <w:pPr>
        <w:ind w:left="3153"/>
        <w:spacing w:before="76" w:line="221" w:lineRule="auto"/>
        <w:rPr>
          <w:rFonts w:ascii="SimHei" w:hAnsi="SimHei" w:eastAsia="SimHei" w:cs="SimHei"/>
          <w:sz w:val="23"/>
          <w:szCs w:val="23"/>
        </w:rPr>
      </w:pPr>
      <w:r>
        <w:rPr>
          <w:rFonts w:ascii="SimHei" w:hAnsi="SimHei" w:eastAsia="SimHei" w:cs="SimHei"/>
          <w:sz w:val="23"/>
          <w:szCs w:val="23"/>
          <w:b/>
          <w:bCs/>
          <w:spacing w:val="7"/>
        </w:rPr>
        <w:t>深圳证券交易所债券发行业务指南第1号</w:t>
      </w:r>
    </w:p>
    <w:p>
      <w:pPr>
        <w:spacing w:line="221" w:lineRule="auto"/>
        <w:sectPr>
          <w:pgSz w:w="11910" w:h="16840"/>
          <w:pgMar w:top="400" w:right="405" w:bottom="0" w:left="920" w:header="0" w:footer="0" w:gutter="0"/>
        </w:sectPr>
        <w:rPr>
          <w:rFonts w:ascii="SimHei" w:hAnsi="SimHei" w:eastAsia="SimHei" w:cs="SimHei"/>
          <w:sz w:val="23"/>
          <w:szCs w:val="23"/>
        </w:rPr>
      </w:pPr>
    </w:p>
    <w:p>
      <w:pPr>
        <w:ind w:left="10"/>
        <w:spacing w:before="137" w:line="221" w:lineRule="auto"/>
        <w:rPr>
          <w:rFonts w:ascii="SimHei" w:hAnsi="SimHei" w:eastAsia="SimHei" w:cs="SimHei"/>
          <w:sz w:val="23"/>
          <w:szCs w:val="23"/>
        </w:rPr>
      </w:pPr>
      <w:r>
        <w:rPr>
          <w:rFonts w:ascii="SimHei" w:hAnsi="SimHei" w:eastAsia="SimHei" w:cs="SimHei"/>
          <w:sz w:val="23"/>
          <w:szCs w:val="23"/>
          <w:spacing w:val="13"/>
        </w:rPr>
        <w:t>4、</w:t>
      </w:r>
      <w:r>
        <w:rPr>
          <w:rFonts w:ascii="SimHei" w:hAnsi="SimHei" w:eastAsia="SimHei" w:cs="SimHei"/>
          <w:sz w:val="23"/>
          <w:szCs w:val="23"/>
          <w:spacing w:val="-34"/>
        </w:rPr>
        <w:t xml:space="preserve"> </w:t>
      </w:r>
      <w:r>
        <w:rPr>
          <w:rFonts w:ascii="SimHei" w:hAnsi="SimHei" w:eastAsia="SimHei" w:cs="SimHei"/>
          <w:sz w:val="23"/>
          <w:szCs w:val="23"/>
          <w:spacing w:val="13"/>
        </w:rPr>
        <w:t>中国证券登记结算有限责任公司上海分公司证券发行人业务指南(2024年修订)</w:t>
      </w:r>
    </w:p>
    <w:p>
      <w:pPr>
        <w:ind w:right="102" w:firstLine="449"/>
        <w:spacing w:before="45" w:line="258" w:lineRule="auto"/>
        <w:jc w:val="both"/>
        <w:rPr>
          <w:rFonts w:ascii="SimHei" w:hAnsi="SimHei" w:eastAsia="SimHei" w:cs="SimHei"/>
          <w:sz w:val="23"/>
          <w:szCs w:val="23"/>
        </w:rPr>
      </w:pPr>
      <w:r>
        <w:rPr>
          <w:rFonts w:ascii="SimHei" w:hAnsi="SimHei" w:eastAsia="SimHei" w:cs="SimHei"/>
          <w:sz w:val="23"/>
          <w:szCs w:val="23"/>
          <w:spacing w:val="-13"/>
        </w:rPr>
        <w:t>为进一步提升发行人业务服务水平，本公司将</w:t>
      </w:r>
      <w:r>
        <w:rPr>
          <w:rFonts w:ascii="SimHei" w:hAnsi="SimHei" w:eastAsia="SimHei" w:cs="SimHei"/>
          <w:sz w:val="23"/>
          <w:szCs w:val="23"/>
          <w:spacing w:val="-14"/>
        </w:rPr>
        <w:t>《中国证券登记结算有限责任公司上海分公司上市公司股权</w:t>
      </w:r>
      <w:r>
        <w:rPr>
          <w:rFonts w:ascii="SimHei" w:hAnsi="SimHei" w:eastAsia="SimHei" w:cs="SimHei"/>
          <w:sz w:val="23"/>
          <w:szCs w:val="23"/>
        </w:rPr>
        <w:t xml:space="preserve"> </w:t>
      </w:r>
      <w:r>
        <w:rPr>
          <w:rFonts w:ascii="SimHei" w:hAnsi="SimHei" w:eastAsia="SimHei" w:cs="SimHei"/>
          <w:sz w:val="23"/>
          <w:szCs w:val="23"/>
          <w:spacing w:val="-10"/>
        </w:rPr>
        <w:t>激励业务指南》内容合并至《中国证券登记结算有</w:t>
      </w:r>
      <w:r>
        <w:rPr>
          <w:rFonts w:ascii="SimHei" w:hAnsi="SimHei" w:eastAsia="SimHei" w:cs="SimHei"/>
          <w:sz w:val="23"/>
          <w:szCs w:val="23"/>
          <w:spacing w:val="-11"/>
        </w:rPr>
        <w:t>限责任公司上海分公司证券发行人业务指南》,增补员工持</w:t>
      </w:r>
      <w:r>
        <w:rPr>
          <w:rFonts w:ascii="SimHei" w:hAnsi="SimHei" w:eastAsia="SimHei" w:cs="SimHei"/>
          <w:sz w:val="23"/>
          <w:szCs w:val="23"/>
        </w:rPr>
        <w:t xml:space="preserve"> </w:t>
      </w:r>
      <w:r>
        <w:rPr>
          <w:rFonts w:ascii="SimHei" w:hAnsi="SimHei" w:eastAsia="SimHei" w:cs="SimHei"/>
          <w:sz w:val="23"/>
          <w:szCs w:val="23"/>
          <w:spacing w:val="-14"/>
        </w:rPr>
        <w:t>股计划业务和股份注销登记业务相关内容，简化部分业务申请材</w:t>
      </w:r>
      <w:r>
        <w:rPr>
          <w:rFonts w:ascii="SimHei" w:hAnsi="SimHei" w:eastAsia="SimHei" w:cs="SimHei"/>
          <w:sz w:val="23"/>
          <w:szCs w:val="23"/>
          <w:spacing w:val="-15"/>
        </w:rPr>
        <w:t>料。</w:t>
      </w:r>
    </w:p>
    <w:p>
      <w:pPr>
        <w:pStyle w:val="BodyText"/>
        <w:spacing w:line="346" w:lineRule="auto"/>
        <w:rPr/>
      </w:pPr>
      <w:r/>
    </w:p>
    <w:p>
      <w:pPr>
        <w:ind w:right="87" w:firstLine="459"/>
        <w:spacing w:before="75" w:line="264" w:lineRule="auto"/>
        <w:jc w:val="both"/>
        <w:rPr>
          <w:rFonts w:ascii="SimHei" w:hAnsi="SimHei" w:eastAsia="SimHei" w:cs="SimHei"/>
          <w:sz w:val="23"/>
          <w:szCs w:val="23"/>
        </w:rPr>
      </w:pPr>
      <w:r>
        <w:rPr>
          <w:rFonts w:ascii="SimHei" w:hAnsi="SimHei" w:eastAsia="SimHei" w:cs="SimHei"/>
          <w:sz w:val="23"/>
          <w:szCs w:val="23"/>
          <w:spacing w:val="-11"/>
        </w:rPr>
        <w:t>为明确上述事宜，本公司修订了《中国证券登记结算有限责任公司上海分公司证券发行人业务指南》,废</w:t>
      </w:r>
      <w:r>
        <w:rPr>
          <w:rFonts w:ascii="SimHei" w:hAnsi="SimHei" w:eastAsia="SimHei" w:cs="SimHei"/>
          <w:sz w:val="23"/>
          <w:szCs w:val="23"/>
          <w:spacing w:val="14"/>
        </w:rPr>
        <w:t xml:space="preserve"> </w:t>
      </w:r>
      <w:r>
        <w:rPr>
          <w:rFonts w:ascii="SimHei" w:hAnsi="SimHei" w:eastAsia="SimHei" w:cs="SimHei"/>
          <w:sz w:val="23"/>
          <w:szCs w:val="23"/>
          <w:spacing w:val="-13"/>
        </w:rPr>
        <w:t>止了《中国证券登记结算有限责任公司上海分公司上市公司股权激励业务指南》。修订</w:t>
      </w:r>
      <w:r>
        <w:rPr>
          <w:rFonts w:ascii="SimHei" w:hAnsi="SimHei" w:eastAsia="SimHei" w:cs="SimHei"/>
          <w:sz w:val="23"/>
          <w:szCs w:val="23"/>
          <w:spacing w:val="-14"/>
        </w:rPr>
        <w:t>后的指南发布于公司网</w:t>
      </w:r>
      <w:r>
        <w:rPr>
          <w:rFonts w:ascii="SimHei" w:hAnsi="SimHei" w:eastAsia="SimHei" w:cs="SimHei"/>
          <w:sz w:val="23"/>
          <w:szCs w:val="23"/>
        </w:rPr>
        <w:t xml:space="preserve"> </w:t>
      </w:r>
      <w:r>
        <w:rPr>
          <w:rFonts w:ascii="SimHei" w:hAnsi="SimHei" w:eastAsia="SimHei" w:cs="SimHei"/>
          <w:sz w:val="23"/>
          <w:szCs w:val="23"/>
          <w:spacing w:val="-11"/>
        </w:rPr>
        <w:t>站</w:t>
      </w:r>
      <w:r>
        <w:rPr>
          <w:rFonts w:ascii="SimHei" w:hAnsi="SimHei" w:eastAsia="SimHei" w:cs="SimHei"/>
          <w:sz w:val="23"/>
          <w:szCs w:val="23"/>
          <w:spacing w:val="-11"/>
        </w:rPr>
        <w:t xml:space="preserve"> </w:t>
      </w:r>
      <w:r>
        <w:rPr>
          <w:rFonts w:ascii="SimSun" w:hAnsi="SimSun" w:eastAsia="SimSun" w:cs="SimSun"/>
          <w:sz w:val="23"/>
          <w:szCs w:val="23"/>
          <w:spacing w:val="-11"/>
        </w:rPr>
        <w:t>(www.chinaclear.cn)</w:t>
      </w:r>
      <w:r>
        <w:rPr>
          <w:rFonts w:ascii="SimSun" w:hAnsi="SimSun" w:eastAsia="SimSun" w:cs="SimSun"/>
          <w:sz w:val="23"/>
          <w:szCs w:val="23"/>
          <w:spacing w:val="90"/>
        </w:rPr>
        <w:t xml:space="preserve"> </w:t>
      </w:r>
      <w:r>
        <w:rPr>
          <w:rFonts w:ascii="SimHei" w:hAnsi="SimHei" w:eastAsia="SimHei" w:cs="SimHei"/>
          <w:sz w:val="23"/>
          <w:szCs w:val="23"/>
          <w:spacing w:val="-11"/>
        </w:rPr>
        <w:t>“法律规则-业务规则-登记</w:t>
      </w:r>
      <w:r>
        <w:rPr>
          <w:rFonts w:ascii="SimHei" w:hAnsi="SimHei" w:eastAsia="SimHei" w:cs="SimHei"/>
          <w:sz w:val="23"/>
          <w:szCs w:val="23"/>
          <w:spacing w:val="-12"/>
        </w:rPr>
        <w:t>与存管-上海市场”栏目。</w:t>
      </w:r>
    </w:p>
    <w:p>
      <w:pPr>
        <w:pStyle w:val="BodyText"/>
        <w:spacing w:line="328" w:lineRule="auto"/>
        <w:rPr/>
      </w:pPr>
      <w:r/>
    </w:p>
    <w:p>
      <w:pPr>
        <w:ind w:left="439"/>
        <w:spacing w:before="75" w:line="222" w:lineRule="auto"/>
        <w:rPr>
          <w:rFonts w:ascii="SimHei" w:hAnsi="SimHei" w:eastAsia="SimHei" w:cs="SimHei"/>
          <w:sz w:val="23"/>
          <w:szCs w:val="23"/>
        </w:rPr>
      </w:pPr>
      <w:r>
        <w:rPr>
          <w:rFonts w:ascii="SimHei" w:hAnsi="SimHei" w:eastAsia="SimHei" w:cs="SimHei"/>
          <w:sz w:val="23"/>
          <w:szCs w:val="23"/>
          <w:spacing w:val="-6"/>
        </w:rPr>
        <w:t>本通知自2024年1月26日起施行。</w:t>
      </w:r>
    </w:p>
    <w:p>
      <w:pPr>
        <w:spacing w:before="313" w:line="632" w:lineRule="exact"/>
        <w:jc w:val="right"/>
        <w:rPr>
          <w:rFonts w:ascii="SimHei" w:hAnsi="SimHei" w:eastAsia="SimHei" w:cs="SimHei"/>
          <w:sz w:val="23"/>
          <w:szCs w:val="23"/>
        </w:rPr>
      </w:pPr>
      <w:r>
        <w:rPr>
          <w:rFonts w:ascii="SimHei" w:hAnsi="SimHei" w:eastAsia="SimHei" w:cs="SimHei"/>
          <w:sz w:val="23"/>
          <w:szCs w:val="23"/>
          <w:spacing w:val="-14"/>
          <w:position w:val="31"/>
        </w:rPr>
        <w:t>中国结算上海分公司</w:t>
      </w:r>
    </w:p>
    <w:p>
      <w:pPr>
        <w:ind w:left="8979"/>
        <w:spacing w:line="223" w:lineRule="auto"/>
        <w:rPr>
          <w:rFonts w:ascii="SimSun" w:hAnsi="SimSun" w:eastAsia="SimSun" w:cs="SimSun"/>
          <w:sz w:val="23"/>
          <w:szCs w:val="23"/>
        </w:rPr>
      </w:pPr>
      <w:r>
        <w:rPr>
          <w:rFonts w:ascii="SimHei" w:hAnsi="SimHei" w:eastAsia="SimHei" w:cs="SimHei"/>
          <w:sz w:val="23"/>
          <w:szCs w:val="23"/>
          <w:spacing w:val="8"/>
        </w:rPr>
        <w:t>2024年1月26</w:t>
      </w:r>
      <w:r>
        <w:rPr>
          <w:rFonts w:ascii="SimSun" w:hAnsi="SimSun" w:eastAsia="SimSun" w:cs="SimSun"/>
          <w:sz w:val="23"/>
          <w:szCs w:val="23"/>
          <w:spacing w:val="8"/>
        </w:rPr>
        <w:t>E</w:t>
      </w:r>
    </w:p>
    <w:p>
      <w:pPr>
        <w:ind w:firstLine="3869"/>
        <w:spacing w:before="212" w:line="2760" w:lineRule="exact"/>
        <w:rPr/>
      </w:pPr>
      <w:r>
        <w:rPr>
          <w:position w:val="-55"/>
        </w:rPr>
        <w:drawing>
          <wp:inline distT="0" distB="0" distL="0" distR="0">
            <wp:extent cx="1771673" cy="1752540"/>
            <wp:effectExtent l="0" t="0" r="0" b="0"/>
            <wp:docPr id="12" name="IM 12"/>
            <wp:cNvGraphicFramePr/>
            <a:graphic>
              <a:graphicData uri="http://schemas.openxmlformats.org/drawingml/2006/picture">
                <pic:pic>
                  <pic:nvPicPr>
                    <pic:cNvPr id="12" name="IM 12"/>
                    <pic:cNvPicPr/>
                  </pic:nvPicPr>
                  <pic:blipFill>
                    <a:blip r:embed="rId8"/>
                    <a:stretch>
                      <a:fillRect/>
                    </a:stretch>
                  </pic:blipFill>
                  <pic:spPr>
                    <a:xfrm rot="0">
                      <a:off x="0" y="0"/>
                      <a:ext cx="1771673" cy="1752540"/>
                    </a:xfrm>
                    <a:prstGeom prst="rect">
                      <a:avLst/>
                    </a:prstGeom>
                  </pic:spPr>
                </pic:pic>
              </a:graphicData>
            </a:graphic>
          </wp:inline>
        </w:drawing>
      </w:r>
    </w:p>
    <w:p>
      <w:pPr>
        <w:pStyle w:val="BodyText"/>
        <w:spacing w:line="271" w:lineRule="auto"/>
        <w:rPr/>
      </w:pPr>
      <w:r/>
    </w:p>
    <w:p>
      <w:pPr>
        <w:ind w:left="1939"/>
        <w:spacing w:before="74" w:line="221" w:lineRule="auto"/>
        <w:rPr>
          <w:rFonts w:ascii="SimHei" w:hAnsi="SimHei" w:eastAsia="SimHei" w:cs="SimHei"/>
          <w:sz w:val="23"/>
          <w:szCs w:val="23"/>
        </w:rPr>
      </w:pPr>
      <w:r>
        <w:rPr>
          <w:rFonts w:ascii="SimHei" w:hAnsi="SimHei" w:eastAsia="SimHei" w:cs="SimHei"/>
          <w:sz w:val="23"/>
          <w:szCs w:val="23"/>
          <w:spacing w:val="7"/>
        </w:rPr>
        <w:t>中国证券登记结算有限责任公司上海分公司证券发行人业务指南</w:t>
      </w:r>
    </w:p>
    <w:p>
      <w:pPr>
        <w:spacing w:line="221" w:lineRule="auto"/>
        <w:sectPr>
          <w:pgSz w:w="11910" w:h="16840"/>
          <w:pgMar w:top="400" w:right="467" w:bottom="0" w:left="920" w:header="0" w:footer="0" w:gutter="0"/>
        </w:sectPr>
        <w:rPr>
          <w:rFonts w:ascii="SimHei" w:hAnsi="SimHei" w:eastAsia="SimHei" w:cs="SimHei"/>
          <w:sz w:val="23"/>
          <w:szCs w:val="23"/>
        </w:rPr>
      </w:pPr>
    </w:p>
    <w:p>
      <w:pPr>
        <w:pStyle w:val="BodyText"/>
        <w:spacing w:line="294" w:lineRule="auto"/>
        <w:rPr/>
      </w:pPr>
      <w:r>
        <w:pict>
          <v:rect id="_x0000_s4" style="position:absolute;margin-left:0pt;margin-top:92.502pt;mso-position-vertical-relative:page;mso-position-horizontal-relative:page;width:594pt;height:1.05pt;z-index:251668480;" o:allowincell="f" fillcolor="#FF0000" filled="true" stroked="false"/>
        </w:pict>
      </w:r>
      <w:r>
        <w:drawing>
          <wp:anchor distT="0" distB="0" distL="0" distR="0" simplePos="0" relativeHeight="251667456" behindDoc="0" locked="0" layoutInCell="0" allowOverlap="1">
            <wp:simplePos x="0" y="0"/>
            <wp:positionH relativeFrom="page">
              <wp:posOffset>0</wp:posOffset>
            </wp:positionH>
            <wp:positionV relativeFrom="page">
              <wp:posOffset>450832</wp:posOffset>
            </wp:positionV>
            <wp:extent cx="869954" cy="755702"/>
            <wp:effectExtent l="0" t="0" r="0" b="0"/>
            <wp:wrapNone/>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869954" cy="755702"/>
                    </a:xfrm>
                    <a:prstGeom prst="rect">
                      <a:avLst/>
                    </a:prstGeom>
                  </pic:spPr>
                </pic:pic>
              </a:graphicData>
            </a:graphic>
          </wp:anchor>
        </w:drawing>
      </w:r>
      <w:r/>
    </w:p>
    <w:p>
      <w:pPr>
        <w:pStyle w:val="BodyText"/>
        <w:spacing w:line="294" w:lineRule="auto"/>
        <w:rPr/>
      </w:pPr>
      <w:r/>
    </w:p>
    <w:p>
      <w:pPr>
        <w:ind w:left="1706"/>
        <w:spacing w:before="136" w:line="222" w:lineRule="auto"/>
        <w:rPr>
          <w:rFonts w:ascii="SimHei" w:hAnsi="SimHei" w:eastAsia="SimHei" w:cs="SimHei"/>
          <w:sz w:val="42"/>
          <w:szCs w:val="42"/>
        </w:rPr>
      </w:pPr>
      <w:r>
        <w:rPr>
          <w:rFonts w:ascii="SimHei" w:hAnsi="SimHei" w:eastAsia="SimHei" w:cs="SimHei"/>
          <w:sz w:val="42"/>
          <w:szCs w:val="42"/>
          <w:b/>
          <w:bCs/>
          <w:spacing w:val="7"/>
        </w:rPr>
        <w:t>监管动态</w:t>
      </w:r>
    </w:p>
    <w:p>
      <w:pPr>
        <w:pStyle w:val="BodyText"/>
        <w:spacing w:line="291" w:lineRule="auto"/>
        <w:rPr/>
      </w:pPr>
      <w:r/>
    </w:p>
    <w:p>
      <w:pPr>
        <w:pStyle w:val="BodyText"/>
        <w:spacing w:line="291" w:lineRule="auto"/>
        <w:rPr/>
      </w:pPr>
      <w:r/>
    </w:p>
    <w:p>
      <w:pPr>
        <w:pStyle w:val="BodyText"/>
        <w:spacing w:line="810" w:lineRule="exact"/>
        <w:rPr/>
      </w:pPr>
      <w:r>
        <w:rPr>
          <w:position w:val="-16"/>
        </w:rPr>
        <w:pict>
          <v:group id="_x0000_s6" style="mso-position-vertical-relative:line;mso-position-horizontal-relative:char;width:112.05pt;height:40.55pt;" filled="false" stroked="false" coordsize="2241,810" coordorigin="0,0">
            <v:shape id="_x0000_s8" style="position:absolute;left:0;top:0;width:2241;height:810;" filled="false" stroked="false" type="#_x0000_t75">
              <v:imagedata o:title="" r:id="rId10"/>
            </v:shape>
            <v:shape id="_x0000_s10" style="position:absolute;left:-20;top:-20;width:2281;height:850;" filled="false" stroked="false" type="#_x0000_t202">
              <v:fill on="false"/>
              <v:stroke on="false"/>
              <v:path/>
              <v:imagedata o:title=""/>
              <o:lock v:ext="edit" aspectratio="false"/>
              <v:textbox inset="0mm,0mm,0mm,0mm">
                <w:txbxContent>
                  <w:p>
                    <w:pPr>
                      <w:spacing w:line="249" w:lineRule="auto"/>
                      <w:rPr>
                        <w:rFonts w:ascii="Arial"/>
                        <w:sz w:val="21"/>
                      </w:rPr>
                    </w:pPr>
                    <w:r/>
                  </w:p>
                  <w:p>
                    <w:pPr>
                      <w:ind w:left="400"/>
                      <w:spacing w:before="88" w:line="221" w:lineRule="auto"/>
                      <w:rPr>
                        <w:rFonts w:ascii="SimHei" w:hAnsi="SimHei" w:eastAsia="SimHei" w:cs="SimHei"/>
                        <w:sz w:val="27"/>
                        <w:szCs w:val="27"/>
                      </w:rPr>
                    </w:pPr>
                    <w:r>
                      <w:rPr>
                        <w:rFonts w:ascii="SimHei" w:hAnsi="SimHei" w:eastAsia="SimHei" w:cs="SimHei"/>
                        <w:sz w:val="27"/>
                        <w:szCs w:val="27"/>
                        <w:color w:val="FFFFFF"/>
                        <w:spacing w:val="9"/>
                      </w:rPr>
                      <w:t>市场监管概览</w:t>
                    </w:r>
                  </w:p>
                </w:txbxContent>
              </v:textbox>
            </v:shape>
          </v:group>
        </w:pict>
      </w:r>
    </w:p>
    <w:p>
      <w:pPr>
        <w:pStyle w:val="BodyText"/>
        <w:spacing w:line="439" w:lineRule="auto"/>
        <w:rPr/>
      </w:pPr>
      <w:r/>
    </w:p>
    <w:p>
      <w:pPr>
        <w:ind w:left="439" w:right="539" w:firstLine="450"/>
        <w:spacing w:before="65" w:line="277" w:lineRule="auto"/>
        <w:rPr>
          <w:rFonts w:ascii="SimHei" w:hAnsi="SimHei" w:eastAsia="SimHei" w:cs="SimHei"/>
          <w:sz w:val="20"/>
          <w:szCs w:val="20"/>
        </w:rPr>
      </w:pPr>
      <w:r>
        <w:rPr>
          <w:rFonts w:ascii="SimHei" w:hAnsi="SimHei" w:eastAsia="SimHei" w:cs="SimHei"/>
          <w:sz w:val="20"/>
          <w:szCs w:val="20"/>
          <w:spacing w:val="19"/>
        </w:rPr>
        <w:t>2024年1月22日-1月28日，证监会作出1份监管文书；证监局作出19份监管文书；上交所作出11份监管文书；</w:t>
      </w:r>
      <w:r>
        <w:rPr>
          <w:rFonts w:ascii="SimHei" w:hAnsi="SimHei" w:eastAsia="SimHei" w:cs="SimHei"/>
          <w:sz w:val="20"/>
          <w:szCs w:val="20"/>
          <w:spacing w:val="3"/>
        </w:rPr>
        <w:t xml:space="preserve"> </w:t>
      </w:r>
      <w:r>
        <w:rPr>
          <w:rFonts w:ascii="SimHei" w:hAnsi="SimHei" w:eastAsia="SimHei" w:cs="SimHei"/>
          <w:sz w:val="20"/>
          <w:szCs w:val="20"/>
          <w:spacing w:val="11"/>
        </w:rPr>
        <w:t>深交所作出7份监管文书。</w:t>
      </w:r>
    </w:p>
    <w:p>
      <w:pPr>
        <w:pStyle w:val="BodyText"/>
        <w:spacing w:line="353" w:lineRule="auto"/>
        <w:rPr/>
      </w:pPr>
      <w:r/>
    </w:p>
    <w:p>
      <w:pPr>
        <w:ind w:left="890"/>
        <w:spacing w:before="65" w:line="213" w:lineRule="auto"/>
        <w:rPr>
          <w:rFonts w:ascii="SimHei" w:hAnsi="SimHei" w:eastAsia="SimHei" w:cs="SimHei"/>
          <w:sz w:val="20"/>
          <w:szCs w:val="20"/>
        </w:rPr>
      </w:pPr>
      <w:r>
        <w:rPr>
          <w:rFonts w:ascii="SimHei" w:hAnsi="SimHei" w:eastAsia="SimHei" w:cs="SimHei"/>
          <w:sz w:val="20"/>
          <w:szCs w:val="20"/>
          <w:spacing w:val="19"/>
        </w:rPr>
        <w:t>上周，证监会对1个对象进行立案调查；证监局作出2份行政处罚决定事先告知书，17份行政监管措施决定书。</w:t>
      </w:r>
    </w:p>
    <w:p>
      <w:pPr>
        <w:pStyle w:val="BodyText"/>
        <w:spacing w:line="322" w:lineRule="auto"/>
        <w:rPr/>
      </w:pPr>
      <w:r/>
    </w:p>
    <w:p>
      <w:pPr>
        <w:ind w:left="890"/>
        <w:spacing w:before="65" w:line="391" w:lineRule="exact"/>
        <w:rPr>
          <w:rFonts w:ascii="SimHei" w:hAnsi="SimHei" w:eastAsia="SimHei" w:cs="SimHei"/>
          <w:sz w:val="20"/>
          <w:szCs w:val="20"/>
        </w:rPr>
      </w:pPr>
      <w:r>
        <w:rPr>
          <w:rFonts w:ascii="SimHei" w:hAnsi="SimHei" w:eastAsia="SimHei" w:cs="SimHei"/>
          <w:sz w:val="20"/>
          <w:szCs w:val="20"/>
          <w:spacing w:val="21"/>
          <w:position w:val="14"/>
        </w:rPr>
        <w:t>上周，上交所公司监管部门作出8份监管警示函，对</w:t>
      </w:r>
      <w:r>
        <w:rPr>
          <w:rFonts w:ascii="SimHei" w:hAnsi="SimHei" w:eastAsia="SimHei" w:cs="SimHei"/>
          <w:sz w:val="20"/>
          <w:szCs w:val="20"/>
          <w:spacing w:val="20"/>
          <w:position w:val="14"/>
        </w:rPr>
        <w:t>3宗行为予以纪律处分。同时，加大信息披露和股价异常</w:t>
      </w:r>
    </w:p>
    <w:p>
      <w:pPr>
        <w:ind w:left="469"/>
        <w:spacing w:line="212" w:lineRule="auto"/>
        <w:rPr>
          <w:rFonts w:ascii="SimHei" w:hAnsi="SimHei" w:eastAsia="SimHei" w:cs="SimHei"/>
          <w:sz w:val="20"/>
          <w:szCs w:val="20"/>
        </w:rPr>
      </w:pPr>
      <w:r>
        <w:rPr>
          <w:rFonts w:ascii="SimHei" w:hAnsi="SimHei" w:eastAsia="SimHei" w:cs="SimHei"/>
          <w:sz w:val="20"/>
          <w:szCs w:val="20"/>
          <w:spacing w:val="17"/>
        </w:rPr>
        <w:t>的联动监管，针对公司披露敏感信息或股价发生明显异常的，提请启动内幕交易、异常交易核查8单。</w:t>
      </w:r>
    </w:p>
    <w:p>
      <w:pPr>
        <w:pStyle w:val="BodyText"/>
        <w:spacing w:line="352" w:lineRule="auto"/>
        <w:rPr/>
      </w:pPr>
      <w:r/>
    </w:p>
    <w:p>
      <w:pPr>
        <w:ind w:left="890"/>
        <w:spacing w:before="66" w:line="213" w:lineRule="auto"/>
        <w:rPr>
          <w:rFonts w:ascii="SimHei" w:hAnsi="SimHei" w:eastAsia="SimHei" w:cs="SimHei"/>
          <w:sz w:val="20"/>
          <w:szCs w:val="20"/>
        </w:rPr>
      </w:pPr>
      <w:r>
        <w:rPr>
          <w:rFonts w:ascii="SimHei" w:hAnsi="SimHei" w:eastAsia="SimHei" w:cs="SimHei"/>
          <w:sz w:val="20"/>
          <w:szCs w:val="20"/>
          <w:spacing w:val="20"/>
        </w:rPr>
        <w:t>上周，深交所发出4份监管函，对3宗行为予以纪律处</w:t>
      </w:r>
      <w:r>
        <w:rPr>
          <w:rFonts w:ascii="SimHei" w:hAnsi="SimHei" w:eastAsia="SimHei" w:cs="SimHei"/>
          <w:sz w:val="20"/>
          <w:szCs w:val="20"/>
          <w:spacing w:val="19"/>
        </w:rPr>
        <w:t>分；共发出关注函4份。</w:t>
      </w:r>
    </w:p>
    <w:p>
      <w:pPr>
        <w:pStyle w:val="BodyText"/>
        <w:spacing w:line="314" w:lineRule="auto"/>
        <w:rPr/>
      </w:pPr>
      <w:r/>
    </w:p>
    <w:p>
      <w:pPr>
        <w:pStyle w:val="BodyText"/>
        <w:spacing w:line="315" w:lineRule="auto"/>
        <w:rPr/>
      </w:pPr>
      <w:r/>
    </w:p>
    <w:p>
      <w:pPr>
        <w:ind w:left="3664"/>
        <w:spacing w:before="114" w:line="221" w:lineRule="auto"/>
        <w:rPr>
          <w:rFonts w:ascii="SimHei" w:hAnsi="SimHei" w:eastAsia="SimHei" w:cs="SimHei"/>
          <w:sz w:val="35"/>
          <w:szCs w:val="35"/>
        </w:rPr>
      </w:pPr>
      <w:r>
        <w:rPr>
          <w:rFonts w:ascii="SimHei" w:hAnsi="SimHei" w:eastAsia="SimHei" w:cs="SimHei"/>
          <w:sz w:val="35"/>
          <w:szCs w:val="35"/>
          <w:b/>
          <w:bCs/>
          <w:spacing w:val="18"/>
        </w:rPr>
        <w:t>上周监管机构监管数据统计(份)</w:t>
      </w:r>
    </w:p>
    <w:p>
      <w:pPr>
        <w:spacing w:line="16" w:lineRule="exact"/>
        <w:rPr/>
      </w:pPr>
      <w:r/>
    </w:p>
    <w:p>
      <w:pPr>
        <w:spacing w:line="16" w:lineRule="exact"/>
        <w:sectPr>
          <w:pgSz w:w="11910" w:h="16840"/>
          <w:pgMar w:top="400" w:right="30" w:bottom="0" w:left="0" w:header="0" w:footer="0" w:gutter="0"/>
          <w:cols w:equalWidth="0" w:num="1">
            <w:col w:w="11880" w:space="0"/>
          </w:cols>
        </w:sectPr>
        <w:rPr/>
      </w:pPr>
    </w:p>
    <w:p>
      <w:pPr>
        <w:ind w:left="2849"/>
        <w:spacing w:before="28" w:line="184" w:lineRule="auto"/>
        <w:rPr>
          <w:rFonts w:ascii="SimSun" w:hAnsi="SimSun" w:eastAsia="SimSun" w:cs="SimSun"/>
          <w:sz w:val="20"/>
          <w:szCs w:val="20"/>
        </w:rPr>
      </w:pPr>
      <w:r>
        <w:rPr>
          <w:rFonts w:ascii="SimSun" w:hAnsi="SimSun" w:eastAsia="SimSun" w:cs="SimSun"/>
          <w:sz w:val="20"/>
          <w:szCs w:val="20"/>
          <w:spacing w:val="-13"/>
        </w:rPr>
        <w:t>61-</w:t>
      </w:r>
    </w:p>
    <w:p>
      <w:pPr>
        <w:ind w:left="2849"/>
        <w:spacing w:before="70" w:line="184" w:lineRule="auto"/>
        <w:rPr>
          <w:rFonts w:ascii="SimSun" w:hAnsi="SimSun" w:eastAsia="SimSun" w:cs="SimSun"/>
          <w:sz w:val="20"/>
          <w:szCs w:val="20"/>
        </w:rPr>
      </w:pPr>
      <w:r>
        <w:rPr>
          <w:rFonts w:ascii="SimSun" w:hAnsi="SimSun" w:eastAsia="SimSun" w:cs="SimSun"/>
          <w:sz w:val="20"/>
          <w:szCs w:val="20"/>
          <w:spacing w:val="-14"/>
        </w:rPr>
        <w:t>51-</w:t>
      </w:r>
    </w:p>
    <w:p>
      <w:pPr>
        <w:ind w:left="2849"/>
        <w:spacing w:before="101" w:line="184" w:lineRule="auto"/>
        <w:rPr>
          <w:rFonts w:ascii="SimSun" w:hAnsi="SimSun" w:eastAsia="SimSun" w:cs="SimSun"/>
          <w:sz w:val="20"/>
          <w:szCs w:val="20"/>
        </w:rPr>
      </w:pPr>
      <w:r>
        <w:rPr>
          <w:rFonts w:ascii="SimSun" w:hAnsi="SimSun" w:eastAsia="SimSun" w:cs="SimSun"/>
          <w:sz w:val="20"/>
          <w:szCs w:val="20"/>
          <w:spacing w:val="-13"/>
        </w:rPr>
        <w:t>41-</w:t>
      </w:r>
    </w:p>
    <w:p>
      <w:pPr>
        <w:ind w:left="2849"/>
        <w:spacing w:before="71" w:line="184" w:lineRule="auto"/>
        <w:rPr>
          <w:rFonts w:ascii="SimSun" w:hAnsi="SimSun" w:eastAsia="SimSun" w:cs="SimSun"/>
          <w:sz w:val="20"/>
          <w:szCs w:val="20"/>
        </w:rPr>
      </w:pPr>
      <w:r>
        <w:rPr>
          <w:rFonts w:ascii="SimSun" w:hAnsi="SimSun" w:eastAsia="SimSun" w:cs="SimSun"/>
          <w:sz w:val="20"/>
          <w:szCs w:val="20"/>
          <w:spacing w:val="-14"/>
        </w:rPr>
        <w:t>31-</w:t>
      </w:r>
    </w:p>
    <w:p>
      <w:pPr>
        <w:ind w:left="2849"/>
        <w:spacing w:before="80" w:line="184" w:lineRule="auto"/>
        <w:rPr>
          <w:rFonts w:ascii="SimSun" w:hAnsi="SimSun" w:eastAsia="SimSun" w:cs="SimSun"/>
          <w:sz w:val="20"/>
          <w:szCs w:val="20"/>
        </w:rPr>
      </w:pPr>
      <w:r>
        <w:rPr>
          <w:rFonts w:ascii="SimSun" w:hAnsi="SimSun" w:eastAsia="SimSun" w:cs="SimSun"/>
          <w:sz w:val="20"/>
          <w:szCs w:val="20"/>
          <w:spacing w:val="-13"/>
        </w:rPr>
        <w:t>21-</w:t>
      </w:r>
    </w:p>
    <w:p>
      <w:pPr>
        <w:ind w:left="2849"/>
        <w:spacing w:before="81" w:line="184" w:lineRule="auto"/>
        <w:rPr>
          <w:rFonts w:ascii="SimSun" w:hAnsi="SimSun" w:eastAsia="SimSun" w:cs="SimSun"/>
          <w:sz w:val="20"/>
          <w:szCs w:val="20"/>
        </w:rPr>
      </w:pPr>
      <w:r>
        <w:rPr>
          <w:rFonts w:ascii="SimSun" w:hAnsi="SimSun" w:eastAsia="SimSun" w:cs="SimSun"/>
          <w:sz w:val="20"/>
          <w:szCs w:val="20"/>
          <w:spacing w:val="-19"/>
        </w:rPr>
        <w:t>11-</w:t>
      </w:r>
    </w:p>
    <w:p>
      <w:pPr>
        <w:ind w:left="2949"/>
        <w:spacing w:before="19" w:line="110" w:lineRule="exact"/>
        <w:rPr>
          <w:rFonts w:ascii="SimSun" w:hAnsi="SimSun" w:eastAsia="SimSun" w:cs="SimSun"/>
          <w:sz w:val="16"/>
          <w:szCs w:val="16"/>
        </w:rPr>
      </w:pPr>
      <w:r>
        <w:rPr>
          <w:rFonts w:ascii="SimSun" w:hAnsi="SimSun" w:eastAsia="SimSun" w:cs="SimSun"/>
          <w:sz w:val="16"/>
          <w:szCs w:val="16"/>
          <w:position w:val="-2"/>
        </w:rPr>
        <w:t>1</w:t>
      </w:r>
    </w:p>
    <w:p>
      <w:pPr>
        <w:pStyle w:val="BodyText"/>
        <w:spacing w:line="14" w:lineRule="auto"/>
        <w:rPr>
          <w:sz w:val="2"/>
        </w:rPr>
      </w:pPr>
      <w:r>
        <w:rPr>
          <w:sz w:val="2"/>
          <w:szCs w:val="2"/>
        </w:rPr>
        <w:br w:type="column"/>
      </w:r>
    </w:p>
    <w:p>
      <w:pPr>
        <w:pStyle w:val="BodyText"/>
        <w:spacing w:line="301" w:lineRule="auto"/>
        <w:rPr/>
      </w:pPr>
      <w:r/>
    </w:p>
    <w:p>
      <w:pPr>
        <w:pStyle w:val="BodyText"/>
        <w:spacing w:line="302" w:lineRule="auto"/>
        <w:rPr/>
      </w:pPr>
      <w:r/>
    </w:p>
    <w:p>
      <w:pPr>
        <w:pStyle w:val="BodyText"/>
        <w:spacing w:line="302" w:lineRule="auto"/>
        <w:rPr/>
      </w:pPr>
      <w:r/>
    </w:p>
    <w:p>
      <w:pPr>
        <w:ind w:left="1650"/>
        <w:spacing w:before="66" w:line="184" w:lineRule="auto"/>
        <w:rPr>
          <w:rFonts w:ascii="SimSun" w:hAnsi="SimSun" w:eastAsia="SimSun" w:cs="SimSun"/>
          <w:sz w:val="20"/>
          <w:szCs w:val="20"/>
        </w:rPr>
      </w:pPr>
      <w:r>
        <w:rPr>
          <w:rFonts w:ascii="SimSun" w:hAnsi="SimSun" w:eastAsia="SimSun" w:cs="SimSun"/>
          <w:sz w:val="20"/>
          <w:szCs w:val="20"/>
          <w:spacing w:val="-6"/>
        </w:rPr>
        <w:t>19</w:t>
      </w:r>
    </w:p>
    <w:p>
      <w:pPr>
        <w:ind w:left="3310"/>
        <w:spacing w:before="20" w:line="184" w:lineRule="auto"/>
        <w:rPr>
          <w:rFonts w:ascii="SimSun" w:hAnsi="SimSun" w:eastAsia="SimSun" w:cs="SimSun"/>
          <w:sz w:val="20"/>
          <w:szCs w:val="20"/>
        </w:rPr>
      </w:pPr>
      <w:r>
        <w:rPr>
          <w:rFonts w:ascii="SimSun" w:hAnsi="SimSun" w:eastAsia="SimSun" w:cs="SimSun"/>
          <w:sz w:val="20"/>
          <w:szCs w:val="20"/>
          <w:spacing w:val="-6"/>
        </w:rPr>
        <w:t>11</w:t>
      </w:r>
    </w:p>
    <w:p>
      <w:pPr>
        <w:spacing w:before="81" w:line="184" w:lineRule="auto"/>
        <w:rPr>
          <w:rFonts w:ascii="SimSun" w:hAnsi="SimSun" w:eastAsia="SimSun" w:cs="SimSun"/>
          <w:sz w:val="20"/>
          <w:szCs w:val="20"/>
        </w:rPr>
      </w:pPr>
      <w:r>
        <w:rPr>
          <w:rFonts w:ascii="SimSun" w:hAnsi="SimSun" w:eastAsia="SimSun" w:cs="SimSun"/>
          <w:sz w:val="20"/>
          <w:szCs w:val="20"/>
        </w:rPr>
        <w:t>1</w:t>
      </w:r>
    </w:p>
    <w:p>
      <w:pPr>
        <w:pStyle w:val="BodyText"/>
        <w:spacing w:line="14" w:lineRule="auto"/>
        <w:rPr>
          <w:sz w:val="2"/>
        </w:rPr>
      </w:pPr>
      <w:r>
        <w:rPr>
          <w:sz w:val="2"/>
          <w:szCs w:val="2"/>
        </w:rPr>
        <w:br w:type="column"/>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spacing w:before="66" w:line="182" w:lineRule="auto"/>
        <w:rPr>
          <w:rFonts w:ascii="SimSun" w:hAnsi="SimSun" w:eastAsia="SimSun" w:cs="SimSun"/>
          <w:sz w:val="20"/>
          <w:szCs w:val="20"/>
        </w:rPr>
      </w:pPr>
      <w:r>
        <w:rPr>
          <w:rFonts w:ascii="SimSun" w:hAnsi="SimSun" w:eastAsia="SimSun" w:cs="SimSun"/>
          <w:sz w:val="20"/>
          <w:szCs w:val="20"/>
        </w:rPr>
        <w:t>7</w:t>
      </w:r>
    </w:p>
    <w:p>
      <w:pPr>
        <w:spacing w:line="182" w:lineRule="auto"/>
        <w:sectPr>
          <w:type w:val="continuous"/>
          <w:pgSz w:w="11910" w:h="16840"/>
          <w:pgMar w:top="400" w:right="30" w:bottom="0" w:left="0" w:header="0" w:footer="0" w:gutter="0"/>
          <w:cols w:equalWidth="0" w:num="3">
            <w:col w:w="3860" w:space="100"/>
            <w:col w:w="4941" w:space="100"/>
            <w:col w:w="2880" w:space="0"/>
          </w:cols>
        </w:sectPr>
        <w:rPr>
          <w:rFonts w:ascii="SimSun" w:hAnsi="SimSun" w:eastAsia="SimSun" w:cs="SimSun"/>
          <w:sz w:val="20"/>
          <w:szCs w:val="20"/>
        </w:rPr>
      </w:pPr>
    </w:p>
    <w:p>
      <w:pPr>
        <w:spacing w:line="87" w:lineRule="auto"/>
        <w:rPr>
          <w:rFonts w:ascii="Arial"/>
          <w:sz w:val="2"/>
        </w:rPr>
      </w:pPr>
      <w:r>
        <w:rPr>
          <w:rFonts w:ascii="Arial"/>
          <w:sz w:val="2"/>
        </w:rPr>
      </w:r>
    </w:p>
    <w:tbl>
      <w:tblPr>
        <w:tblStyle w:val="TableNormal"/>
        <w:tblW w:w="7359" w:type="dxa"/>
        <w:tblInd w:w="254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64"/>
        <w:gridCol w:w="1668"/>
        <w:gridCol w:w="1678"/>
        <w:gridCol w:w="1677"/>
        <w:gridCol w:w="1672"/>
      </w:tblGrid>
      <w:tr>
        <w:trPr>
          <w:trHeight w:val="320" w:hRule="atLeast"/>
        </w:trPr>
        <w:tc>
          <w:tcPr>
            <w:tcW w:w="664" w:type="dxa"/>
            <w:vAlign w:val="top"/>
          </w:tcPr>
          <w:p>
            <w:pPr>
              <w:rPr>
                <w:rFonts w:ascii="Arial"/>
                <w:sz w:val="21"/>
              </w:rPr>
            </w:pPr>
            <w:r/>
          </w:p>
        </w:tc>
        <w:tc>
          <w:tcPr>
            <w:tcW w:w="1668" w:type="dxa"/>
            <w:vAlign w:val="top"/>
          </w:tcPr>
          <w:p>
            <w:pPr>
              <w:ind w:left="520"/>
              <w:spacing w:before="61" w:line="219" w:lineRule="auto"/>
              <w:rPr>
                <w:rFonts w:ascii="SimSun" w:hAnsi="SimSun" w:eastAsia="SimSun" w:cs="SimSun"/>
                <w:sz w:val="20"/>
                <w:szCs w:val="20"/>
              </w:rPr>
            </w:pPr>
            <w:r>
              <w:rPr>
                <w:rFonts w:ascii="SimSun" w:hAnsi="SimSun" w:eastAsia="SimSun" w:cs="SimSun"/>
                <w:sz w:val="20"/>
                <w:szCs w:val="20"/>
                <w:spacing w:val="-2"/>
              </w:rPr>
              <w:t>证监会</w:t>
            </w:r>
          </w:p>
        </w:tc>
        <w:tc>
          <w:tcPr>
            <w:tcW w:w="1678" w:type="dxa"/>
            <w:vAlign w:val="top"/>
          </w:tcPr>
          <w:p>
            <w:pPr>
              <w:ind w:left="532"/>
              <w:spacing w:before="64" w:line="221" w:lineRule="auto"/>
              <w:rPr>
                <w:rFonts w:ascii="SimSun" w:hAnsi="SimSun" w:eastAsia="SimSun" w:cs="SimSun"/>
                <w:sz w:val="20"/>
                <w:szCs w:val="20"/>
              </w:rPr>
            </w:pPr>
            <w:r>
              <w:rPr>
                <w:rFonts w:ascii="SimSun" w:hAnsi="SimSun" w:eastAsia="SimSun" w:cs="SimSun"/>
                <w:sz w:val="20"/>
                <w:szCs w:val="20"/>
                <w:spacing w:val="6"/>
              </w:rPr>
              <w:t>证监局</w:t>
            </w:r>
          </w:p>
        </w:tc>
        <w:tc>
          <w:tcPr>
            <w:tcW w:w="1677" w:type="dxa"/>
            <w:vAlign w:val="top"/>
          </w:tcPr>
          <w:p>
            <w:pPr>
              <w:ind w:left="534"/>
              <w:spacing w:before="63" w:line="220" w:lineRule="auto"/>
              <w:rPr>
                <w:rFonts w:ascii="SimSun" w:hAnsi="SimSun" w:eastAsia="SimSun" w:cs="SimSun"/>
                <w:sz w:val="20"/>
                <w:szCs w:val="20"/>
              </w:rPr>
            </w:pPr>
            <w:r>
              <w:rPr>
                <w:rFonts w:ascii="SimSun" w:hAnsi="SimSun" w:eastAsia="SimSun" w:cs="SimSun"/>
                <w:sz w:val="20"/>
                <w:szCs w:val="20"/>
                <w:spacing w:val="-3"/>
              </w:rPr>
              <w:t>上交所</w:t>
            </w:r>
          </w:p>
        </w:tc>
        <w:tc>
          <w:tcPr>
            <w:tcW w:w="1672" w:type="dxa"/>
            <w:vAlign w:val="top"/>
          </w:tcPr>
          <w:p>
            <w:pPr>
              <w:ind w:left="527"/>
              <w:spacing w:before="63" w:line="220" w:lineRule="auto"/>
              <w:rPr>
                <w:rFonts w:ascii="SimSun" w:hAnsi="SimSun" w:eastAsia="SimSun" w:cs="SimSun"/>
                <w:sz w:val="20"/>
                <w:szCs w:val="20"/>
              </w:rPr>
            </w:pPr>
            <w:r>
              <w:rPr>
                <w:rFonts w:ascii="SimSun" w:hAnsi="SimSun" w:eastAsia="SimSun" w:cs="SimSun"/>
                <w:sz w:val="20"/>
                <w:szCs w:val="20"/>
                <w:spacing w:val="-2"/>
              </w:rPr>
              <w:t>深交所</w:t>
            </w:r>
          </w:p>
        </w:tc>
      </w:tr>
      <w:tr>
        <w:trPr>
          <w:trHeight w:val="300" w:hRule="atLeast"/>
        </w:trPr>
        <w:tc>
          <w:tcPr>
            <w:tcW w:w="664" w:type="dxa"/>
            <w:vAlign w:val="top"/>
          </w:tcPr>
          <w:p>
            <w:pPr>
              <w:ind w:right="7"/>
              <w:spacing w:before="52" w:line="219" w:lineRule="auto"/>
              <w:jc w:val="right"/>
              <w:rPr>
                <w:rFonts w:ascii="SimSun" w:hAnsi="SimSun" w:eastAsia="SimSun" w:cs="SimSun"/>
                <w:sz w:val="20"/>
                <w:szCs w:val="20"/>
              </w:rPr>
            </w:pPr>
            <w:r>
              <w:rPr>
                <w:rFonts w:ascii="SimSun" w:hAnsi="SimSun" w:eastAsia="SimSun" w:cs="SimSun"/>
                <w:sz w:val="20"/>
                <w:szCs w:val="20"/>
                <w:spacing w:val="-7"/>
              </w:rPr>
              <w:t>■份数</w:t>
            </w:r>
          </w:p>
        </w:tc>
        <w:tc>
          <w:tcPr>
            <w:tcW w:w="1668" w:type="dxa"/>
            <w:vAlign w:val="top"/>
          </w:tcPr>
          <w:p>
            <w:pPr>
              <w:ind w:left="770"/>
              <w:spacing w:before="103" w:line="172" w:lineRule="auto"/>
              <w:rPr>
                <w:rFonts w:ascii="SimSun" w:hAnsi="SimSun" w:eastAsia="SimSun" w:cs="SimSun"/>
                <w:sz w:val="20"/>
                <w:szCs w:val="20"/>
              </w:rPr>
            </w:pPr>
            <w:r>
              <w:rPr>
                <w:rFonts w:ascii="SimSun" w:hAnsi="SimSun" w:eastAsia="SimSun" w:cs="SimSun"/>
                <w:sz w:val="20"/>
                <w:szCs w:val="20"/>
              </w:rPr>
              <w:t>1</w:t>
            </w:r>
          </w:p>
        </w:tc>
        <w:tc>
          <w:tcPr>
            <w:tcW w:w="1678" w:type="dxa"/>
            <w:vAlign w:val="top"/>
          </w:tcPr>
          <w:p>
            <w:pPr>
              <w:ind w:left="732"/>
              <w:spacing w:before="103" w:line="172" w:lineRule="auto"/>
              <w:rPr>
                <w:rFonts w:ascii="SimSun" w:hAnsi="SimSun" w:eastAsia="SimSun" w:cs="SimSun"/>
                <w:sz w:val="20"/>
                <w:szCs w:val="20"/>
              </w:rPr>
            </w:pPr>
            <w:r>
              <w:rPr>
                <w:rFonts w:ascii="SimSun" w:hAnsi="SimSun" w:eastAsia="SimSun" w:cs="SimSun"/>
                <w:sz w:val="20"/>
                <w:szCs w:val="20"/>
                <w:spacing w:val="-6"/>
              </w:rPr>
              <w:t>19</w:t>
            </w:r>
          </w:p>
        </w:tc>
        <w:tc>
          <w:tcPr>
            <w:tcW w:w="1677" w:type="dxa"/>
            <w:vAlign w:val="top"/>
          </w:tcPr>
          <w:p>
            <w:pPr>
              <w:ind w:left="734"/>
              <w:spacing w:before="103" w:line="172" w:lineRule="auto"/>
              <w:rPr>
                <w:rFonts w:ascii="SimSun" w:hAnsi="SimSun" w:eastAsia="SimSun" w:cs="SimSun"/>
                <w:sz w:val="20"/>
                <w:szCs w:val="20"/>
              </w:rPr>
            </w:pPr>
            <w:r>
              <w:rPr>
                <w:rFonts w:ascii="SimSun" w:hAnsi="SimSun" w:eastAsia="SimSun" w:cs="SimSun"/>
                <w:sz w:val="20"/>
                <w:szCs w:val="20"/>
                <w:spacing w:val="-6"/>
              </w:rPr>
              <w:t>11</w:t>
            </w:r>
          </w:p>
        </w:tc>
        <w:tc>
          <w:tcPr>
            <w:tcW w:w="1672" w:type="dxa"/>
            <w:vAlign w:val="top"/>
          </w:tcPr>
          <w:p>
            <w:pPr>
              <w:ind w:left="777"/>
              <w:spacing w:before="105" w:line="170" w:lineRule="auto"/>
              <w:rPr>
                <w:rFonts w:ascii="SimSun" w:hAnsi="SimSun" w:eastAsia="SimSun" w:cs="SimSun"/>
                <w:sz w:val="20"/>
                <w:szCs w:val="20"/>
              </w:rPr>
            </w:pPr>
            <w:r>
              <w:rPr>
                <w:rFonts w:ascii="SimSun" w:hAnsi="SimSun" w:eastAsia="SimSun" w:cs="SimSun"/>
                <w:sz w:val="20"/>
                <w:szCs w:val="20"/>
              </w:rPr>
              <w:t>7</w:t>
            </w:r>
          </w:p>
        </w:tc>
      </w:tr>
    </w:tbl>
    <w:p>
      <w:pPr>
        <w:pStyle w:val="BodyText"/>
        <w:spacing w:line="283" w:lineRule="auto"/>
        <w:rPr/>
      </w:pPr>
      <w:r/>
    </w:p>
    <w:p>
      <w:pPr>
        <w:pStyle w:val="BodyText"/>
        <w:spacing w:line="283" w:lineRule="auto"/>
        <w:rPr/>
      </w:pPr>
      <w:r/>
    </w:p>
    <w:p>
      <w:pPr>
        <w:pStyle w:val="BodyText"/>
        <w:spacing w:line="283" w:lineRule="auto"/>
        <w:rPr/>
      </w:pPr>
      <w:r/>
    </w:p>
    <w:p>
      <w:pPr>
        <w:ind w:firstLine="2129"/>
        <w:spacing w:line="4140" w:lineRule="exact"/>
        <w:rPr/>
      </w:pPr>
      <w:r>
        <w:rPr>
          <w:position w:val="-82"/>
        </w:rPr>
        <w:drawing>
          <wp:inline distT="0" distB="0" distL="0" distR="0">
            <wp:extent cx="5251491" cy="2628865"/>
            <wp:effectExtent l="0" t="0" r="0" b="0"/>
            <wp:docPr id="16" name="IM 16"/>
            <wp:cNvGraphicFramePr/>
            <a:graphic>
              <a:graphicData uri="http://schemas.openxmlformats.org/drawingml/2006/picture">
                <pic:pic>
                  <pic:nvPicPr>
                    <pic:cNvPr id="16" name="IM 16"/>
                    <pic:cNvPicPr/>
                  </pic:nvPicPr>
                  <pic:blipFill>
                    <a:blip r:embed="rId11"/>
                    <a:stretch>
                      <a:fillRect/>
                    </a:stretch>
                  </pic:blipFill>
                  <pic:spPr>
                    <a:xfrm rot="0">
                      <a:off x="0" y="0"/>
                      <a:ext cx="5251491" cy="2628865"/>
                    </a:xfrm>
                    <a:prstGeom prst="rect">
                      <a:avLst/>
                    </a:prstGeom>
                  </pic:spPr>
                </pic:pic>
              </a:graphicData>
            </a:graphic>
          </wp:inline>
        </w:drawing>
      </w:r>
    </w:p>
    <w:p>
      <w:pPr>
        <w:spacing w:line="4140" w:lineRule="exact"/>
        <w:sectPr>
          <w:type w:val="continuous"/>
          <w:pgSz w:w="11910" w:h="16840"/>
          <w:pgMar w:top="400" w:right="30" w:bottom="0" w:left="0" w:header="0" w:footer="0" w:gutter="0"/>
          <w:cols w:equalWidth="0" w:num="1">
            <w:col w:w="11880" w:space="0"/>
          </w:cols>
        </w:sectPr>
        <w:rPr/>
      </w:pPr>
    </w:p>
    <w:p>
      <w:pPr>
        <w:spacing w:line="819" w:lineRule="exact"/>
        <w:rPr/>
      </w:pPr>
      <w:r>
        <w:rPr>
          <w:position w:val="-16"/>
        </w:rPr>
        <w:pict>
          <v:group id="_x0000_s12" style="mso-position-vertical-relative:line;mso-position-horizontal-relative:char;width:188.5pt;height:41pt;" filled="false" stroked="false" coordsize="3770,820" coordorigin="0,0">
            <v:shape id="_x0000_s14" style="position:absolute;left:0;top:0;width:3770;height:820;" filled="false" stroked="false" type="#_x0000_t75">
              <v:imagedata o:title="" r:id="rId12"/>
            </v:shape>
            <v:shape id="_x0000_s16" style="position:absolute;left:-20;top:-20;width:3810;height:860;" filled="false" stroked="false" type="#_x0000_t202">
              <v:fill on="false"/>
              <v:stroke on="false"/>
              <v:path/>
              <v:imagedata o:title=""/>
              <o:lock v:ext="edit" aspectratio="false"/>
              <v:textbox inset="0mm,0mm,0mm,0mm">
                <w:txbxContent>
                  <w:p>
                    <w:pPr>
                      <w:ind w:left="433"/>
                      <w:spacing w:before="275" w:line="222" w:lineRule="auto"/>
                      <w:rPr>
                        <w:rFonts w:ascii="SimHei" w:hAnsi="SimHei" w:eastAsia="SimHei" w:cs="SimHei"/>
                        <w:sz w:val="29"/>
                        <w:szCs w:val="29"/>
                      </w:rPr>
                    </w:pPr>
                    <w:r>
                      <w:rPr>
                        <w:rFonts w:ascii="SimHei" w:hAnsi="SimHei" w:eastAsia="SimHei" w:cs="SimHei"/>
                        <w:sz w:val="29"/>
                        <w:szCs w:val="29"/>
                        <w:b/>
                        <w:bCs/>
                        <w:color w:val="FFFFFF"/>
                        <w:spacing w:val="-12"/>
                      </w:rPr>
                      <w:t>证监会证监局监管动态</w:t>
                    </w:r>
                  </w:p>
                </w:txbxContent>
              </v:textbox>
            </v:shape>
          </v:group>
        </w:pict>
      </w:r>
    </w:p>
    <w:p>
      <w:pPr>
        <w:pStyle w:val="BodyText"/>
        <w:spacing w:line="410" w:lineRule="auto"/>
        <w:rPr/>
      </w:pPr>
      <w:r/>
    </w:p>
    <w:p>
      <w:pPr>
        <w:ind w:left="479" w:right="198" w:firstLine="430"/>
        <w:spacing w:before="74" w:line="243" w:lineRule="auto"/>
        <w:rPr>
          <w:rFonts w:ascii="SimHei" w:hAnsi="SimHei" w:eastAsia="SimHei" w:cs="SimHei"/>
          <w:sz w:val="23"/>
          <w:szCs w:val="23"/>
        </w:rPr>
      </w:pPr>
      <w:r>
        <w:rPr>
          <w:rFonts w:ascii="SimHei" w:hAnsi="SimHei" w:eastAsia="SimHei" w:cs="SimHei"/>
          <w:sz w:val="23"/>
          <w:szCs w:val="23"/>
          <w:spacing w:val="-5"/>
        </w:rPr>
        <w:t>2024年1月22日-1月28日，证监会对1个对象进行立案调查；证监局作出2份行政处罚</w:t>
      </w:r>
      <w:r>
        <w:rPr>
          <w:rFonts w:ascii="SimHei" w:hAnsi="SimHei" w:eastAsia="SimHei" w:cs="SimHei"/>
          <w:sz w:val="23"/>
          <w:szCs w:val="23"/>
          <w:spacing w:val="4"/>
        </w:rPr>
        <w:t xml:space="preserve"> </w:t>
      </w:r>
      <w:r>
        <w:rPr>
          <w:rFonts w:ascii="SimHei" w:hAnsi="SimHei" w:eastAsia="SimHei" w:cs="SimHei"/>
          <w:sz w:val="23"/>
          <w:szCs w:val="23"/>
          <w:spacing w:val="-12"/>
        </w:rPr>
        <w:t>决定事先告知书，17份行政监管措施决定书。</w:t>
      </w:r>
    </w:p>
    <w:p>
      <w:pPr>
        <w:pStyle w:val="BodyText"/>
        <w:spacing w:line="344" w:lineRule="auto"/>
        <w:rPr/>
      </w:pPr>
      <w:r/>
    </w:p>
    <w:p>
      <w:pPr>
        <w:ind w:left="183"/>
        <w:spacing w:before="75" w:line="222" w:lineRule="auto"/>
        <w:rPr>
          <w:rFonts w:ascii="SimHei" w:hAnsi="SimHei" w:eastAsia="SimHei" w:cs="SimHei"/>
          <w:sz w:val="23"/>
          <w:szCs w:val="23"/>
        </w:rPr>
      </w:pPr>
      <w:r>
        <w:rPr>
          <w:rFonts w:ascii="SimHei" w:hAnsi="SimHei" w:eastAsia="SimHei" w:cs="SimHei"/>
          <w:sz w:val="23"/>
          <w:szCs w:val="23"/>
          <w:b/>
          <w:bCs/>
          <w:spacing w:val="15"/>
        </w:rPr>
        <w:t>(1)行政处罚决定事先告知书</w:t>
      </w:r>
    </w:p>
    <w:p>
      <w:pPr>
        <w:spacing w:line="224" w:lineRule="exact"/>
        <w:rPr/>
      </w:pPr>
      <w:r/>
    </w:p>
    <w:tbl>
      <w:tblPr>
        <w:tblStyle w:val="TableNormal"/>
        <w:tblW w:w="8039" w:type="dxa"/>
        <w:tblInd w:w="107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13"/>
        <w:gridCol w:w="1338"/>
        <w:gridCol w:w="5488"/>
      </w:tblGrid>
      <w:tr>
        <w:trPr>
          <w:trHeight w:val="394" w:hRule="atLeast"/>
        </w:trPr>
        <w:tc>
          <w:tcPr>
            <w:shd w:val="clear" w:fill="4F81BD"/>
            <w:tcW w:w="8039" w:type="dxa"/>
            <w:vAlign w:val="top"/>
            <w:gridSpan w:val="3"/>
          </w:tcPr>
          <w:p>
            <w:pPr>
              <w:pStyle w:val="TableText"/>
              <w:ind w:left="167"/>
              <w:spacing w:before="131" w:line="222" w:lineRule="auto"/>
              <w:rPr/>
            </w:pPr>
            <w:r>
              <w:rPr>
                <w:b/>
                <w:bCs/>
                <w:color w:val="FFFFFF"/>
                <w:spacing w:val="-2"/>
              </w:rPr>
              <w:t>公司代码</w:t>
            </w:r>
            <w:r>
              <w:rPr>
                <w:color w:val="FFFFFF"/>
                <w:spacing w:val="6"/>
              </w:rPr>
              <w:t xml:space="preserve">    </w:t>
            </w:r>
            <w:r>
              <w:rPr>
                <w:b/>
                <w:bCs/>
                <w:color w:val="FFFFFF"/>
                <w:spacing w:val="-2"/>
              </w:rPr>
              <w:t>公司简称</w:t>
            </w:r>
            <w:r>
              <w:rPr>
                <w:color w:val="FFFFFF"/>
                <w:spacing w:val="-2"/>
              </w:rPr>
              <w:t xml:space="preserve">                         </w:t>
            </w:r>
            <w:r>
              <w:rPr>
                <w:b/>
                <w:bCs/>
                <w:color w:val="FFFFFF"/>
                <w:spacing w:val="-2"/>
              </w:rPr>
              <w:t>违规行为</w:t>
            </w:r>
          </w:p>
        </w:tc>
      </w:tr>
      <w:tr>
        <w:trPr>
          <w:trHeight w:val="1078" w:hRule="atLeast"/>
        </w:trPr>
        <w:tc>
          <w:tcPr>
            <w:shd w:val="clear" w:fill="B8CCE4"/>
            <w:tcW w:w="1213" w:type="dxa"/>
            <w:vAlign w:val="top"/>
          </w:tcPr>
          <w:p>
            <w:pPr>
              <w:spacing w:line="422" w:lineRule="auto"/>
              <w:rPr>
                <w:rFonts w:ascii="Arial"/>
                <w:sz w:val="21"/>
              </w:rPr>
            </w:pPr>
            <w:r/>
          </w:p>
          <w:p>
            <w:pPr>
              <w:pStyle w:val="TableText"/>
              <w:ind w:left="285"/>
              <w:spacing w:before="69" w:line="183" w:lineRule="auto"/>
              <w:rPr/>
            </w:pPr>
            <w:r>
              <w:rPr>
                <w:spacing w:val="-2"/>
              </w:rPr>
              <w:t>688555</w:t>
            </w:r>
          </w:p>
        </w:tc>
        <w:tc>
          <w:tcPr>
            <w:shd w:val="clear" w:fill="B8CCE4"/>
            <w:tcW w:w="1338" w:type="dxa"/>
            <w:vAlign w:val="top"/>
          </w:tcPr>
          <w:p>
            <w:pPr>
              <w:spacing w:line="369" w:lineRule="auto"/>
              <w:rPr>
                <w:rFonts w:ascii="Arial"/>
                <w:sz w:val="21"/>
              </w:rPr>
            </w:pPr>
            <w:r/>
          </w:p>
          <w:p>
            <w:pPr>
              <w:pStyle w:val="TableText"/>
              <w:ind w:left="252"/>
              <w:spacing w:before="68" w:line="219" w:lineRule="auto"/>
              <w:rPr/>
            </w:pPr>
            <w:r>
              <w:rPr>
                <w:spacing w:val="-2"/>
              </w:rPr>
              <w:t>退市泽达</w:t>
            </w:r>
          </w:p>
        </w:tc>
        <w:tc>
          <w:tcPr>
            <w:shd w:val="clear" w:fill="B7CBE3"/>
            <w:tcW w:w="5488" w:type="dxa"/>
            <w:vAlign w:val="top"/>
          </w:tcPr>
          <w:p>
            <w:pPr>
              <w:spacing w:line="366" w:lineRule="auto"/>
              <w:rPr>
                <w:rFonts w:ascii="Arial"/>
                <w:sz w:val="21"/>
              </w:rPr>
            </w:pPr>
            <w:r/>
          </w:p>
          <w:p>
            <w:pPr>
              <w:pStyle w:val="TableText"/>
              <w:ind w:left="23"/>
              <w:spacing w:before="68" w:line="219" w:lineRule="auto"/>
              <w:rPr/>
            </w:pPr>
            <w:r>
              <w:rPr>
                <w:spacing w:val="-2"/>
              </w:rPr>
              <w:t>公司未在法定披露截止日披露</w:t>
            </w:r>
            <w:r>
              <w:rPr>
                <w:b/>
                <w:bCs/>
                <w:spacing w:val="-2"/>
              </w:rPr>
              <w:t>2022年年报。</w:t>
            </w:r>
          </w:p>
        </w:tc>
      </w:tr>
      <w:tr>
        <w:trPr>
          <w:trHeight w:val="2167" w:hRule="atLeast"/>
        </w:trPr>
        <w:tc>
          <w:tcPr>
            <w:tcW w:w="8039" w:type="dxa"/>
            <w:vAlign w:val="top"/>
            <w:gridSpan w:val="3"/>
          </w:tcPr>
          <w:p>
            <w:pPr>
              <w:pStyle w:val="TableText"/>
              <w:ind w:left="62"/>
              <w:spacing w:before="107" w:line="219" w:lineRule="auto"/>
              <w:rPr/>
            </w:pPr>
            <w:r>
              <w:rPr>
                <w:b/>
                <w:bCs/>
                <w:spacing w:val="3"/>
              </w:rPr>
              <w:t>【行政处罚决定(拟)】</w:t>
            </w:r>
            <w:r>
              <w:rPr>
                <w:spacing w:val="3"/>
              </w:rPr>
              <w:t>天津证监局拟决定：</w:t>
            </w:r>
          </w:p>
          <w:p>
            <w:pPr>
              <w:pStyle w:val="TableText"/>
              <w:ind w:left="164"/>
              <w:spacing w:before="113" w:line="218" w:lineRule="auto"/>
              <w:rPr/>
            </w:pPr>
            <w:r>
              <w:rPr/>
              <w:t>一)对泽达易盛(天津)科技股份有限公司责令改正，给</w:t>
            </w:r>
            <w:r>
              <w:rPr>
                <w:spacing w:val="-1"/>
              </w:rPr>
              <w:t>予警告，并处以50万元罚款</w:t>
            </w:r>
          </w:p>
          <w:p>
            <w:pPr>
              <w:spacing w:line="401" w:lineRule="auto"/>
              <w:rPr>
                <w:rFonts w:ascii="Arial"/>
                <w:sz w:val="21"/>
              </w:rPr>
            </w:pPr>
            <w:r/>
          </w:p>
          <w:p>
            <w:pPr>
              <w:pStyle w:val="TableText"/>
              <w:ind w:left="164"/>
              <w:spacing w:before="68" w:line="218" w:lineRule="auto"/>
              <w:rPr/>
            </w:pPr>
            <w:r>
              <w:rPr/>
              <w:t>(二)对时任董事长，时任总经理林某给予警告，并处以2</w:t>
            </w:r>
            <w:r>
              <w:rPr>
                <w:spacing w:val="-1"/>
              </w:rPr>
              <w:t>0万元罚款。</w:t>
            </w:r>
          </w:p>
          <w:p>
            <w:pPr>
              <w:pStyle w:val="TableText"/>
              <w:spacing w:before="111" w:line="218" w:lineRule="auto"/>
              <w:jc w:val="right"/>
              <w:rPr/>
            </w:pPr>
            <w:r>
              <w:rPr>
                <w:spacing w:val="-6"/>
              </w:rPr>
              <w:t>三)对时任高管，时任董事，时任董秘，时任财务总监应某给予警告，并处以20万元罚款</w:t>
            </w:r>
          </w:p>
        </w:tc>
      </w:tr>
      <w:tr>
        <w:trPr>
          <w:trHeight w:val="719" w:hRule="atLeast"/>
        </w:trPr>
        <w:tc>
          <w:tcPr>
            <w:shd w:val="clear" w:fill="B8CCE4"/>
            <w:tcW w:w="1213" w:type="dxa"/>
            <w:vAlign w:val="top"/>
          </w:tcPr>
          <w:p>
            <w:pPr>
              <w:spacing w:line="248" w:lineRule="auto"/>
              <w:rPr>
                <w:rFonts w:ascii="Arial"/>
                <w:sz w:val="21"/>
              </w:rPr>
            </w:pPr>
            <w:r/>
          </w:p>
          <w:p>
            <w:pPr>
              <w:pStyle w:val="TableText"/>
              <w:ind w:left="285"/>
              <w:spacing w:before="69" w:line="183" w:lineRule="auto"/>
              <w:rPr/>
            </w:pPr>
            <w:r>
              <w:rPr>
                <w:spacing w:val="-2"/>
              </w:rPr>
              <w:t>002397</w:t>
            </w:r>
          </w:p>
        </w:tc>
        <w:tc>
          <w:tcPr>
            <w:shd w:val="clear" w:fill="B8CCE4"/>
            <w:tcW w:w="1338" w:type="dxa"/>
            <w:vAlign w:val="top"/>
          </w:tcPr>
          <w:p>
            <w:pPr>
              <w:pStyle w:val="TableText"/>
              <w:ind w:left="252"/>
              <w:spacing w:before="264" w:line="219" w:lineRule="auto"/>
              <w:rPr/>
            </w:pPr>
            <w:r>
              <w:rPr>
                <w:spacing w:val="2"/>
              </w:rPr>
              <w:t>梦洁家纺</w:t>
            </w:r>
          </w:p>
        </w:tc>
        <w:tc>
          <w:tcPr>
            <w:shd w:val="clear" w:fill="B7CBE3"/>
            <w:tcW w:w="5488" w:type="dxa"/>
            <w:vAlign w:val="top"/>
          </w:tcPr>
          <w:p>
            <w:pPr>
              <w:pStyle w:val="TableText"/>
              <w:spacing w:before="80" w:line="383" w:lineRule="exact"/>
              <w:jc w:val="right"/>
              <w:rPr/>
            </w:pPr>
            <w:r>
              <w:rPr>
                <w:spacing w:val="-1"/>
                <w:position w:val="13"/>
              </w:rPr>
              <w:t>金森新能源作为信息披露义务人，在</w:t>
            </w:r>
            <w:r>
              <w:rPr>
                <w:b/>
                <w:bCs/>
                <w:spacing w:val="-1"/>
                <w:position w:val="13"/>
              </w:rPr>
              <w:t>《详式权益变动</w:t>
            </w:r>
            <w:r>
              <w:rPr>
                <w:b/>
                <w:bCs/>
                <w:spacing w:val="-2"/>
                <w:position w:val="13"/>
              </w:rPr>
              <w:t>报告书</w:t>
            </w:r>
          </w:p>
          <w:p>
            <w:pPr>
              <w:pStyle w:val="TableText"/>
              <w:ind w:left="23"/>
              <w:spacing w:line="215" w:lineRule="auto"/>
              <w:rPr/>
            </w:pPr>
            <w:r>
              <w:rPr>
                <w:spacing w:val="-4"/>
              </w:rPr>
              <w:t>》关于控股股东和实际控制人的信息披露存在</w:t>
            </w:r>
            <w:r>
              <w:rPr>
                <w:spacing w:val="-5"/>
              </w:rPr>
              <w:t>虚假记载。</w:t>
            </w:r>
          </w:p>
        </w:tc>
      </w:tr>
      <w:tr>
        <w:trPr>
          <w:trHeight w:val="2172" w:hRule="atLeast"/>
        </w:trPr>
        <w:tc>
          <w:tcPr>
            <w:tcW w:w="8039" w:type="dxa"/>
            <w:vAlign w:val="top"/>
            <w:gridSpan w:val="3"/>
          </w:tcPr>
          <w:p>
            <w:pPr>
              <w:spacing w:line="285" w:lineRule="auto"/>
              <w:rPr>
                <w:rFonts w:ascii="Arial"/>
                <w:sz w:val="21"/>
              </w:rPr>
            </w:pPr>
            <w:r/>
          </w:p>
          <w:p>
            <w:pPr>
              <w:spacing w:line="285" w:lineRule="auto"/>
              <w:rPr>
                <w:rFonts w:ascii="Arial"/>
                <w:sz w:val="21"/>
              </w:rPr>
            </w:pPr>
            <w:r/>
          </w:p>
          <w:p>
            <w:pPr>
              <w:pStyle w:val="TableText"/>
              <w:ind w:left="22"/>
              <w:spacing w:before="68" w:line="372" w:lineRule="exact"/>
              <w:rPr/>
            </w:pPr>
            <w:r>
              <w:rPr>
                <w:b/>
                <w:bCs/>
                <w:spacing w:val="5"/>
                <w:position w:val="12"/>
              </w:rPr>
              <w:t>【行政处罚决定(拟)</w:t>
            </w:r>
            <w:r>
              <w:rPr>
                <w:spacing w:val="5"/>
                <w:position w:val="12"/>
              </w:rPr>
              <w:t>】湖南监管局拟决定：对李</w:t>
            </w:r>
            <w:r>
              <w:rPr>
                <w:spacing w:val="4"/>
                <w:position w:val="12"/>
              </w:rPr>
              <w:t>某富给予警告，处以100万元罚款；</w:t>
            </w:r>
          </w:p>
          <w:p>
            <w:pPr>
              <w:pStyle w:val="TableText"/>
              <w:ind w:left="15"/>
              <w:spacing w:before="1" w:line="217" w:lineRule="auto"/>
              <w:rPr/>
            </w:pPr>
            <w:r>
              <w:rPr/>
              <w:t>对刘某茗给予警告，处以100万元罚款；对刘某安给予警告，处以1</w:t>
            </w:r>
            <w:r>
              <w:rPr>
                <w:spacing w:val="-1"/>
              </w:rPr>
              <w:t>50万元罚款；对金</w:t>
            </w:r>
          </w:p>
          <w:p>
            <w:pPr>
              <w:pStyle w:val="TableText"/>
              <w:ind w:left="164"/>
              <w:spacing w:before="101" w:line="218" w:lineRule="auto"/>
              <w:rPr/>
            </w:pPr>
            <w:r>
              <w:rPr/>
              <w:t>森新能源责令改正，予以警告，并处以150万元罚</w:t>
            </w:r>
            <w:r>
              <w:rPr>
                <w:spacing w:val="-1"/>
              </w:rPr>
              <w:t>款。</w:t>
            </w:r>
          </w:p>
        </w:tc>
      </w:tr>
    </w:tbl>
    <w:p>
      <w:pPr>
        <w:pStyle w:val="BodyText"/>
        <w:spacing w:line="402" w:lineRule="auto"/>
        <w:rPr/>
      </w:pPr>
      <w:r/>
    </w:p>
    <w:p>
      <w:pPr>
        <w:ind w:left="173"/>
        <w:spacing w:before="75" w:line="222" w:lineRule="auto"/>
        <w:rPr>
          <w:rFonts w:ascii="SimHei" w:hAnsi="SimHei" w:eastAsia="SimHei" w:cs="SimHei"/>
          <w:sz w:val="23"/>
          <w:szCs w:val="23"/>
        </w:rPr>
      </w:pPr>
      <w:r>
        <w:rPr>
          <w:rFonts w:ascii="SimHei" w:hAnsi="SimHei" w:eastAsia="SimHei" w:cs="SimHei"/>
          <w:sz w:val="23"/>
          <w:szCs w:val="23"/>
          <w:b/>
          <w:bCs/>
          <w:spacing w:val="17"/>
        </w:rPr>
        <w:t>(2)行政监管措施</w:t>
      </w:r>
    </w:p>
    <w:p>
      <w:pPr>
        <w:spacing w:before="2"/>
        <w:rPr/>
      </w:pPr>
      <w:r/>
    </w:p>
    <w:tbl>
      <w:tblPr>
        <w:tblStyle w:val="TableNormal"/>
        <w:tblW w:w="8049" w:type="dxa"/>
        <w:tblInd w:w="106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13"/>
        <w:gridCol w:w="1348"/>
        <w:gridCol w:w="5488"/>
      </w:tblGrid>
      <w:tr>
        <w:trPr>
          <w:trHeight w:val="403" w:hRule="atLeast"/>
        </w:trPr>
        <w:tc>
          <w:tcPr>
            <w:shd w:val="clear" w:fill="4F81BD"/>
            <w:tcW w:w="8049" w:type="dxa"/>
            <w:vAlign w:val="top"/>
            <w:gridSpan w:val="3"/>
          </w:tcPr>
          <w:p>
            <w:pPr>
              <w:pStyle w:val="TableText"/>
              <w:ind w:left="187"/>
              <w:spacing w:before="159" w:line="205" w:lineRule="auto"/>
              <w:rPr/>
            </w:pPr>
            <w:r>
              <w:rPr>
                <w:b/>
                <w:bCs/>
                <w:color w:val="FFFFFF"/>
                <w:spacing w:val="-2"/>
              </w:rPr>
              <w:t>公司代码</w:t>
            </w:r>
            <w:r>
              <w:rPr>
                <w:color w:val="FFFFFF"/>
                <w:spacing w:val="6"/>
              </w:rPr>
              <w:t xml:space="preserve">    </w:t>
            </w:r>
            <w:r>
              <w:rPr>
                <w:b/>
                <w:bCs/>
                <w:color w:val="FFFFFF"/>
                <w:spacing w:val="-2"/>
              </w:rPr>
              <w:t>公司简称</w:t>
            </w:r>
            <w:r>
              <w:rPr>
                <w:color w:val="FFFFFF"/>
                <w:spacing w:val="-2"/>
              </w:rPr>
              <w:t xml:space="preserve">                   </w:t>
            </w:r>
            <w:r>
              <w:rPr>
                <w:color w:val="FFFFFF"/>
                <w:spacing w:val="-3"/>
              </w:rPr>
              <w:t xml:space="preserve">      </w:t>
            </w:r>
            <w:r>
              <w:rPr>
                <w:b/>
                <w:bCs/>
                <w:color w:val="FFFFFF"/>
                <w:spacing w:val="-3"/>
              </w:rPr>
              <w:t>违规行为</w:t>
            </w:r>
          </w:p>
        </w:tc>
      </w:tr>
      <w:tr>
        <w:trPr>
          <w:trHeight w:val="1076" w:hRule="atLeast"/>
        </w:trPr>
        <w:tc>
          <w:tcPr>
            <w:shd w:val="clear" w:fill="B8CCE4"/>
            <w:tcW w:w="1213" w:type="dxa"/>
            <w:vAlign w:val="top"/>
          </w:tcPr>
          <w:p>
            <w:pPr>
              <w:spacing w:line="422" w:lineRule="auto"/>
              <w:rPr>
                <w:rFonts w:ascii="Arial"/>
                <w:sz w:val="21"/>
              </w:rPr>
            </w:pPr>
            <w:r/>
          </w:p>
          <w:p>
            <w:pPr>
              <w:pStyle w:val="TableText"/>
              <w:ind w:left="244"/>
              <w:spacing w:before="69" w:line="184" w:lineRule="auto"/>
              <w:rPr/>
            </w:pPr>
            <w:r>
              <w:rPr>
                <w:spacing w:val="-2"/>
              </w:rPr>
              <w:t>000710</w:t>
            </w:r>
          </w:p>
        </w:tc>
        <w:tc>
          <w:tcPr>
            <w:shd w:val="clear" w:fill="B8CCE4"/>
            <w:tcW w:w="1348" w:type="dxa"/>
            <w:vAlign w:val="top"/>
          </w:tcPr>
          <w:p>
            <w:pPr>
              <w:spacing w:line="373" w:lineRule="auto"/>
              <w:rPr>
                <w:rFonts w:ascii="Arial"/>
                <w:sz w:val="21"/>
              </w:rPr>
            </w:pPr>
            <w:r/>
          </w:p>
          <w:p>
            <w:pPr>
              <w:pStyle w:val="TableText"/>
              <w:ind w:left="271"/>
              <w:spacing w:before="68" w:line="221" w:lineRule="auto"/>
              <w:rPr/>
            </w:pPr>
            <w:r>
              <w:rPr>
                <w:spacing w:val="5"/>
              </w:rPr>
              <w:t>贝瑞基因</w:t>
            </w:r>
          </w:p>
        </w:tc>
        <w:tc>
          <w:tcPr>
            <w:shd w:val="clear" w:fill="B7CBE3"/>
            <w:tcW w:w="5488" w:type="dxa"/>
            <w:vAlign w:val="top"/>
          </w:tcPr>
          <w:p>
            <w:pPr>
              <w:pStyle w:val="TableText"/>
              <w:ind w:left="13" w:right="176" w:firstLine="20"/>
              <w:spacing w:before="100" w:line="283" w:lineRule="auto"/>
              <w:jc w:val="both"/>
              <w:rPr/>
            </w:pPr>
            <w:r>
              <w:rPr>
                <w:spacing w:val="-1"/>
              </w:rPr>
              <w:t>上会会计师事务所(特殊普通合伙)、注册会计师执行的成</w:t>
            </w:r>
            <w:r>
              <w:rPr>
                <w:spacing w:val="15"/>
              </w:rPr>
              <w:t xml:space="preserve"> </w:t>
            </w:r>
            <w:r>
              <w:rPr/>
              <w:t>都市贝瑞和康基因技术股份有限公司</w:t>
            </w:r>
            <w:r>
              <w:rPr>
                <w:b/>
                <w:bCs/>
              </w:rPr>
              <w:t>2022年年报审计项目</w:t>
            </w:r>
            <w:r>
              <w:rPr>
                <w:spacing w:val="11"/>
              </w:rPr>
              <w:t xml:space="preserve"> </w:t>
            </w:r>
            <w:r>
              <w:rPr>
                <w:spacing w:val="-1"/>
              </w:rPr>
              <w:t>存在问题。</w:t>
            </w:r>
          </w:p>
        </w:tc>
      </w:tr>
      <w:tr>
        <w:trPr>
          <w:trHeight w:val="1091" w:hRule="atLeast"/>
        </w:trPr>
        <w:tc>
          <w:tcPr>
            <w:tcW w:w="8049" w:type="dxa"/>
            <w:vAlign w:val="top"/>
            <w:gridSpan w:val="3"/>
          </w:tcPr>
          <w:p>
            <w:pPr>
              <w:pStyle w:val="TableText"/>
              <w:ind w:left="42"/>
              <w:spacing w:before="111" w:line="372" w:lineRule="exact"/>
              <w:rPr/>
            </w:pPr>
            <w:r>
              <w:rPr>
                <w:b/>
                <w:bCs/>
                <w:spacing w:val="2"/>
                <w:position w:val="12"/>
              </w:rPr>
              <w:t>【行政监管措施】</w:t>
            </w:r>
            <w:r>
              <w:rPr>
                <w:spacing w:val="2"/>
                <w:position w:val="12"/>
              </w:rPr>
              <w:t>中国证券监督管理委员会四川监管局决定对上会会计师事务所(特殊</w:t>
            </w:r>
          </w:p>
          <w:p>
            <w:pPr>
              <w:pStyle w:val="TableText"/>
              <w:ind w:left="35"/>
              <w:spacing w:line="218" w:lineRule="auto"/>
              <w:rPr/>
            </w:pPr>
            <w:r>
              <w:rPr/>
              <w:t>普通合伙)、注册会计师分别采取出具警示函的监督管理措施并记</w:t>
            </w:r>
            <w:r>
              <w:rPr>
                <w:spacing w:val="-1"/>
              </w:rPr>
              <w:t>入证券期货诚信档案</w:t>
            </w:r>
          </w:p>
        </w:tc>
      </w:tr>
    </w:tbl>
    <w:p>
      <w:pPr>
        <w:pStyle w:val="BodyText"/>
        <w:rPr/>
      </w:pPr>
      <w:r/>
    </w:p>
    <w:p>
      <w:pPr>
        <w:sectPr>
          <w:pgSz w:w="11910" w:h="16840"/>
          <w:pgMar w:top="380" w:right="1786" w:bottom="0" w:left="830" w:header="0" w:footer="0" w:gutter="0"/>
        </w:sectPr>
        <w:rPr/>
      </w:pPr>
    </w:p>
    <w:tbl>
      <w:tblPr>
        <w:tblStyle w:val="TableNormal"/>
        <w:tblW w:w="8225" w:type="dxa"/>
        <w:tblInd w:w="69"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81"/>
        <w:gridCol w:w="1416"/>
        <w:gridCol w:w="5528"/>
      </w:tblGrid>
      <w:tr>
        <w:trPr>
          <w:trHeight w:val="400" w:hRule="atLeast"/>
        </w:trPr>
        <w:tc>
          <w:tcPr>
            <w:shd w:val="clear" w:fill="4F81BD"/>
            <w:tcW w:w="1281" w:type="dxa"/>
            <w:vAlign w:val="top"/>
          </w:tcPr>
          <w:p>
            <w:pPr>
              <w:ind w:left="187"/>
              <w:spacing w:before="134"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4"/>
              </w:rPr>
              <w:t>公司代码</w:t>
            </w:r>
          </w:p>
        </w:tc>
        <w:tc>
          <w:tcPr>
            <w:shd w:val="clear" w:fill="4F81BD"/>
            <w:tcW w:w="1416" w:type="dxa"/>
            <w:vAlign w:val="top"/>
          </w:tcPr>
          <w:p>
            <w:pPr>
              <w:ind w:left="246"/>
              <w:spacing w:before="134"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4"/>
              </w:rPr>
              <w:t>公司简称</w:t>
            </w:r>
          </w:p>
        </w:tc>
        <w:tc>
          <w:tcPr>
            <w:shd w:val="clear" w:fill="4F81BD"/>
            <w:tcW w:w="5528" w:type="dxa"/>
            <w:vAlign w:val="top"/>
          </w:tcPr>
          <w:p>
            <w:pPr>
              <w:ind w:left="2323"/>
              <w:spacing w:before="134"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4"/>
              </w:rPr>
              <w:t>违规行为</w:t>
            </w:r>
          </w:p>
        </w:tc>
      </w:tr>
      <w:tr>
        <w:trPr>
          <w:trHeight w:val="1800" w:hRule="atLeast"/>
        </w:trPr>
        <w:tc>
          <w:tcPr>
            <w:shd w:val="clear" w:fill="C6D9F0"/>
            <w:tcW w:w="1281" w:type="dxa"/>
            <w:vAlign w:val="top"/>
            <w:tcBorders>
              <w:bottom w:val="single" w:color="4F81BD" w:sz="2" w:space="0"/>
            </w:tcBorders>
          </w:tcPr>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274"/>
              <w:spacing w:before="85"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000909</w:t>
            </w:r>
          </w:p>
        </w:tc>
        <w:tc>
          <w:tcPr>
            <w:shd w:val="clear" w:fill="C6D9F0"/>
            <w:tcW w:w="1416" w:type="dxa"/>
            <w:vAlign w:val="top"/>
            <w:tcBorders>
              <w:bottom w:val="single" w:color="4F81BD" w:sz="2" w:space="0"/>
            </w:tcBorders>
          </w:tcPr>
          <w:p>
            <w:pPr>
              <w:spacing w:line="357" w:lineRule="auto"/>
              <w:rPr>
                <w:rFonts w:ascii="Arial"/>
                <w:sz w:val="21"/>
              </w:rPr>
            </w:pPr>
            <w:r/>
          </w:p>
          <w:p>
            <w:pPr>
              <w:spacing w:line="358" w:lineRule="auto"/>
              <w:rPr>
                <w:rFonts w:ascii="Arial"/>
                <w:sz w:val="21"/>
              </w:rPr>
            </w:pPr>
            <w:r/>
          </w:p>
          <w:p>
            <w:pPr>
              <w:ind w:left="382"/>
              <w:spacing w:before="85"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7"/>
              </w:rPr>
              <w:t>数源</w:t>
            </w:r>
          </w:p>
        </w:tc>
        <w:tc>
          <w:tcPr>
            <w:shd w:val="clear" w:fill="C6D9F0"/>
            <w:tcW w:w="5528" w:type="dxa"/>
            <w:vAlign w:val="top"/>
            <w:tcBorders>
              <w:bottom w:val="single" w:color="4F81BD" w:sz="2" w:space="0"/>
            </w:tcBorders>
          </w:tcPr>
          <w:p>
            <w:pPr>
              <w:ind w:left="2" w:right="58" w:firstLine="9"/>
              <w:spacing w:before="81" w:line="239"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2020年至2022年</w:t>
            </w:r>
            <w:r>
              <w:rPr>
                <w:rFonts w:ascii="Microsoft YaHei" w:hAnsi="Microsoft YaHei" w:eastAsia="Microsoft YaHei" w:cs="Microsoft YaHei"/>
                <w:sz w:val="20"/>
                <w:szCs w:val="20"/>
                <w:spacing w:val="-19"/>
              </w:rPr>
              <w:t xml:space="preserve"> </w:t>
            </w:r>
            <w:r>
              <w:rPr>
                <w:rFonts w:ascii="Microsoft YaHei" w:hAnsi="Microsoft YaHei" w:eastAsia="Microsoft YaHei" w:cs="Microsoft YaHei"/>
                <w:sz w:val="20"/>
                <w:szCs w:val="20"/>
                <w:spacing w:val="7"/>
              </w:rPr>
              <w:t>，公司部分商贸类及电子信息类业务的</w:t>
            </w:r>
            <w:r>
              <w:rPr>
                <w:rFonts w:ascii="Microsoft YaHei" w:hAnsi="Microsoft YaHei" w:eastAsia="Microsoft YaHei" w:cs="Microsoft YaHei"/>
                <w:sz w:val="20"/>
                <w:szCs w:val="20"/>
                <w:b/>
                <w:bCs/>
                <w:spacing w:val="7"/>
              </w:rPr>
              <w:t>收</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8"/>
              </w:rPr>
              <w:t>入、成本确认</w:t>
            </w:r>
            <w:r>
              <w:rPr>
                <w:rFonts w:ascii="Microsoft YaHei" w:hAnsi="Microsoft YaHei" w:eastAsia="Microsoft YaHei" w:cs="Microsoft YaHei"/>
                <w:sz w:val="20"/>
                <w:szCs w:val="20"/>
                <w:spacing w:val="8"/>
              </w:rPr>
              <w:t>不符合企业会计准则的规定</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8"/>
              </w:rPr>
              <w:t>，相关信息披露不</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准确；</w:t>
            </w:r>
            <w:r>
              <w:rPr>
                <w:rFonts w:ascii="Microsoft YaHei" w:hAnsi="Microsoft YaHei" w:eastAsia="Microsoft YaHei" w:cs="Microsoft YaHei"/>
                <w:sz w:val="20"/>
                <w:szCs w:val="20"/>
                <w:spacing w:val="-34"/>
              </w:rPr>
              <w:t xml:space="preserve"> </w:t>
            </w:r>
            <w:r>
              <w:rPr>
                <w:rFonts w:ascii="Microsoft YaHei" w:hAnsi="Microsoft YaHei" w:eastAsia="Microsoft YaHei" w:cs="Microsoft YaHei"/>
                <w:sz w:val="20"/>
                <w:szCs w:val="20"/>
                <w:spacing w:val="7"/>
              </w:rPr>
              <w:t>2021年至2022年</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7"/>
              </w:rPr>
              <w:t>，数源科技未</w:t>
            </w:r>
            <w:r>
              <w:rPr>
                <w:rFonts w:ascii="Microsoft YaHei" w:hAnsi="Microsoft YaHei" w:eastAsia="Microsoft YaHei" w:cs="Microsoft YaHei"/>
                <w:sz w:val="20"/>
                <w:szCs w:val="20"/>
                <w:spacing w:val="6"/>
              </w:rPr>
              <w:t>及时、准确披露部分</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b/>
                <w:bCs/>
                <w:spacing w:val="10"/>
              </w:rPr>
              <w:t>房地产项目合作交易</w:t>
            </w:r>
            <w:r>
              <w:rPr>
                <w:rFonts w:ascii="Microsoft YaHei" w:hAnsi="Microsoft YaHei" w:eastAsia="Microsoft YaHei" w:cs="Microsoft YaHei"/>
                <w:sz w:val="20"/>
                <w:szCs w:val="20"/>
                <w:spacing w:val="10"/>
              </w:rPr>
              <w:t>；项目管理相关的</w:t>
            </w:r>
            <w:r>
              <w:rPr>
                <w:rFonts w:ascii="Microsoft YaHei" w:hAnsi="Microsoft YaHei" w:eastAsia="Microsoft YaHei" w:cs="Microsoft YaHei"/>
                <w:sz w:val="20"/>
                <w:szCs w:val="20"/>
                <w:b/>
                <w:bCs/>
                <w:spacing w:val="10"/>
              </w:rPr>
              <w:t>内部控制</w:t>
            </w:r>
            <w:r>
              <w:rPr>
                <w:rFonts w:ascii="Microsoft YaHei" w:hAnsi="Microsoft YaHei" w:eastAsia="Microsoft YaHei" w:cs="Microsoft YaHei"/>
                <w:sz w:val="20"/>
                <w:szCs w:val="20"/>
                <w:spacing w:val="10"/>
              </w:rPr>
              <w:t>存</w:t>
            </w:r>
            <w:r>
              <w:rPr>
                <w:rFonts w:ascii="Microsoft YaHei" w:hAnsi="Microsoft YaHei" w:eastAsia="Microsoft YaHei" w:cs="Microsoft YaHei"/>
                <w:sz w:val="20"/>
                <w:szCs w:val="20"/>
                <w:spacing w:val="9"/>
              </w:rPr>
              <w:t>在重大缺</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陷</w:t>
            </w:r>
            <w:r>
              <w:rPr>
                <w:rFonts w:ascii="Microsoft YaHei" w:hAnsi="Microsoft YaHei" w:eastAsia="Microsoft YaHei" w:cs="Microsoft YaHei"/>
                <w:sz w:val="20"/>
                <w:szCs w:val="20"/>
                <w:spacing w:val="-19"/>
              </w:rPr>
              <w:t xml:space="preserve"> </w:t>
            </w:r>
            <w:r>
              <w:rPr>
                <w:rFonts w:ascii="Microsoft YaHei" w:hAnsi="Microsoft YaHei" w:eastAsia="Microsoft YaHei" w:cs="Microsoft YaHei"/>
                <w:sz w:val="20"/>
                <w:szCs w:val="20"/>
                <w:spacing w:val="7"/>
              </w:rPr>
              <w:t>，公司披露的内部控制评价报告不准确。</w:t>
            </w:r>
          </w:p>
        </w:tc>
      </w:tr>
      <w:tr>
        <w:trPr>
          <w:trHeight w:val="1085" w:hRule="atLeast"/>
        </w:trPr>
        <w:tc>
          <w:tcPr>
            <w:tcW w:w="8225" w:type="dxa"/>
            <w:vAlign w:val="top"/>
            <w:gridSpan w:val="3"/>
            <w:tcBorders>
              <w:top w:val="single" w:color="4F81BD" w:sz="2" w:space="0"/>
            </w:tcBorders>
          </w:tcPr>
          <w:p>
            <w:pPr>
              <w:ind w:left="8" w:right="68" w:firstLine="15"/>
              <w:spacing w:before="41" w:line="24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8"/>
              </w:rPr>
              <w:t>【行政监管措施】</w:t>
            </w:r>
            <w:r>
              <w:rPr>
                <w:rFonts w:ascii="Microsoft YaHei" w:hAnsi="Microsoft YaHei" w:eastAsia="Microsoft YaHei" w:cs="Microsoft YaHei"/>
                <w:sz w:val="20"/>
                <w:szCs w:val="20"/>
                <w:spacing w:val="8"/>
              </w:rPr>
              <w:t>中国证券监督管理委员会浙江监管局决定</w:t>
            </w:r>
            <w:r>
              <w:rPr>
                <w:rFonts w:ascii="Microsoft YaHei" w:hAnsi="Microsoft YaHei" w:eastAsia="Microsoft YaHei" w:cs="Microsoft YaHei"/>
                <w:sz w:val="20"/>
                <w:szCs w:val="20"/>
                <w:spacing w:val="7"/>
              </w:rPr>
              <w:t>对公司、</w:t>
            </w:r>
            <w:r>
              <w:rPr>
                <w:rFonts w:ascii="Microsoft YaHei" w:hAnsi="Microsoft YaHei" w:eastAsia="Microsoft YaHei" w:cs="Microsoft YaHei"/>
                <w:sz w:val="20"/>
                <w:szCs w:val="20"/>
                <w:spacing w:val="-37"/>
              </w:rPr>
              <w:t xml:space="preserve"> </w:t>
            </w:r>
            <w:r>
              <w:rPr>
                <w:rFonts w:ascii="Microsoft YaHei" w:hAnsi="Microsoft YaHei" w:eastAsia="Microsoft YaHei" w:cs="Microsoft YaHei"/>
                <w:sz w:val="20"/>
                <w:szCs w:val="20"/>
                <w:spacing w:val="7"/>
              </w:rPr>
              <w:t>时任董事长章某经、</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董事长,时任总经理丁某、总经理吴某刚、财务总监</w:t>
            </w:r>
            <w:r>
              <w:rPr>
                <w:rFonts w:ascii="Microsoft YaHei" w:hAnsi="Microsoft YaHei" w:eastAsia="Microsoft YaHei" w:cs="Microsoft YaHei"/>
                <w:sz w:val="20"/>
                <w:szCs w:val="20"/>
                <w:spacing w:val="9"/>
              </w:rPr>
              <w:t>李某哲、董事会秘书高某娟分别采取</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出具警示函的监督管理措施</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8"/>
              </w:rPr>
              <w:t>，并记入证券期货市场诚信档案。</w:t>
            </w:r>
          </w:p>
        </w:tc>
      </w:tr>
      <w:tr>
        <w:trPr>
          <w:trHeight w:val="1445" w:hRule="atLeast"/>
        </w:trPr>
        <w:tc>
          <w:tcPr>
            <w:shd w:val="clear" w:fill="B8CCE4"/>
            <w:tcW w:w="1281" w:type="dxa"/>
            <w:vAlign w:val="top"/>
          </w:tcPr>
          <w:p>
            <w:pPr>
              <w:spacing w:line="274" w:lineRule="auto"/>
              <w:rPr>
                <w:rFonts w:ascii="Arial"/>
                <w:sz w:val="21"/>
              </w:rPr>
            </w:pPr>
            <w:r/>
          </w:p>
          <w:p>
            <w:pPr>
              <w:spacing w:line="275" w:lineRule="auto"/>
              <w:rPr>
                <w:rFonts w:ascii="Arial"/>
                <w:sz w:val="21"/>
              </w:rPr>
            </w:pPr>
            <w:r/>
          </w:p>
          <w:p>
            <w:pPr>
              <w:ind w:left="277"/>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601211</w:t>
            </w:r>
          </w:p>
        </w:tc>
        <w:tc>
          <w:tcPr>
            <w:shd w:val="clear" w:fill="B8CCE4"/>
            <w:tcW w:w="1416" w:type="dxa"/>
            <w:vAlign w:val="top"/>
          </w:tcPr>
          <w:p>
            <w:pPr>
              <w:spacing w:line="267" w:lineRule="auto"/>
              <w:rPr>
                <w:rFonts w:ascii="Arial"/>
                <w:sz w:val="21"/>
              </w:rPr>
            </w:pPr>
            <w:r/>
          </w:p>
          <w:p>
            <w:pPr>
              <w:spacing w:line="267" w:lineRule="auto"/>
              <w:rPr>
                <w:rFonts w:ascii="Arial"/>
                <w:sz w:val="21"/>
              </w:rPr>
            </w:pPr>
            <w:r/>
          </w:p>
          <w:p>
            <w:pPr>
              <w:ind w:left="295"/>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国泰君安</w:t>
            </w:r>
          </w:p>
        </w:tc>
        <w:tc>
          <w:tcPr>
            <w:shd w:val="clear" w:fill="B8CCE4"/>
            <w:tcW w:w="5528" w:type="dxa"/>
            <w:vAlign w:val="top"/>
          </w:tcPr>
          <w:p>
            <w:pPr>
              <w:ind w:left="1" w:right="5" w:firstLine="13"/>
              <w:spacing w:before="85" w:line="236"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国泰君安证券股份有限公司、从业人员在</w:t>
            </w:r>
            <w:r>
              <w:rPr>
                <w:rFonts w:ascii="Microsoft YaHei" w:hAnsi="Microsoft YaHei" w:eastAsia="Microsoft YaHei" w:cs="Microsoft YaHei"/>
                <w:sz w:val="20"/>
                <w:szCs w:val="20"/>
                <w:b/>
                <w:bCs/>
                <w:spacing w:val="11"/>
              </w:rPr>
              <w:t>保荐滁州多利汽车</w:t>
            </w:r>
            <w:r>
              <w:rPr>
                <w:rFonts w:ascii="Microsoft YaHei" w:hAnsi="Microsoft YaHei" w:eastAsia="Microsoft YaHei" w:cs="Microsoft YaHei"/>
                <w:sz w:val="20"/>
                <w:szCs w:val="20"/>
                <w:b/>
                <w:bCs/>
                <w:spacing w:val="10"/>
              </w:rPr>
              <w:t xml:space="preserve"> </w:t>
            </w:r>
            <w:r>
              <w:rPr>
                <w:rFonts w:ascii="Microsoft YaHei" w:hAnsi="Microsoft YaHei" w:eastAsia="Microsoft YaHei" w:cs="Microsoft YaHei"/>
                <w:sz w:val="20"/>
                <w:szCs w:val="20"/>
                <w:b/>
                <w:bCs/>
                <w:spacing w:val="10"/>
              </w:rPr>
              <w:t>科技股份有限公司首次公开发行股票并上市过程</w:t>
            </w:r>
            <w:r>
              <w:rPr>
                <w:rFonts w:ascii="Microsoft YaHei" w:hAnsi="Microsoft YaHei" w:eastAsia="Microsoft YaHei" w:cs="Microsoft YaHei"/>
                <w:sz w:val="20"/>
                <w:szCs w:val="20"/>
                <w:spacing w:val="10"/>
              </w:rPr>
              <w:t>中</w:t>
            </w:r>
            <w:r>
              <w:rPr>
                <w:rFonts w:ascii="Microsoft YaHei" w:hAnsi="Microsoft YaHei" w:eastAsia="Microsoft YaHei" w:cs="Microsoft YaHei"/>
                <w:sz w:val="20"/>
                <w:szCs w:val="20"/>
                <w:spacing w:val="-9"/>
              </w:rPr>
              <w:t xml:space="preserve"> </w:t>
            </w:r>
            <w:r>
              <w:rPr>
                <w:rFonts w:ascii="Microsoft YaHei" w:hAnsi="Microsoft YaHei" w:eastAsia="Microsoft YaHei" w:cs="Microsoft YaHei"/>
                <w:sz w:val="20"/>
                <w:szCs w:val="20"/>
                <w:spacing w:val="10"/>
              </w:rPr>
              <w:t>，未勤勉</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尽责</w:t>
            </w:r>
            <w:r>
              <w:rPr>
                <w:rFonts w:ascii="Microsoft YaHei" w:hAnsi="Microsoft YaHei" w:eastAsia="Microsoft YaHei" w:cs="Microsoft YaHei"/>
                <w:sz w:val="20"/>
                <w:szCs w:val="20"/>
                <w:spacing w:val="-10"/>
              </w:rPr>
              <w:t xml:space="preserve"> </w:t>
            </w:r>
            <w:r>
              <w:rPr>
                <w:rFonts w:ascii="Microsoft YaHei" w:hAnsi="Microsoft YaHei" w:eastAsia="Microsoft YaHei" w:cs="Microsoft YaHei"/>
                <w:sz w:val="20"/>
                <w:szCs w:val="20"/>
                <w:spacing w:val="10"/>
              </w:rPr>
              <w:t>，导致出现对发行人董监高资金流水的穿透核查程序不</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充分、资金流水核查结论与实际情况不符等问题。</w:t>
            </w:r>
          </w:p>
        </w:tc>
      </w:tr>
      <w:tr>
        <w:trPr>
          <w:trHeight w:val="729" w:hRule="atLeast"/>
        </w:trPr>
        <w:tc>
          <w:tcPr>
            <w:tcW w:w="8225" w:type="dxa"/>
            <w:vAlign w:val="top"/>
            <w:gridSpan w:val="3"/>
          </w:tcPr>
          <w:p>
            <w:pPr>
              <w:ind w:left="16" w:right="22" w:firstLine="7"/>
              <w:spacing w:before="46" w:line="23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【行政监管措施】</w:t>
            </w:r>
            <w:r>
              <w:rPr>
                <w:rFonts w:ascii="Microsoft YaHei" w:hAnsi="Microsoft YaHei" w:eastAsia="Microsoft YaHei" w:cs="Microsoft YaHei"/>
                <w:sz w:val="20"/>
                <w:szCs w:val="20"/>
                <w:spacing w:val="9"/>
              </w:rPr>
              <w:t>中国证券监督管理委员会安徽监管局决定对国泰君安证券股份有限公司</w:t>
            </w:r>
            <w:r>
              <w:rPr>
                <w:rFonts w:ascii="Microsoft YaHei" w:hAnsi="Microsoft YaHei" w:eastAsia="Microsoft YaHei" w:cs="Microsoft YaHei"/>
                <w:sz w:val="20"/>
                <w:szCs w:val="20"/>
                <w:spacing w:val="16"/>
                <w:w w:val="101"/>
              </w:rPr>
              <w:t xml:space="preserve"> </w:t>
            </w:r>
            <w:r>
              <w:rPr>
                <w:rFonts w:ascii="Microsoft YaHei" w:hAnsi="Microsoft YaHei" w:eastAsia="Microsoft YaHei" w:cs="Microsoft YaHei"/>
                <w:sz w:val="20"/>
                <w:szCs w:val="20"/>
                <w:spacing w:val="8"/>
              </w:rPr>
              <w:t>、从业人员成采取出具警示函的行政监管措施</w:t>
            </w:r>
            <w:r>
              <w:rPr>
                <w:rFonts w:ascii="Microsoft YaHei" w:hAnsi="Microsoft YaHei" w:eastAsia="Microsoft YaHei" w:cs="Microsoft YaHei"/>
                <w:sz w:val="20"/>
                <w:szCs w:val="20"/>
                <w:spacing w:val="-16"/>
              </w:rPr>
              <w:t xml:space="preserve"> </w:t>
            </w:r>
            <w:r>
              <w:rPr>
                <w:rFonts w:ascii="Microsoft YaHei" w:hAnsi="Microsoft YaHei" w:eastAsia="Microsoft YaHei" w:cs="Microsoft YaHei"/>
                <w:sz w:val="20"/>
                <w:szCs w:val="20"/>
                <w:spacing w:val="8"/>
              </w:rPr>
              <w:t>，并记入证券期货市场诚信档案。</w:t>
            </w:r>
          </w:p>
        </w:tc>
      </w:tr>
      <w:tr>
        <w:trPr>
          <w:trHeight w:val="728" w:hRule="atLeast"/>
        </w:trPr>
        <w:tc>
          <w:tcPr>
            <w:shd w:val="clear" w:fill="B8CCE4"/>
            <w:tcW w:w="1281" w:type="dxa"/>
            <w:vAlign w:val="top"/>
          </w:tcPr>
          <w:p>
            <w:pPr>
              <w:ind w:left="277"/>
              <w:spacing w:before="284"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605090</w:t>
            </w:r>
          </w:p>
        </w:tc>
        <w:tc>
          <w:tcPr>
            <w:shd w:val="clear" w:fill="B8CCE4"/>
            <w:tcW w:w="1416" w:type="dxa"/>
            <w:vAlign w:val="top"/>
          </w:tcPr>
          <w:p>
            <w:pPr>
              <w:ind w:left="283"/>
              <w:spacing w:before="268"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九丰能源</w:t>
            </w:r>
          </w:p>
        </w:tc>
        <w:tc>
          <w:tcPr>
            <w:shd w:val="clear" w:fill="B8CCE4"/>
            <w:tcW w:w="5528" w:type="dxa"/>
            <w:vAlign w:val="top"/>
          </w:tcPr>
          <w:p>
            <w:pPr>
              <w:ind w:left="11"/>
              <w:spacing w:before="268"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时任高管配偶</w:t>
            </w:r>
            <w:r>
              <w:rPr>
                <w:rFonts w:ascii="Microsoft YaHei" w:hAnsi="Microsoft YaHei" w:eastAsia="Microsoft YaHei" w:cs="Microsoft YaHei"/>
                <w:sz w:val="20"/>
                <w:szCs w:val="20"/>
                <w:b/>
                <w:bCs/>
                <w:spacing w:val="7"/>
              </w:rPr>
              <w:t>短线交易。</w:t>
            </w:r>
          </w:p>
        </w:tc>
      </w:tr>
      <w:tr>
        <w:trPr>
          <w:trHeight w:val="730" w:hRule="atLeast"/>
        </w:trPr>
        <w:tc>
          <w:tcPr>
            <w:tcW w:w="8225" w:type="dxa"/>
            <w:vAlign w:val="top"/>
            <w:gridSpan w:val="3"/>
          </w:tcPr>
          <w:p>
            <w:pPr>
              <w:ind w:left="7" w:right="22" w:firstLine="16"/>
              <w:spacing w:before="47" w:line="23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【行政监管措施】</w:t>
            </w:r>
            <w:r>
              <w:rPr>
                <w:rFonts w:ascii="Microsoft YaHei" w:hAnsi="Microsoft YaHei" w:eastAsia="Microsoft YaHei" w:cs="Microsoft YaHei"/>
                <w:sz w:val="20"/>
                <w:szCs w:val="20"/>
                <w:spacing w:val="9"/>
              </w:rPr>
              <w:t>中国证券监督管理委员会江西监管局决定对时任高管杨某毅采取出具警</w:t>
            </w:r>
            <w:r>
              <w:rPr>
                <w:rFonts w:ascii="Microsoft YaHei" w:hAnsi="Microsoft YaHei" w:eastAsia="Microsoft YaHei" w:cs="Microsoft YaHei"/>
                <w:sz w:val="20"/>
                <w:szCs w:val="20"/>
                <w:spacing w:val="16"/>
                <w:w w:val="101"/>
              </w:rPr>
              <w:t xml:space="preserve"> </w:t>
            </w:r>
            <w:r>
              <w:rPr>
                <w:rFonts w:ascii="Microsoft YaHei" w:hAnsi="Microsoft YaHei" w:eastAsia="Microsoft YaHei" w:cs="Microsoft YaHei"/>
                <w:sz w:val="20"/>
                <w:szCs w:val="20"/>
                <w:spacing w:val="8"/>
              </w:rPr>
              <w:t>示函的监管措施。</w:t>
            </w:r>
          </w:p>
        </w:tc>
      </w:tr>
      <w:tr>
        <w:trPr>
          <w:trHeight w:val="1084" w:hRule="atLeast"/>
        </w:trPr>
        <w:tc>
          <w:tcPr>
            <w:shd w:val="clear" w:fill="B8CCE4"/>
            <w:tcW w:w="1281" w:type="dxa"/>
            <w:vAlign w:val="top"/>
          </w:tcPr>
          <w:p>
            <w:pPr>
              <w:spacing w:line="374" w:lineRule="auto"/>
              <w:rPr>
                <w:rFonts w:ascii="Arial"/>
                <w:sz w:val="21"/>
              </w:rPr>
            </w:pPr>
            <w:r/>
          </w:p>
          <w:p>
            <w:pPr>
              <w:ind w:left="277"/>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603080</w:t>
            </w:r>
          </w:p>
        </w:tc>
        <w:tc>
          <w:tcPr>
            <w:shd w:val="clear" w:fill="B8CCE4"/>
            <w:tcW w:w="1416" w:type="dxa"/>
            <w:vAlign w:val="top"/>
          </w:tcPr>
          <w:p>
            <w:pPr>
              <w:spacing w:line="359" w:lineRule="auto"/>
              <w:rPr>
                <w:rFonts w:ascii="Arial"/>
                <w:sz w:val="21"/>
              </w:rPr>
            </w:pPr>
            <w:r/>
          </w:p>
          <w:p>
            <w:pPr>
              <w:ind w:left="283"/>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新疆火炬</w:t>
            </w:r>
          </w:p>
        </w:tc>
        <w:tc>
          <w:tcPr>
            <w:shd w:val="clear" w:fill="B8CCE4"/>
            <w:tcW w:w="5528" w:type="dxa"/>
            <w:vAlign w:val="top"/>
          </w:tcPr>
          <w:p>
            <w:pPr>
              <w:ind w:left="3" w:right="5" w:firstLine="1"/>
              <w:spacing w:before="87" w:line="230"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2"/>
              </w:rPr>
              <w:t>担任新疆火炬燃气股份有限公司并购光正燃气有</w:t>
            </w:r>
            <w:r>
              <w:rPr>
                <w:rFonts w:ascii="Microsoft YaHei" w:hAnsi="Microsoft YaHei" w:eastAsia="Microsoft YaHei" w:cs="Microsoft YaHei"/>
                <w:sz w:val="20"/>
                <w:szCs w:val="20"/>
                <w:spacing w:val="11"/>
              </w:rPr>
              <w:t>限公司所涉</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2"/>
              </w:rPr>
              <w:t>及的以财务报告为目的的商誉减值测试评估项目</w:t>
            </w:r>
            <w:r>
              <w:rPr>
                <w:rFonts w:ascii="Microsoft YaHei" w:hAnsi="Microsoft YaHei" w:eastAsia="Microsoft YaHei" w:cs="Microsoft YaHei"/>
                <w:sz w:val="20"/>
                <w:szCs w:val="20"/>
                <w:b/>
                <w:bCs/>
                <w:spacing w:val="12"/>
              </w:rPr>
              <w:t>执</w:t>
            </w:r>
            <w:r>
              <w:rPr>
                <w:rFonts w:ascii="Microsoft YaHei" w:hAnsi="Microsoft YaHei" w:eastAsia="Microsoft YaHei" w:cs="Microsoft YaHei"/>
                <w:sz w:val="20"/>
                <w:szCs w:val="20"/>
                <w:b/>
                <w:bCs/>
                <w:spacing w:val="11"/>
              </w:rPr>
              <w:t>业人员期</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8"/>
              </w:rPr>
              <w:t>间</w:t>
            </w:r>
            <w:r>
              <w:rPr>
                <w:rFonts w:ascii="Microsoft YaHei" w:hAnsi="Microsoft YaHei" w:eastAsia="Microsoft YaHei" w:cs="Microsoft YaHei"/>
                <w:sz w:val="20"/>
                <w:szCs w:val="20"/>
                <w:spacing w:val="8"/>
              </w:rPr>
              <w:t>买卖公司股票。</w:t>
            </w:r>
          </w:p>
        </w:tc>
      </w:tr>
      <w:tr>
        <w:trPr>
          <w:trHeight w:val="1088" w:hRule="atLeast"/>
        </w:trPr>
        <w:tc>
          <w:tcPr>
            <w:tcW w:w="8225" w:type="dxa"/>
            <w:vAlign w:val="top"/>
            <w:gridSpan w:val="3"/>
          </w:tcPr>
          <w:p>
            <w:pPr>
              <w:ind w:left="6" w:right="22" w:firstLine="17"/>
              <w:spacing w:before="225"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【行政监管措施】</w:t>
            </w:r>
            <w:r>
              <w:rPr>
                <w:rFonts w:ascii="Microsoft YaHei" w:hAnsi="Microsoft YaHei" w:eastAsia="Microsoft YaHei" w:cs="Microsoft YaHei"/>
                <w:sz w:val="20"/>
                <w:szCs w:val="20"/>
                <w:spacing w:val="9"/>
              </w:rPr>
              <w:t>中国证券监督管理委员会安徽监管局决定对评估师采取出具警示函的行</w:t>
            </w:r>
            <w:r>
              <w:rPr>
                <w:rFonts w:ascii="Microsoft YaHei" w:hAnsi="Microsoft YaHei" w:eastAsia="Microsoft YaHei" w:cs="Microsoft YaHei"/>
                <w:sz w:val="20"/>
                <w:szCs w:val="20"/>
                <w:spacing w:val="16"/>
                <w:w w:val="101"/>
              </w:rPr>
              <w:t xml:space="preserve"> </w:t>
            </w:r>
            <w:r>
              <w:rPr>
                <w:rFonts w:ascii="Microsoft YaHei" w:hAnsi="Microsoft YaHei" w:eastAsia="Microsoft YaHei" w:cs="Microsoft YaHei"/>
                <w:sz w:val="20"/>
                <w:szCs w:val="20"/>
                <w:spacing w:val="7"/>
              </w:rPr>
              <w:t>政监管措施</w:t>
            </w:r>
            <w:r>
              <w:rPr>
                <w:rFonts w:ascii="Microsoft YaHei" w:hAnsi="Microsoft YaHei" w:eastAsia="Microsoft YaHei" w:cs="Microsoft YaHei"/>
                <w:sz w:val="20"/>
                <w:szCs w:val="20"/>
                <w:spacing w:val="-15"/>
              </w:rPr>
              <w:t xml:space="preserve"> </w:t>
            </w:r>
            <w:r>
              <w:rPr>
                <w:rFonts w:ascii="Microsoft YaHei" w:hAnsi="Microsoft YaHei" w:eastAsia="Microsoft YaHei" w:cs="Microsoft YaHei"/>
                <w:sz w:val="20"/>
                <w:szCs w:val="20"/>
                <w:spacing w:val="7"/>
              </w:rPr>
              <w:t>，并记入证券期货市场诚信档案。</w:t>
            </w:r>
          </w:p>
        </w:tc>
      </w:tr>
      <w:tr>
        <w:trPr>
          <w:trHeight w:val="1089" w:hRule="atLeast"/>
        </w:trPr>
        <w:tc>
          <w:tcPr>
            <w:shd w:val="clear" w:fill="B8CCE4"/>
            <w:tcW w:w="1281" w:type="dxa"/>
            <w:vAlign w:val="top"/>
          </w:tcPr>
          <w:p>
            <w:pPr>
              <w:spacing w:line="380" w:lineRule="auto"/>
              <w:rPr>
                <w:rFonts w:ascii="Arial"/>
                <w:sz w:val="21"/>
              </w:rPr>
            </w:pPr>
            <w:r/>
          </w:p>
          <w:p>
            <w:pPr>
              <w:ind w:left="277"/>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603656</w:t>
            </w:r>
          </w:p>
        </w:tc>
        <w:tc>
          <w:tcPr>
            <w:shd w:val="clear" w:fill="B8CCE4"/>
            <w:tcW w:w="1416" w:type="dxa"/>
            <w:vAlign w:val="top"/>
          </w:tcPr>
          <w:p>
            <w:pPr>
              <w:spacing w:line="364" w:lineRule="auto"/>
              <w:rPr>
                <w:rFonts w:ascii="Arial"/>
                <w:sz w:val="21"/>
              </w:rPr>
            </w:pPr>
            <w:r/>
          </w:p>
          <w:p>
            <w:pPr>
              <w:ind w:left="281"/>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泰禾智能</w:t>
            </w:r>
          </w:p>
        </w:tc>
        <w:tc>
          <w:tcPr>
            <w:shd w:val="clear" w:fill="B8CCE4"/>
            <w:tcW w:w="5528" w:type="dxa"/>
            <w:vAlign w:val="top"/>
          </w:tcPr>
          <w:p>
            <w:pPr>
              <w:ind w:left="3" w:right="60" w:firstLine="13"/>
              <w:spacing w:before="272" w:line="22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中水致远资产评估有限公司及相关人员在内部治理、质量控</w:t>
            </w:r>
            <w:r>
              <w:rPr>
                <w:rFonts w:ascii="Microsoft YaHei" w:hAnsi="Microsoft YaHei" w:eastAsia="Microsoft YaHei" w:cs="Microsoft YaHei"/>
                <w:sz w:val="20"/>
                <w:szCs w:val="20"/>
                <w:spacing w:val="5"/>
              </w:rPr>
              <w:t xml:space="preserve"> </w:t>
            </w:r>
            <w:r>
              <w:rPr>
                <w:rFonts w:ascii="Microsoft YaHei" w:hAnsi="Microsoft YaHei" w:eastAsia="Microsoft YaHei" w:cs="Microsoft YaHei"/>
                <w:sz w:val="20"/>
                <w:szCs w:val="20"/>
                <w:spacing w:val="9"/>
              </w:rPr>
              <w:t>制体系、独立性及相关项目执业中存在问题。</w:t>
            </w:r>
          </w:p>
        </w:tc>
      </w:tr>
      <w:tr>
        <w:trPr>
          <w:trHeight w:val="1089" w:hRule="atLeast"/>
        </w:trPr>
        <w:tc>
          <w:tcPr>
            <w:tcW w:w="8225" w:type="dxa"/>
            <w:vAlign w:val="top"/>
            <w:gridSpan w:val="3"/>
          </w:tcPr>
          <w:p>
            <w:pPr>
              <w:ind w:left="7" w:right="5" w:firstLine="16"/>
              <w:spacing w:before="229"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中国证券监督管理委员会安徽监管局决定对中水致远资产</w:t>
            </w:r>
            <w:r>
              <w:rPr>
                <w:rFonts w:ascii="Microsoft YaHei" w:hAnsi="Microsoft YaHei" w:eastAsia="Microsoft YaHei" w:cs="Microsoft YaHei"/>
                <w:sz w:val="20"/>
                <w:szCs w:val="20"/>
                <w:spacing w:val="9"/>
              </w:rPr>
              <w:t>评估有限公司</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及评估师采取出具警示函的行政监管措施</w:t>
            </w:r>
            <w:r>
              <w:rPr>
                <w:rFonts w:ascii="Microsoft YaHei" w:hAnsi="Microsoft YaHei" w:eastAsia="Microsoft YaHei" w:cs="Microsoft YaHei"/>
                <w:sz w:val="20"/>
                <w:szCs w:val="20"/>
                <w:spacing w:val="-10"/>
              </w:rPr>
              <w:t xml:space="preserve"> </w:t>
            </w:r>
            <w:r>
              <w:rPr>
                <w:rFonts w:ascii="Microsoft YaHei" w:hAnsi="Microsoft YaHei" w:eastAsia="Microsoft YaHei" w:cs="Microsoft YaHei"/>
                <w:sz w:val="20"/>
                <w:szCs w:val="20"/>
                <w:spacing w:val="8"/>
              </w:rPr>
              <w:t>，并记入证券期货市场诚信档案。</w:t>
            </w:r>
          </w:p>
        </w:tc>
      </w:tr>
      <w:tr>
        <w:trPr>
          <w:trHeight w:val="729" w:hRule="atLeast"/>
        </w:trPr>
        <w:tc>
          <w:tcPr>
            <w:shd w:val="clear" w:fill="B8CCE4"/>
            <w:tcW w:w="1281" w:type="dxa"/>
            <w:vAlign w:val="top"/>
          </w:tcPr>
          <w:p>
            <w:pPr>
              <w:ind w:left="277"/>
              <w:spacing w:before="289"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600979</w:t>
            </w:r>
          </w:p>
        </w:tc>
        <w:tc>
          <w:tcPr>
            <w:shd w:val="clear" w:fill="B8CCE4"/>
            <w:tcW w:w="1416" w:type="dxa"/>
            <w:vAlign w:val="top"/>
          </w:tcPr>
          <w:p>
            <w:pPr>
              <w:ind w:left="282"/>
              <w:spacing w:before="273"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广安爱众</w:t>
            </w:r>
          </w:p>
        </w:tc>
        <w:tc>
          <w:tcPr>
            <w:shd w:val="clear" w:fill="B8CCE4"/>
            <w:tcW w:w="5528" w:type="dxa"/>
            <w:vAlign w:val="top"/>
          </w:tcPr>
          <w:p>
            <w:pPr>
              <w:ind w:left="2" w:right="60" w:firstLine="1"/>
              <w:spacing w:before="92" w:line="21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担任四川广安爱众股份有限公司拟收购重庆神州天然气有限</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9"/>
              </w:rPr>
              <w:t>公司股东权益评估项目执业人员期间买卖公司股票。</w:t>
            </w:r>
          </w:p>
        </w:tc>
      </w:tr>
      <w:tr>
        <w:trPr>
          <w:trHeight w:val="730" w:hRule="atLeast"/>
        </w:trPr>
        <w:tc>
          <w:tcPr>
            <w:tcW w:w="8225" w:type="dxa"/>
            <w:vAlign w:val="top"/>
            <w:gridSpan w:val="3"/>
          </w:tcPr>
          <w:p>
            <w:pPr>
              <w:ind w:left="6" w:right="22" w:firstLine="17"/>
              <w:spacing w:before="50"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【行政监管措施】</w:t>
            </w:r>
            <w:r>
              <w:rPr>
                <w:rFonts w:ascii="Microsoft YaHei" w:hAnsi="Microsoft YaHei" w:eastAsia="Microsoft YaHei" w:cs="Microsoft YaHei"/>
                <w:sz w:val="20"/>
                <w:szCs w:val="20"/>
                <w:spacing w:val="9"/>
              </w:rPr>
              <w:t>中国证券监督管理委员会安徽监管局决定对评估师采取出具警示函的行</w:t>
            </w:r>
            <w:r>
              <w:rPr>
                <w:rFonts w:ascii="Microsoft YaHei" w:hAnsi="Microsoft YaHei" w:eastAsia="Microsoft YaHei" w:cs="Microsoft YaHei"/>
                <w:sz w:val="20"/>
                <w:szCs w:val="20"/>
                <w:spacing w:val="16"/>
                <w:w w:val="101"/>
              </w:rPr>
              <w:t xml:space="preserve"> </w:t>
            </w:r>
            <w:r>
              <w:rPr>
                <w:rFonts w:ascii="Microsoft YaHei" w:hAnsi="Microsoft YaHei" w:eastAsia="Microsoft YaHei" w:cs="Microsoft YaHei"/>
                <w:sz w:val="20"/>
                <w:szCs w:val="20"/>
                <w:spacing w:val="7"/>
              </w:rPr>
              <w:t>政监管措施</w:t>
            </w:r>
            <w:r>
              <w:rPr>
                <w:rFonts w:ascii="Microsoft YaHei" w:hAnsi="Microsoft YaHei" w:eastAsia="Microsoft YaHei" w:cs="Microsoft YaHei"/>
                <w:sz w:val="20"/>
                <w:szCs w:val="20"/>
                <w:spacing w:val="-15"/>
              </w:rPr>
              <w:t xml:space="preserve"> </w:t>
            </w:r>
            <w:r>
              <w:rPr>
                <w:rFonts w:ascii="Microsoft YaHei" w:hAnsi="Microsoft YaHei" w:eastAsia="Microsoft YaHei" w:cs="Microsoft YaHei"/>
                <w:sz w:val="20"/>
                <w:szCs w:val="20"/>
                <w:spacing w:val="7"/>
              </w:rPr>
              <w:t>，并记入证券期货市场诚信档案。</w:t>
            </w:r>
          </w:p>
        </w:tc>
      </w:tr>
      <w:tr>
        <w:trPr>
          <w:trHeight w:val="729" w:hRule="atLeast"/>
        </w:trPr>
        <w:tc>
          <w:tcPr>
            <w:shd w:val="clear" w:fill="B8CCE4"/>
            <w:tcW w:w="1281" w:type="dxa"/>
            <w:vAlign w:val="top"/>
          </w:tcPr>
          <w:p>
            <w:pPr>
              <w:ind w:left="280"/>
              <w:spacing w:before="287"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301207</w:t>
            </w:r>
          </w:p>
        </w:tc>
        <w:tc>
          <w:tcPr>
            <w:shd w:val="clear" w:fill="B8CCE4"/>
            <w:tcW w:w="1416" w:type="dxa"/>
            <w:vAlign w:val="top"/>
          </w:tcPr>
          <w:p>
            <w:pPr>
              <w:ind w:left="284"/>
              <w:spacing w:before="273"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华兰疫苗</w:t>
            </w:r>
          </w:p>
        </w:tc>
        <w:tc>
          <w:tcPr>
            <w:shd w:val="clear" w:fill="B8CCE4"/>
            <w:tcW w:w="5528" w:type="dxa"/>
            <w:vAlign w:val="top"/>
          </w:tcPr>
          <w:p>
            <w:pPr>
              <w:ind w:left="1"/>
              <w:spacing w:before="272"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募集资金开展现金管理</w:t>
            </w:r>
            <w:r>
              <w:rPr>
                <w:rFonts w:ascii="Microsoft YaHei" w:hAnsi="Microsoft YaHei" w:eastAsia="Microsoft YaHei" w:cs="Microsoft YaHei"/>
                <w:sz w:val="20"/>
                <w:szCs w:val="20"/>
                <w:spacing w:val="9"/>
              </w:rPr>
              <w:t>金额超过董事会授权额度。</w:t>
            </w:r>
          </w:p>
        </w:tc>
      </w:tr>
      <w:tr>
        <w:trPr>
          <w:trHeight w:val="1089" w:hRule="atLeast"/>
        </w:trPr>
        <w:tc>
          <w:tcPr>
            <w:tcW w:w="8225" w:type="dxa"/>
            <w:vAlign w:val="top"/>
            <w:gridSpan w:val="3"/>
          </w:tcPr>
          <w:p>
            <w:pPr>
              <w:ind w:left="8" w:right="182" w:firstLine="15"/>
              <w:spacing w:before="231"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【行政监管措施】</w:t>
            </w:r>
            <w:r>
              <w:rPr>
                <w:rFonts w:ascii="Microsoft YaHei" w:hAnsi="Microsoft YaHei" w:eastAsia="Microsoft YaHei" w:cs="Microsoft YaHei"/>
                <w:sz w:val="20"/>
                <w:szCs w:val="20"/>
                <w:spacing w:val="9"/>
              </w:rPr>
              <w:t>中国证券监督管理委员会河南监管局决定对公司、董事会秘书,财务总</w:t>
            </w:r>
            <w:r>
              <w:rPr>
                <w:rFonts w:ascii="Microsoft YaHei" w:hAnsi="Microsoft YaHei" w:eastAsia="Microsoft YaHei" w:cs="Microsoft YaHei"/>
                <w:sz w:val="20"/>
                <w:szCs w:val="20"/>
                <w:spacing w:val="8"/>
              </w:rPr>
              <w:t xml:space="preserve"> </w:t>
            </w:r>
            <w:r>
              <w:rPr>
                <w:rFonts w:ascii="Microsoft YaHei" w:hAnsi="Microsoft YaHei" w:eastAsia="Microsoft YaHei" w:cs="Microsoft YaHei"/>
                <w:sz w:val="20"/>
                <w:szCs w:val="20"/>
                <w:spacing w:val="8"/>
              </w:rPr>
              <w:t>监吕某玉采取出具警示函的行政监管措施</w:t>
            </w:r>
            <w:r>
              <w:rPr>
                <w:rFonts w:ascii="Microsoft YaHei" w:hAnsi="Microsoft YaHei" w:eastAsia="Microsoft YaHei" w:cs="Microsoft YaHei"/>
                <w:sz w:val="20"/>
                <w:szCs w:val="20"/>
                <w:spacing w:val="-11"/>
              </w:rPr>
              <w:t xml:space="preserve"> </w:t>
            </w:r>
            <w:r>
              <w:rPr>
                <w:rFonts w:ascii="Microsoft YaHei" w:hAnsi="Microsoft YaHei" w:eastAsia="Microsoft YaHei" w:cs="Microsoft YaHei"/>
                <w:sz w:val="20"/>
                <w:szCs w:val="20"/>
                <w:spacing w:val="8"/>
              </w:rPr>
              <w:t>，并记入证券期货市场诚信档案。</w:t>
            </w:r>
          </w:p>
        </w:tc>
      </w:tr>
      <w:tr>
        <w:trPr>
          <w:trHeight w:val="370" w:hRule="atLeast"/>
        </w:trPr>
        <w:tc>
          <w:tcPr>
            <w:shd w:val="clear" w:fill="B8CCE4"/>
            <w:tcW w:w="1281" w:type="dxa"/>
            <w:vAlign w:val="top"/>
          </w:tcPr>
          <w:p>
            <w:pPr>
              <w:ind w:left="274"/>
              <w:spacing w:before="111" w:line="17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002556</w:t>
            </w:r>
          </w:p>
        </w:tc>
        <w:tc>
          <w:tcPr>
            <w:shd w:val="clear" w:fill="B8CCE4"/>
            <w:tcW w:w="1416" w:type="dxa"/>
            <w:vAlign w:val="top"/>
          </w:tcPr>
          <w:p>
            <w:pPr>
              <w:ind w:left="283"/>
              <w:spacing w:before="95" w:line="18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辉隆股份</w:t>
            </w:r>
          </w:p>
        </w:tc>
        <w:tc>
          <w:tcPr>
            <w:shd w:val="clear" w:fill="B8CCE4"/>
            <w:tcW w:w="5528" w:type="dxa"/>
            <w:vAlign w:val="top"/>
          </w:tcPr>
          <w:p>
            <w:pPr>
              <w:ind w:left="4"/>
              <w:spacing w:before="96"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董事长、总经理配偶</w:t>
            </w:r>
            <w:r>
              <w:rPr>
                <w:rFonts w:ascii="Microsoft YaHei" w:hAnsi="Microsoft YaHei" w:eastAsia="Microsoft YaHei" w:cs="Microsoft YaHei"/>
                <w:sz w:val="20"/>
                <w:szCs w:val="20"/>
                <w:b/>
                <w:bCs/>
                <w:spacing w:val="8"/>
              </w:rPr>
              <w:t>短线交易。</w:t>
            </w:r>
          </w:p>
        </w:tc>
      </w:tr>
      <w:tr>
        <w:trPr>
          <w:trHeight w:val="729" w:hRule="atLeast"/>
        </w:trPr>
        <w:tc>
          <w:tcPr>
            <w:tcW w:w="8225" w:type="dxa"/>
            <w:vAlign w:val="top"/>
            <w:gridSpan w:val="3"/>
          </w:tcPr>
          <w:p>
            <w:pPr>
              <w:ind w:left="8" w:right="22" w:firstLine="15"/>
              <w:spacing w:before="52"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【行政监管措施】</w:t>
            </w:r>
            <w:r>
              <w:rPr>
                <w:rFonts w:ascii="Microsoft YaHei" w:hAnsi="Microsoft YaHei" w:eastAsia="Microsoft YaHei" w:cs="Microsoft YaHei"/>
                <w:sz w:val="20"/>
                <w:szCs w:val="20"/>
                <w:spacing w:val="9"/>
              </w:rPr>
              <w:t>中国证券监督管理委员会安徽监管局决定对程某采取出具警示函的行政</w:t>
            </w:r>
            <w:r>
              <w:rPr>
                <w:rFonts w:ascii="Microsoft YaHei" w:hAnsi="Microsoft YaHei" w:eastAsia="Microsoft YaHei" w:cs="Microsoft YaHei"/>
                <w:sz w:val="20"/>
                <w:szCs w:val="20"/>
                <w:spacing w:val="16"/>
                <w:w w:val="101"/>
              </w:rPr>
              <w:t xml:space="preserve"> </w:t>
            </w:r>
            <w:r>
              <w:rPr>
                <w:rFonts w:ascii="Microsoft YaHei" w:hAnsi="Microsoft YaHei" w:eastAsia="Microsoft YaHei" w:cs="Microsoft YaHei"/>
                <w:sz w:val="20"/>
                <w:szCs w:val="20"/>
                <w:spacing w:val="7"/>
              </w:rPr>
              <w:t>监管措施</w:t>
            </w:r>
            <w:r>
              <w:rPr>
                <w:rFonts w:ascii="Microsoft YaHei" w:hAnsi="Microsoft YaHei" w:eastAsia="Microsoft YaHei" w:cs="Microsoft YaHei"/>
                <w:sz w:val="20"/>
                <w:szCs w:val="20"/>
                <w:spacing w:val="-20"/>
              </w:rPr>
              <w:t xml:space="preserve"> </w:t>
            </w:r>
            <w:r>
              <w:rPr>
                <w:rFonts w:ascii="Microsoft YaHei" w:hAnsi="Microsoft YaHei" w:eastAsia="Microsoft YaHei" w:cs="Microsoft YaHei"/>
                <w:sz w:val="20"/>
                <w:szCs w:val="20"/>
                <w:spacing w:val="7"/>
              </w:rPr>
              <w:t>，并记入证券期货市场诚信档案。</w:t>
            </w:r>
          </w:p>
        </w:tc>
      </w:tr>
      <w:tr>
        <w:trPr>
          <w:trHeight w:val="376" w:hRule="atLeast"/>
        </w:trPr>
        <w:tc>
          <w:tcPr>
            <w:shd w:val="clear" w:fill="B8CCE4"/>
            <w:tcW w:w="1281" w:type="dxa"/>
            <w:vAlign w:val="top"/>
          </w:tcPr>
          <w:p>
            <w:pPr>
              <w:ind w:left="277"/>
              <w:spacing w:before="110"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600567</w:t>
            </w:r>
          </w:p>
        </w:tc>
        <w:tc>
          <w:tcPr>
            <w:shd w:val="clear" w:fill="B8CCE4"/>
            <w:tcW w:w="1416" w:type="dxa"/>
            <w:vAlign w:val="top"/>
          </w:tcPr>
          <w:p>
            <w:pPr>
              <w:ind w:left="301"/>
              <w:spacing w:before="95"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4"/>
              </w:rPr>
              <w:t>山鹰国际</w:t>
            </w:r>
          </w:p>
        </w:tc>
        <w:tc>
          <w:tcPr>
            <w:shd w:val="clear" w:fill="B8CCE4"/>
            <w:tcW w:w="5528" w:type="dxa"/>
            <w:vAlign w:val="top"/>
          </w:tcPr>
          <w:p>
            <w:pPr>
              <w:ind w:left="2"/>
              <w:spacing w:before="95"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股东及一致行动人因集中竞价减持、新增股份</w:t>
            </w:r>
            <w:r>
              <w:rPr>
                <w:rFonts w:ascii="Microsoft YaHei" w:hAnsi="Microsoft YaHei" w:eastAsia="Microsoft YaHei" w:cs="Microsoft YaHei"/>
                <w:sz w:val="20"/>
                <w:szCs w:val="20"/>
                <w:spacing w:val="9"/>
              </w:rPr>
              <w:t>被动稀释等原</w:t>
            </w:r>
          </w:p>
        </w:tc>
      </w:tr>
    </w:tbl>
    <w:p>
      <w:pPr>
        <w:pStyle w:val="BodyText"/>
        <w:spacing w:line="224" w:lineRule="exact"/>
        <w:rPr>
          <w:sz w:val="19"/>
        </w:rPr>
      </w:pPr>
      <w:r/>
    </w:p>
    <w:p>
      <w:pPr>
        <w:spacing w:line="224" w:lineRule="exact"/>
        <w:sectPr>
          <w:footerReference w:type="default" r:id="rId13"/>
          <w:pgSz w:w="11910" w:h="16840"/>
          <w:pgMar w:top="400" w:right="1786" w:bottom="1" w:left="1786" w:header="0" w:footer="0" w:gutter="0"/>
        </w:sectPr>
        <w:rPr>
          <w:sz w:val="19"/>
          <w:szCs w:val="19"/>
        </w:rPr>
      </w:pPr>
    </w:p>
    <w:tbl>
      <w:tblPr>
        <w:tblStyle w:val="TableNormal"/>
        <w:tblW w:w="8225" w:type="dxa"/>
        <w:tblInd w:w="69"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81"/>
        <w:gridCol w:w="1416"/>
        <w:gridCol w:w="5528"/>
      </w:tblGrid>
      <w:tr>
        <w:trPr>
          <w:trHeight w:val="731" w:hRule="atLeast"/>
        </w:trPr>
        <w:tc>
          <w:tcPr>
            <w:shd w:val="clear" w:fill="B8CCE4"/>
            <w:tcW w:w="1281" w:type="dxa"/>
            <w:vAlign w:val="top"/>
          </w:tcPr>
          <w:p>
            <w:pPr>
              <w:rPr>
                <w:rFonts w:ascii="Arial"/>
                <w:sz w:val="21"/>
              </w:rPr>
            </w:pPr>
            <w:r/>
          </w:p>
        </w:tc>
        <w:tc>
          <w:tcPr>
            <w:shd w:val="clear" w:fill="B8CCE4"/>
            <w:tcW w:w="1416" w:type="dxa"/>
            <w:vAlign w:val="top"/>
          </w:tcPr>
          <w:p>
            <w:pPr>
              <w:rPr>
                <w:rFonts w:ascii="Arial"/>
                <w:sz w:val="21"/>
              </w:rPr>
            </w:pPr>
            <w:r/>
          </w:p>
        </w:tc>
        <w:tc>
          <w:tcPr>
            <w:shd w:val="clear" w:fill="B8CCE4"/>
            <w:tcW w:w="5528" w:type="dxa"/>
            <w:vAlign w:val="top"/>
          </w:tcPr>
          <w:p>
            <w:pPr>
              <w:ind w:left="3" w:right="69" w:firstLine="13"/>
              <w:spacing w:before="51"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因</w:t>
            </w:r>
            <w:r>
              <w:rPr>
                <w:rFonts w:ascii="Microsoft YaHei" w:hAnsi="Microsoft YaHei" w:eastAsia="Microsoft YaHei" w:cs="Microsoft YaHei"/>
                <w:sz w:val="20"/>
                <w:szCs w:val="20"/>
                <w:spacing w:val="-10"/>
              </w:rPr>
              <w:t xml:space="preserve"> </w:t>
            </w:r>
            <w:r>
              <w:rPr>
                <w:rFonts w:ascii="Microsoft YaHei" w:hAnsi="Microsoft YaHei" w:eastAsia="Microsoft YaHei" w:cs="Microsoft YaHei"/>
                <w:sz w:val="20"/>
                <w:szCs w:val="20"/>
                <w:spacing w:val="5"/>
              </w:rPr>
              <w:t>，持有山鹰国际的股份比例由33.34%变动至32.30%</w:t>
            </w:r>
            <w:r>
              <w:rPr>
                <w:rFonts w:ascii="Microsoft YaHei" w:hAnsi="Microsoft YaHei" w:eastAsia="Microsoft YaHei" w:cs="Microsoft YaHei"/>
                <w:sz w:val="20"/>
                <w:szCs w:val="20"/>
                <w:spacing w:val="-24"/>
              </w:rPr>
              <w:t xml:space="preserve"> </w:t>
            </w:r>
            <w:r>
              <w:rPr>
                <w:rFonts w:ascii="Microsoft YaHei" w:hAnsi="Microsoft YaHei" w:eastAsia="Microsoft YaHei" w:cs="Microsoft YaHei"/>
                <w:sz w:val="20"/>
                <w:szCs w:val="20"/>
                <w:spacing w:val="5"/>
              </w:rPr>
              <w:t>，</w:t>
            </w:r>
            <w:r>
              <w:rPr>
                <w:rFonts w:ascii="Microsoft YaHei" w:hAnsi="Microsoft YaHei" w:eastAsia="Microsoft YaHei" w:cs="Microsoft YaHei"/>
                <w:sz w:val="20"/>
                <w:szCs w:val="20"/>
                <w:b/>
                <w:bCs/>
                <w:spacing w:val="5"/>
              </w:rPr>
              <w:t>累</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8"/>
              </w:rPr>
              <w:t>计减少比例为1.04%</w:t>
            </w:r>
            <w:r>
              <w:rPr>
                <w:rFonts w:ascii="Microsoft YaHei" w:hAnsi="Microsoft YaHei" w:eastAsia="Microsoft YaHei" w:cs="Microsoft YaHei"/>
                <w:sz w:val="20"/>
                <w:szCs w:val="20"/>
                <w:spacing w:val="8"/>
              </w:rPr>
              <w:t>未按规定及时履行报告、公告义务。</w:t>
            </w:r>
          </w:p>
        </w:tc>
      </w:tr>
      <w:tr>
        <w:trPr>
          <w:trHeight w:val="728" w:hRule="atLeast"/>
        </w:trPr>
        <w:tc>
          <w:tcPr>
            <w:tcW w:w="8225" w:type="dxa"/>
            <w:vAlign w:val="top"/>
            <w:gridSpan w:val="3"/>
          </w:tcPr>
          <w:p>
            <w:pPr>
              <w:ind w:left="23" w:right="22"/>
              <w:spacing w:before="41"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【行政监管措施】</w:t>
            </w:r>
            <w:r>
              <w:rPr>
                <w:rFonts w:ascii="Microsoft YaHei" w:hAnsi="Microsoft YaHei" w:eastAsia="Microsoft YaHei" w:cs="Microsoft YaHei"/>
                <w:sz w:val="20"/>
                <w:szCs w:val="20"/>
                <w:spacing w:val="9"/>
              </w:rPr>
              <w:t>中国证券监督管理委员会安徽监管局决定对福建泰盛实业有限公司采取</w:t>
            </w:r>
            <w:r>
              <w:rPr>
                <w:rFonts w:ascii="Microsoft YaHei" w:hAnsi="Microsoft YaHei" w:eastAsia="Microsoft YaHei" w:cs="Microsoft YaHei"/>
                <w:sz w:val="20"/>
                <w:szCs w:val="20"/>
                <w:spacing w:val="16"/>
                <w:w w:val="101"/>
              </w:rPr>
              <w:t xml:space="preserve"> </w:t>
            </w:r>
            <w:r>
              <w:rPr>
                <w:rFonts w:ascii="Microsoft YaHei" w:hAnsi="Microsoft YaHei" w:eastAsia="Microsoft YaHei" w:cs="Microsoft YaHei"/>
                <w:sz w:val="20"/>
                <w:szCs w:val="20"/>
                <w:spacing w:val="7"/>
              </w:rPr>
              <w:t>出具警示函的行政监管措施</w:t>
            </w:r>
            <w:r>
              <w:rPr>
                <w:rFonts w:ascii="Microsoft YaHei" w:hAnsi="Microsoft YaHei" w:eastAsia="Microsoft YaHei" w:cs="Microsoft YaHei"/>
                <w:sz w:val="20"/>
                <w:szCs w:val="20"/>
                <w:spacing w:val="-11"/>
              </w:rPr>
              <w:t xml:space="preserve"> </w:t>
            </w:r>
            <w:r>
              <w:rPr>
                <w:rFonts w:ascii="Microsoft YaHei" w:hAnsi="Microsoft YaHei" w:eastAsia="Microsoft YaHei" w:cs="Microsoft YaHei"/>
                <w:sz w:val="20"/>
                <w:szCs w:val="20"/>
                <w:spacing w:val="7"/>
              </w:rPr>
              <w:t>，并记入证券期货市场诚信档案。</w:t>
            </w:r>
          </w:p>
        </w:tc>
      </w:tr>
      <w:tr>
        <w:trPr>
          <w:trHeight w:val="728" w:hRule="atLeast"/>
        </w:trPr>
        <w:tc>
          <w:tcPr>
            <w:shd w:val="clear" w:fill="B8CCE4"/>
            <w:tcW w:w="1281" w:type="dxa"/>
            <w:vAlign w:val="top"/>
          </w:tcPr>
          <w:p>
            <w:pPr>
              <w:ind w:left="280"/>
              <w:spacing w:before="282"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300003</w:t>
            </w:r>
          </w:p>
        </w:tc>
        <w:tc>
          <w:tcPr>
            <w:shd w:val="clear" w:fill="B8CCE4"/>
            <w:tcW w:w="1416" w:type="dxa"/>
            <w:vAlign w:val="top"/>
          </w:tcPr>
          <w:p>
            <w:pPr>
              <w:ind w:left="283"/>
              <w:spacing w:before="26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乐普医疗</w:t>
            </w:r>
          </w:p>
        </w:tc>
        <w:tc>
          <w:tcPr>
            <w:shd w:val="clear" w:fill="B8CCE4"/>
            <w:tcW w:w="5528" w:type="dxa"/>
            <w:vAlign w:val="top"/>
          </w:tcPr>
          <w:p>
            <w:pPr>
              <w:ind w:left="11"/>
              <w:spacing w:before="26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时任高管</w:t>
            </w:r>
            <w:r>
              <w:rPr>
                <w:rFonts w:ascii="Microsoft YaHei" w:hAnsi="Microsoft YaHei" w:eastAsia="Microsoft YaHei" w:cs="Microsoft YaHei"/>
                <w:sz w:val="20"/>
                <w:szCs w:val="20"/>
                <w:b/>
                <w:bCs/>
                <w:spacing w:val="7"/>
              </w:rPr>
              <w:t>短线交易</w:t>
            </w:r>
            <w:r>
              <w:rPr>
                <w:rFonts w:ascii="Microsoft YaHei" w:hAnsi="Microsoft YaHei" w:eastAsia="Microsoft YaHei" w:cs="Microsoft YaHei"/>
                <w:sz w:val="20"/>
                <w:szCs w:val="20"/>
                <w:spacing w:val="7"/>
              </w:rPr>
              <w:t>。</w:t>
            </w:r>
          </w:p>
        </w:tc>
      </w:tr>
      <w:tr>
        <w:trPr>
          <w:trHeight w:val="1088" w:hRule="atLeast"/>
        </w:trPr>
        <w:tc>
          <w:tcPr>
            <w:tcW w:w="8225" w:type="dxa"/>
            <w:vAlign w:val="top"/>
            <w:gridSpan w:val="3"/>
          </w:tcPr>
          <w:p>
            <w:pPr>
              <w:ind w:left="7" w:right="5" w:firstLine="16"/>
              <w:spacing w:before="224"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中国证券监督管理委员会北京监管局决定对时任高管郭某</w:t>
            </w:r>
            <w:r>
              <w:rPr>
                <w:rFonts w:ascii="Microsoft YaHei" w:hAnsi="Microsoft YaHei" w:eastAsia="Microsoft YaHei" w:cs="Microsoft YaHei"/>
                <w:sz w:val="20"/>
                <w:szCs w:val="20"/>
                <w:spacing w:val="9"/>
              </w:rPr>
              <w:t>军采取出具警</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示函的行政监管措施,并将相关情况记入证券期货市场诚信档案。</w:t>
            </w:r>
          </w:p>
        </w:tc>
      </w:tr>
      <w:tr>
        <w:trPr>
          <w:trHeight w:val="1805" w:hRule="atLeast"/>
        </w:trPr>
        <w:tc>
          <w:tcPr>
            <w:shd w:val="clear" w:fill="B8CCE4"/>
            <w:tcW w:w="1281"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277"/>
              <w:spacing w:before="85"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688253</w:t>
            </w:r>
          </w:p>
        </w:tc>
        <w:tc>
          <w:tcPr>
            <w:shd w:val="clear" w:fill="B8CCE4"/>
            <w:tcW w:w="1416" w:type="dxa"/>
            <w:vAlign w:val="top"/>
          </w:tcPr>
          <w:p>
            <w:pPr>
              <w:spacing w:line="359" w:lineRule="auto"/>
              <w:rPr>
                <w:rFonts w:ascii="Arial"/>
                <w:sz w:val="21"/>
              </w:rPr>
            </w:pPr>
            <w:r/>
          </w:p>
          <w:p>
            <w:pPr>
              <w:spacing w:line="360" w:lineRule="auto"/>
              <w:rPr>
                <w:rFonts w:ascii="Arial"/>
                <w:sz w:val="21"/>
              </w:rPr>
            </w:pPr>
            <w:r/>
          </w:p>
          <w:p>
            <w:pPr>
              <w:ind w:left="389"/>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英诺特</w:t>
            </w:r>
          </w:p>
        </w:tc>
        <w:tc>
          <w:tcPr>
            <w:shd w:val="clear" w:fill="B8CCE4"/>
            <w:tcW w:w="5528" w:type="dxa"/>
            <w:vAlign w:val="top"/>
          </w:tcPr>
          <w:p>
            <w:pPr>
              <w:ind w:left="2" w:right="5"/>
              <w:spacing w:before="86" w:line="239"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北京英诺特生物技术股份有限公司2022年9月至2023年3月</w:t>
            </w:r>
            <w:r>
              <w:rPr>
                <w:rFonts w:ascii="Microsoft YaHei" w:hAnsi="Microsoft YaHei" w:eastAsia="Microsoft YaHei" w:cs="Microsoft YaHei"/>
                <w:sz w:val="20"/>
                <w:szCs w:val="20"/>
                <w:spacing w:val="6"/>
              </w:rPr>
              <w:t xml:space="preserve"> </w:t>
            </w:r>
            <w:r>
              <w:rPr>
                <w:rFonts w:ascii="Microsoft YaHei" w:hAnsi="Microsoft YaHei" w:eastAsia="Microsoft YaHei" w:cs="Microsoft YaHei"/>
                <w:sz w:val="20"/>
                <w:szCs w:val="20"/>
                <w:spacing w:val="12"/>
              </w:rPr>
              <w:t>期间募集资金专户现金管理余额</w:t>
            </w:r>
            <w:r>
              <w:rPr>
                <w:rFonts w:ascii="Microsoft YaHei" w:hAnsi="Microsoft YaHei" w:eastAsia="Microsoft YaHei" w:cs="Microsoft YaHei"/>
                <w:sz w:val="20"/>
                <w:szCs w:val="20"/>
                <w:b/>
                <w:bCs/>
                <w:spacing w:val="12"/>
              </w:rPr>
              <w:t>多次超出公司授权使</w:t>
            </w:r>
            <w:r>
              <w:rPr>
                <w:rFonts w:ascii="Microsoft YaHei" w:hAnsi="Microsoft YaHei" w:eastAsia="Microsoft YaHei" w:cs="Microsoft YaHei"/>
                <w:sz w:val="20"/>
                <w:szCs w:val="20"/>
                <w:b/>
                <w:bCs/>
                <w:spacing w:val="11"/>
              </w:rPr>
              <w:t>用额度</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spacing w:val="12"/>
              </w:rPr>
              <w:t>;  北京英诺特生物技术股份有限公司《募集资金使用管理办</w:t>
            </w:r>
            <w:r>
              <w:rPr>
                <w:rFonts w:ascii="Microsoft YaHei" w:hAnsi="Microsoft YaHei" w:eastAsia="Microsoft YaHei" w:cs="Microsoft YaHei"/>
                <w:sz w:val="20"/>
                <w:szCs w:val="20"/>
                <w:spacing w:val="6"/>
              </w:rPr>
              <w:t xml:space="preserve"> </w:t>
            </w:r>
            <w:r>
              <w:rPr>
                <w:rFonts w:ascii="Microsoft YaHei" w:hAnsi="Microsoft YaHei" w:eastAsia="Microsoft YaHei" w:cs="Microsoft YaHei"/>
                <w:sz w:val="20"/>
                <w:szCs w:val="20"/>
                <w:spacing w:val="9"/>
              </w:rPr>
              <w:t>法》仅对募集资金使用进行了原则性规定,</w:t>
            </w:r>
            <w:r>
              <w:rPr>
                <w:rFonts w:ascii="Microsoft YaHei" w:hAnsi="Microsoft YaHei" w:eastAsia="Microsoft YaHei" w:cs="Microsoft YaHei"/>
                <w:sz w:val="20"/>
                <w:szCs w:val="20"/>
                <w:b/>
                <w:bCs/>
                <w:spacing w:val="9"/>
              </w:rPr>
              <w:t>未明确分级审批权</w:t>
            </w:r>
            <w:r>
              <w:rPr>
                <w:rFonts w:ascii="Microsoft YaHei" w:hAnsi="Microsoft YaHei" w:eastAsia="Microsoft YaHei" w:cs="Microsoft YaHei"/>
                <w:sz w:val="20"/>
                <w:szCs w:val="20"/>
                <w:b/>
                <w:bCs/>
                <w:spacing w:val="18"/>
              </w:rPr>
              <w:t xml:space="preserve"> </w:t>
            </w:r>
            <w:r>
              <w:rPr>
                <w:rFonts w:ascii="Microsoft YaHei" w:hAnsi="Microsoft YaHei" w:eastAsia="Microsoft YaHei" w:cs="Microsoft YaHei"/>
                <w:sz w:val="20"/>
                <w:szCs w:val="20"/>
                <w:b/>
                <w:bCs/>
                <w:spacing w:val="3"/>
              </w:rPr>
              <w:t>限。</w:t>
            </w:r>
          </w:p>
        </w:tc>
      </w:tr>
      <w:tr>
        <w:trPr>
          <w:trHeight w:val="1084" w:hRule="atLeast"/>
        </w:trPr>
        <w:tc>
          <w:tcPr>
            <w:tcW w:w="8225" w:type="dxa"/>
            <w:vAlign w:val="top"/>
            <w:gridSpan w:val="3"/>
          </w:tcPr>
          <w:p>
            <w:pPr>
              <w:ind w:left="17" w:right="5" w:firstLine="6"/>
              <w:spacing w:before="47"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中国证券监督管理委员会北京监管局决定对北京英诺特生</w:t>
            </w:r>
            <w:r>
              <w:rPr>
                <w:rFonts w:ascii="Microsoft YaHei" w:hAnsi="Microsoft YaHei" w:eastAsia="Microsoft YaHei" w:cs="Microsoft YaHei"/>
                <w:sz w:val="20"/>
                <w:szCs w:val="20"/>
                <w:spacing w:val="9"/>
              </w:rPr>
              <w:t>物技术股份有</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4"/>
              </w:rPr>
              <w:t>限公司、财务总监赵某娟采取出具警示函的行政监管措施,并记入证券期货市</w:t>
            </w:r>
            <w:r>
              <w:rPr>
                <w:rFonts w:ascii="Microsoft YaHei" w:hAnsi="Microsoft YaHei" w:eastAsia="Microsoft YaHei" w:cs="Microsoft YaHei"/>
                <w:sz w:val="20"/>
                <w:szCs w:val="20"/>
                <w:spacing w:val="13"/>
              </w:rPr>
              <w:t>场诚信档案</w:t>
            </w:r>
          </w:p>
          <w:p>
            <w:pPr>
              <w:ind w:left="17"/>
              <w:spacing w:before="238" w:line="114" w:lineRule="exact"/>
              <w:rPr>
                <w:rFonts w:ascii="Microsoft YaHei" w:hAnsi="Microsoft YaHei" w:eastAsia="Microsoft YaHei" w:cs="Microsoft YaHei"/>
                <w:sz w:val="20"/>
                <w:szCs w:val="20"/>
              </w:rPr>
            </w:pPr>
            <w:r>
              <w:rPr>
                <w:rFonts w:ascii="Microsoft YaHei" w:hAnsi="Microsoft YaHei" w:eastAsia="Microsoft YaHei" w:cs="Microsoft YaHei"/>
                <w:sz w:val="20"/>
                <w:szCs w:val="20"/>
                <w:position w:val="3"/>
              </w:rPr>
              <w:t>。</w:t>
            </w:r>
          </w:p>
        </w:tc>
      </w:tr>
      <w:tr>
        <w:trPr>
          <w:trHeight w:val="728" w:hRule="atLeast"/>
        </w:trPr>
        <w:tc>
          <w:tcPr>
            <w:shd w:val="clear" w:fill="B8CCE4"/>
            <w:tcW w:w="1281" w:type="dxa"/>
            <w:vAlign w:val="top"/>
          </w:tcPr>
          <w:p>
            <w:pPr>
              <w:ind w:left="277"/>
              <w:spacing w:before="289"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600589</w:t>
            </w:r>
          </w:p>
        </w:tc>
        <w:tc>
          <w:tcPr>
            <w:shd w:val="clear" w:fill="B8CCE4"/>
            <w:tcW w:w="1416" w:type="dxa"/>
            <w:vAlign w:val="top"/>
          </w:tcPr>
          <w:p>
            <w:pPr>
              <w:ind w:left="329"/>
              <w:spacing w:before="274"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w:t>
            </w: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8"/>
              </w:rPr>
              <w:t>榕泰</w:t>
            </w:r>
          </w:p>
        </w:tc>
        <w:tc>
          <w:tcPr>
            <w:shd w:val="clear" w:fill="B8CCE4"/>
            <w:tcW w:w="5528" w:type="dxa"/>
            <w:vAlign w:val="top"/>
          </w:tcPr>
          <w:p>
            <w:pPr>
              <w:ind w:left="2" w:right="51" w:firstLine="2"/>
              <w:spacing w:before="94" w:line="21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4"/>
              </w:rPr>
              <w:t>关联交易及非经营性资金占用未在2021年半年报中披露， </w:t>
            </w:r>
            <w:r>
              <w:rPr>
                <w:rFonts w:ascii="Microsoft YaHei" w:hAnsi="Microsoft YaHei" w:eastAsia="Microsoft YaHei" w:cs="Microsoft YaHei"/>
                <w:sz w:val="20"/>
                <w:szCs w:val="20"/>
                <w:spacing w:val="7"/>
              </w:rPr>
              <w:t>存在重大遗漏</w:t>
            </w:r>
            <w:r>
              <w:rPr>
                <w:rFonts w:ascii="Microsoft YaHei" w:hAnsi="Microsoft YaHei" w:eastAsia="Microsoft YaHei" w:cs="Microsoft YaHei"/>
                <w:sz w:val="20"/>
                <w:szCs w:val="20"/>
                <w:spacing w:val="-10"/>
              </w:rPr>
              <w:t xml:space="preserve"> </w:t>
            </w:r>
            <w:r>
              <w:rPr>
                <w:rFonts w:ascii="Microsoft YaHei" w:hAnsi="Microsoft YaHei" w:eastAsia="Microsoft YaHei" w:cs="Microsoft YaHei"/>
                <w:sz w:val="20"/>
                <w:szCs w:val="20"/>
                <w:spacing w:val="7"/>
              </w:rPr>
              <w:t>，相关披露存在</w:t>
            </w:r>
            <w:r>
              <w:rPr>
                <w:rFonts w:ascii="Microsoft YaHei" w:hAnsi="Microsoft YaHei" w:eastAsia="Microsoft YaHei" w:cs="Microsoft YaHei"/>
                <w:sz w:val="20"/>
                <w:szCs w:val="20"/>
                <w:b/>
                <w:bCs/>
                <w:spacing w:val="7"/>
              </w:rPr>
              <w:t>虚假记载</w:t>
            </w:r>
            <w:r>
              <w:rPr>
                <w:rFonts w:ascii="Microsoft YaHei" w:hAnsi="Microsoft YaHei" w:eastAsia="Microsoft YaHei" w:cs="Microsoft YaHei"/>
                <w:sz w:val="20"/>
                <w:szCs w:val="20"/>
                <w:spacing w:val="7"/>
              </w:rPr>
              <w:t>的情形。</w:t>
            </w:r>
          </w:p>
        </w:tc>
      </w:tr>
      <w:tr>
        <w:trPr>
          <w:trHeight w:val="1088" w:hRule="atLeast"/>
        </w:trPr>
        <w:tc>
          <w:tcPr>
            <w:tcW w:w="8225" w:type="dxa"/>
            <w:vAlign w:val="top"/>
            <w:gridSpan w:val="3"/>
          </w:tcPr>
          <w:p>
            <w:pPr>
              <w:ind w:left="8" w:right="5" w:firstLine="15"/>
              <w:spacing w:before="52" w:line="239"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中国证券监督管理委员会广东监管局决定对时任董事杨某</w:t>
            </w:r>
            <w:r>
              <w:rPr>
                <w:rFonts w:ascii="Microsoft YaHei" w:hAnsi="Microsoft YaHei" w:eastAsia="Microsoft YaHei" w:cs="Microsoft YaHei"/>
                <w:sz w:val="20"/>
                <w:szCs w:val="20"/>
                <w:spacing w:val="9"/>
              </w:rPr>
              <w:t>涛、时任独董</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冯某升、时任独董刘某暄、时任监事黄某纯、时任监事许某斌、时任监事袁某仕采取出具</w:t>
            </w:r>
            <w:r>
              <w:rPr>
                <w:rFonts w:ascii="Microsoft YaHei" w:hAnsi="Microsoft YaHei" w:eastAsia="Microsoft YaHei" w:cs="Microsoft YaHei"/>
                <w:sz w:val="20"/>
                <w:szCs w:val="20"/>
                <w:spacing w:val="9"/>
              </w:rPr>
              <w:t xml:space="preserve"> </w:t>
            </w:r>
            <w:r>
              <w:rPr>
                <w:rFonts w:ascii="Microsoft YaHei" w:hAnsi="Microsoft YaHei" w:eastAsia="Microsoft YaHei" w:cs="Microsoft YaHei"/>
                <w:sz w:val="20"/>
                <w:szCs w:val="20"/>
                <w:spacing w:val="8"/>
              </w:rPr>
              <w:t>警示函的行政监管措施。</w:t>
            </w:r>
          </w:p>
        </w:tc>
      </w:tr>
      <w:tr>
        <w:trPr>
          <w:trHeight w:val="1088" w:hRule="atLeast"/>
        </w:trPr>
        <w:tc>
          <w:tcPr>
            <w:shd w:val="clear" w:fill="B8CCE4"/>
            <w:tcW w:w="1281" w:type="dxa"/>
            <w:vAlign w:val="top"/>
          </w:tcPr>
          <w:p>
            <w:pPr>
              <w:spacing w:line="383" w:lineRule="auto"/>
              <w:rPr>
                <w:rFonts w:ascii="Arial"/>
                <w:sz w:val="21"/>
              </w:rPr>
            </w:pPr>
            <w:r/>
          </w:p>
          <w:p>
            <w:pPr>
              <w:ind w:left="275"/>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836892</w:t>
            </w:r>
          </w:p>
        </w:tc>
        <w:tc>
          <w:tcPr>
            <w:shd w:val="clear" w:fill="B8CCE4"/>
            <w:tcW w:w="1416" w:type="dxa"/>
            <w:vAlign w:val="top"/>
          </w:tcPr>
          <w:p>
            <w:pPr>
              <w:spacing w:line="368" w:lineRule="auto"/>
              <w:rPr>
                <w:rFonts w:ascii="Arial"/>
                <w:sz w:val="21"/>
              </w:rPr>
            </w:pPr>
            <w:r/>
          </w:p>
          <w:p>
            <w:pPr>
              <w:ind w:left="282"/>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广咨国际</w:t>
            </w:r>
          </w:p>
        </w:tc>
        <w:tc>
          <w:tcPr>
            <w:shd w:val="clear" w:fill="B8CCE4"/>
            <w:tcW w:w="5528" w:type="dxa"/>
            <w:vAlign w:val="top"/>
          </w:tcPr>
          <w:p>
            <w:pPr>
              <w:ind w:left="1" w:right="5"/>
              <w:spacing w:before="95" w:line="229"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广东环保集团有限公司作出“不可变更或撤销</w:t>
            </w:r>
            <w:r>
              <w:rPr>
                <w:rFonts w:ascii="Microsoft YaHei" w:hAnsi="Microsoft YaHei" w:eastAsia="Microsoft YaHei" w:cs="Microsoft YaHei"/>
                <w:sz w:val="20"/>
                <w:szCs w:val="20"/>
                <w:spacing w:val="-36"/>
              </w:rPr>
              <w:t xml:space="preserve"> </w:t>
            </w:r>
            <w:r>
              <w:rPr>
                <w:rFonts w:ascii="Microsoft YaHei" w:hAnsi="Microsoft YaHei" w:eastAsia="Microsoft YaHei" w:cs="Microsoft YaHei"/>
                <w:sz w:val="20"/>
                <w:szCs w:val="20"/>
                <w:spacing w:val="11"/>
              </w:rPr>
              <w:t>”承诺时未审</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慎评估能否按期完成</w:t>
            </w:r>
            <w:r>
              <w:rPr>
                <w:rFonts w:ascii="Microsoft YaHei" w:hAnsi="Microsoft YaHei" w:eastAsia="Microsoft YaHei" w:cs="Microsoft YaHei"/>
                <w:sz w:val="20"/>
                <w:szCs w:val="20"/>
                <w:spacing w:val="-11"/>
              </w:rPr>
              <w:t xml:space="preserve"> </w:t>
            </w:r>
            <w:r>
              <w:rPr>
                <w:rFonts w:ascii="Microsoft YaHei" w:hAnsi="Microsoft YaHei" w:eastAsia="Microsoft YaHei" w:cs="Microsoft YaHei"/>
                <w:sz w:val="20"/>
                <w:szCs w:val="20"/>
                <w:spacing w:val="10"/>
              </w:rPr>
              <w:t>，在尚未充分履行承诺的情况下变更了</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承诺事项。</w:t>
            </w:r>
          </w:p>
        </w:tc>
      </w:tr>
      <w:tr>
        <w:trPr>
          <w:trHeight w:val="1088" w:hRule="atLeast"/>
        </w:trPr>
        <w:tc>
          <w:tcPr>
            <w:tcW w:w="8225" w:type="dxa"/>
            <w:vAlign w:val="top"/>
            <w:gridSpan w:val="3"/>
          </w:tcPr>
          <w:p>
            <w:pPr>
              <w:ind w:left="23" w:right="5"/>
              <w:spacing w:before="235"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中国证券监督管理委员会广东监管局决定对广东环保集团</w:t>
            </w:r>
            <w:r>
              <w:rPr>
                <w:rFonts w:ascii="Microsoft YaHei" w:hAnsi="Microsoft YaHei" w:eastAsia="Microsoft YaHei" w:cs="Microsoft YaHei"/>
                <w:sz w:val="20"/>
                <w:szCs w:val="20"/>
                <w:spacing w:val="9"/>
              </w:rPr>
              <w:t>有限公司采取</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出具警示函的行政监管措施。</w:t>
            </w:r>
          </w:p>
        </w:tc>
      </w:tr>
      <w:tr>
        <w:trPr>
          <w:trHeight w:val="1089" w:hRule="atLeast"/>
        </w:trPr>
        <w:tc>
          <w:tcPr>
            <w:shd w:val="clear" w:fill="B8CCE4"/>
            <w:tcW w:w="1281" w:type="dxa"/>
            <w:vAlign w:val="top"/>
          </w:tcPr>
          <w:p>
            <w:pPr>
              <w:spacing w:line="388" w:lineRule="auto"/>
              <w:rPr>
                <w:rFonts w:ascii="Arial"/>
                <w:sz w:val="21"/>
              </w:rPr>
            </w:pPr>
            <w:r/>
          </w:p>
          <w:p>
            <w:pPr>
              <w:ind w:left="277"/>
              <w:spacing w:before="85"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603555</w:t>
            </w:r>
          </w:p>
        </w:tc>
        <w:tc>
          <w:tcPr>
            <w:shd w:val="clear" w:fill="B8CCE4"/>
            <w:tcW w:w="1416" w:type="dxa"/>
            <w:vAlign w:val="top"/>
          </w:tcPr>
          <w:p>
            <w:pPr>
              <w:spacing w:line="375" w:lineRule="auto"/>
              <w:rPr>
                <w:rFonts w:ascii="Arial"/>
                <w:sz w:val="21"/>
              </w:rPr>
            </w:pPr>
            <w:r/>
          </w:p>
          <w:p>
            <w:pPr>
              <w:ind w:left="382"/>
              <w:spacing w:before="85"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7"/>
              </w:rPr>
              <w:t>贵人</w:t>
            </w:r>
          </w:p>
        </w:tc>
        <w:tc>
          <w:tcPr>
            <w:shd w:val="clear" w:fill="B8CCE4"/>
            <w:tcW w:w="5528" w:type="dxa"/>
            <w:vAlign w:val="top"/>
          </w:tcPr>
          <w:p>
            <w:pPr>
              <w:ind w:left="11" w:right="5" w:hanging="8"/>
              <w:spacing w:before="101" w:line="22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8"/>
              </w:rPr>
              <w:t>贵人鸟股份有限公司未按规定及时披露</w:t>
            </w:r>
            <w:r>
              <w:rPr>
                <w:rFonts w:ascii="Microsoft YaHei" w:hAnsi="Microsoft YaHei" w:eastAsia="Microsoft YaHei" w:cs="Microsoft YaHei"/>
                <w:sz w:val="20"/>
                <w:szCs w:val="20"/>
                <w:b/>
                <w:bCs/>
                <w:spacing w:val="18"/>
              </w:rPr>
              <w:t>关联</w:t>
            </w:r>
            <w:r>
              <w:rPr>
                <w:rFonts w:ascii="Microsoft YaHei" w:hAnsi="Microsoft YaHei" w:eastAsia="Microsoft YaHei" w:cs="Microsoft YaHei"/>
                <w:sz w:val="20"/>
                <w:szCs w:val="20"/>
                <w:b/>
                <w:bCs/>
                <w:spacing w:val="17"/>
              </w:rPr>
              <w:t>交易</w:t>
            </w:r>
            <w:r>
              <w:rPr>
                <w:rFonts w:ascii="Microsoft YaHei" w:hAnsi="Microsoft YaHei" w:eastAsia="Microsoft YaHei" w:cs="Microsoft YaHei"/>
                <w:sz w:val="20"/>
                <w:szCs w:val="20"/>
                <w:b/>
                <w:bCs/>
                <w:spacing w:val="-16"/>
              </w:rPr>
              <w:t xml:space="preserve"> </w:t>
            </w:r>
            <w:r>
              <w:rPr>
                <w:rFonts w:ascii="Microsoft YaHei" w:hAnsi="Microsoft YaHei" w:eastAsia="Microsoft YaHei" w:cs="Microsoft YaHei"/>
                <w:sz w:val="20"/>
                <w:szCs w:val="20"/>
                <w:spacing w:val="17"/>
              </w:rPr>
              <w:t>，</w:t>
            </w:r>
            <w:r>
              <w:rPr>
                <w:rFonts w:ascii="Microsoft YaHei" w:hAnsi="Microsoft YaHei" w:eastAsia="Microsoft YaHei" w:cs="Microsoft YaHei"/>
                <w:sz w:val="20"/>
                <w:szCs w:val="20"/>
                <w:spacing w:val="-39"/>
              </w:rPr>
              <w:t xml:space="preserve"> </w:t>
            </w:r>
            <w:r>
              <w:rPr>
                <w:rFonts w:ascii="Microsoft YaHei" w:hAnsi="Microsoft YaHei" w:eastAsia="Microsoft YaHei" w:cs="Microsoft YaHei"/>
                <w:sz w:val="20"/>
                <w:szCs w:val="20"/>
                <w:spacing w:val="17"/>
              </w:rPr>
              <w:t>也未在</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2021年年度报告、</w:t>
            </w:r>
            <w:r>
              <w:rPr>
                <w:rFonts w:ascii="Microsoft YaHei" w:hAnsi="Microsoft YaHei" w:eastAsia="Microsoft YaHei" w:cs="Microsoft YaHei"/>
                <w:sz w:val="20"/>
                <w:szCs w:val="20"/>
                <w:spacing w:val="-38"/>
              </w:rPr>
              <w:t xml:space="preserve"> </w:t>
            </w:r>
            <w:r>
              <w:rPr>
                <w:rFonts w:ascii="Microsoft YaHei" w:hAnsi="Microsoft YaHei" w:eastAsia="Microsoft YaHei" w:cs="Microsoft YaHei"/>
                <w:sz w:val="20"/>
                <w:szCs w:val="20"/>
                <w:spacing w:val="8"/>
              </w:rPr>
              <w:t>2022年半年度报告、</w:t>
            </w:r>
            <w:r>
              <w:rPr>
                <w:rFonts w:ascii="Microsoft YaHei" w:hAnsi="Microsoft YaHei" w:eastAsia="Microsoft YaHei" w:cs="Microsoft YaHei"/>
                <w:sz w:val="20"/>
                <w:szCs w:val="20"/>
                <w:spacing w:val="-36"/>
              </w:rPr>
              <w:t xml:space="preserve"> </w:t>
            </w:r>
            <w:r>
              <w:rPr>
                <w:rFonts w:ascii="Microsoft YaHei" w:hAnsi="Microsoft YaHei" w:eastAsia="Microsoft YaHei" w:cs="Microsoft YaHei"/>
                <w:sz w:val="20"/>
                <w:szCs w:val="20"/>
                <w:spacing w:val="8"/>
              </w:rPr>
              <w:t>2022年年度报告、</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2023年半年度报告中披露。</w:t>
            </w:r>
          </w:p>
        </w:tc>
      </w:tr>
      <w:tr>
        <w:trPr>
          <w:trHeight w:val="1089" w:hRule="atLeast"/>
        </w:trPr>
        <w:tc>
          <w:tcPr>
            <w:tcW w:w="8225" w:type="dxa"/>
            <w:vAlign w:val="top"/>
            <w:gridSpan w:val="3"/>
          </w:tcPr>
          <w:p>
            <w:pPr>
              <w:ind w:left="6" w:right="5" w:firstLine="17"/>
              <w:spacing w:before="237"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中国证券监督管理委员会福建监管局决定对贵人鸟股份有</w:t>
            </w:r>
            <w:r>
              <w:rPr>
                <w:rFonts w:ascii="Microsoft YaHei" w:hAnsi="Microsoft YaHei" w:eastAsia="Microsoft YaHei" w:cs="Microsoft YaHei"/>
                <w:sz w:val="20"/>
                <w:szCs w:val="20"/>
                <w:spacing w:val="9"/>
              </w:rPr>
              <w:t>限公司采取责</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令改正、</w:t>
            </w:r>
            <w:r>
              <w:rPr>
                <w:rFonts w:ascii="Microsoft YaHei" w:hAnsi="Microsoft YaHei" w:eastAsia="Microsoft YaHei" w:cs="Microsoft YaHei"/>
                <w:sz w:val="20"/>
                <w:szCs w:val="20"/>
                <w:spacing w:val="-20"/>
              </w:rPr>
              <w:t xml:space="preserve"> </w:t>
            </w:r>
            <w:r>
              <w:rPr>
                <w:rFonts w:ascii="Microsoft YaHei" w:hAnsi="Microsoft YaHei" w:eastAsia="Microsoft YaHei" w:cs="Microsoft YaHei"/>
                <w:sz w:val="20"/>
                <w:szCs w:val="20"/>
                <w:spacing w:val="7"/>
              </w:rPr>
              <w:t>出具警示函措施</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7"/>
              </w:rPr>
              <w:t>，并记入证券期货市场诚信档案数据库。</w:t>
            </w:r>
          </w:p>
        </w:tc>
      </w:tr>
      <w:tr>
        <w:trPr>
          <w:trHeight w:val="1089" w:hRule="atLeast"/>
        </w:trPr>
        <w:tc>
          <w:tcPr>
            <w:shd w:val="clear" w:fill="B8CCE4"/>
            <w:tcW w:w="1281" w:type="dxa"/>
            <w:vAlign w:val="top"/>
          </w:tcPr>
          <w:p>
            <w:pPr>
              <w:spacing w:line="390" w:lineRule="auto"/>
              <w:rPr>
                <w:rFonts w:ascii="Arial"/>
                <w:sz w:val="21"/>
              </w:rPr>
            </w:pPr>
            <w:r/>
          </w:p>
          <w:p>
            <w:pPr>
              <w:ind w:left="277"/>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600556</w:t>
            </w:r>
          </w:p>
        </w:tc>
        <w:tc>
          <w:tcPr>
            <w:shd w:val="clear" w:fill="B8CCE4"/>
            <w:tcW w:w="1416" w:type="dxa"/>
            <w:vAlign w:val="top"/>
          </w:tcPr>
          <w:p>
            <w:pPr>
              <w:spacing w:line="383" w:lineRule="auto"/>
              <w:rPr>
                <w:rFonts w:ascii="Arial"/>
                <w:sz w:val="21"/>
              </w:rPr>
            </w:pPr>
            <w:r/>
          </w:p>
          <w:p>
            <w:pPr>
              <w:ind w:left="389"/>
              <w:spacing w:before="86"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天下秀</w:t>
            </w:r>
          </w:p>
        </w:tc>
        <w:tc>
          <w:tcPr>
            <w:shd w:val="clear" w:fill="B8CCE4"/>
            <w:tcW w:w="5528" w:type="dxa"/>
            <w:vAlign w:val="top"/>
          </w:tcPr>
          <w:p>
            <w:pPr>
              <w:ind w:left="3" w:right="5" w:firstLine="3"/>
              <w:spacing w:before="102" w:line="22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收入成本会计核算差错率较高</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10"/>
              </w:rPr>
              <w:t>，个别业务</w:t>
            </w:r>
            <w:r>
              <w:rPr>
                <w:rFonts w:ascii="Microsoft YaHei" w:hAnsi="Microsoft YaHei" w:eastAsia="Microsoft YaHei" w:cs="Microsoft YaHei"/>
                <w:sz w:val="20"/>
                <w:szCs w:val="20"/>
                <w:b/>
                <w:bCs/>
                <w:spacing w:val="10"/>
              </w:rPr>
              <w:t>会计处理</w:t>
            </w:r>
            <w:r>
              <w:rPr>
                <w:rFonts w:ascii="Microsoft YaHei" w:hAnsi="Microsoft YaHei" w:eastAsia="Microsoft YaHei" w:cs="Microsoft YaHei"/>
                <w:sz w:val="20"/>
                <w:szCs w:val="20"/>
                <w:spacing w:val="10"/>
              </w:rPr>
              <w:t>不规范；</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部分</w:t>
            </w:r>
            <w:r>
              <w:rPr>
                <w:rFonts w:ascii="Microsoft YaHei" w:hAnsi="Microsoft YaHei" w:eastAsia="Microsoft YaHei" w:cs="Microsoft YaHei"/>
                <w:sz w:val="20"/>
                <w:szCs w:val="20"/>
                <w:b/>
                <w:bCs/>
                <w:spacing w:val="10"/>
              </w:rPr>
              <w:t>内幕信息</w:t>
            </w:r>
            <w:r>
              <w:rPr>
                <w:rFonts w:ascii="Microsoft YaHei" w:hAnsi="Microsoft YaHei" w:eastAsia="Microsoft YaHei" w:cs="Microsoft YaHei"/>
                <w:sz w:val="20"/>
                <w:szCs w:val="20"/>
                <w:spacing w:val="10"/>
              </w:rPr>
              <w:t>未进行知情人登记</w:t>
            </w:r>
            <w:r>
              <w:rPr>
                <w:rFonts w:ascii="Microsoft YaHei" w:hAnsi="Microsoft YaHei" w:eastAsia="Microsoft YaHei" w:cs="Microsoft YaHei"/>
                <w:sz w:val="20"/>
                <w:szCs w:val="20"/>
                <w:spacing w:val="-12"/>
              </w:rPr>
              <w:t xml:space="preserve"> </w:t>
            </w:r>
            <w:r>
              <w:rPr>
                <w:rFonts w:ascii="Microsoft YaHei" w:hAnsi="Microsoft YaHei" w:eastAsia="Microsoft YaHei" w:cs="Microsoft YaHei"/>
                <w:sz w:val="20"/>
                <w:szCs w:val="20"/>
                <w:spacing w:val="10"/>
              </w:rPr>
              <w:t>，</w:t>
            </w:r>
            <w:r>
              <w:rPr>
                <w:rFonts w:ascii="Microsoft YaHei" w:hAnsi="Microsoft YaHei" w:eastAsia="Microsoft YaHei" w:cs="Microsoft YaHei"/>
                <w:sz w:val="20"/>
                <w:szCs w:val="20"/>
                <w:b/>
                <w:bCs/>
                <w:spacing w:val="10"/>
              </w:rPr>
              <w:t>募集资金</w:t>
            </w:r>
            <w:r>
              <w:rPr>
                <w:rFonts w:ascii="Microsoft YaHei" w:hAnsi="Microsoft YaHei" w:eastAsia="Microsoft YaHei" w:cs="Microsoft YaHei"/>
                <w:sz w:val="20"/>
                <w:szCs w:val="20"/>
                <w:spacing w:val="10"/>
              </w:rPr>
              <w:t>管理制度不规范</w:t>
            </w:r>
          </w:p>
          <w:p>
            <w:pPr>
              <w:ind w:left="13"/>
              <w:spacing w:before="238" w:line="106" w:lineRule="exact"/>
              <w:rPr>
                <w:rFonts w:ascii="Microsoft YaHei" w:hAnsi="Microsoft YaHei" w:eastAsia="Microsoft YaHei" w:cs="Microsoft YaHei"/>
                <w:sz w:val="20"/>
                <w:szCs w:val="20"/>
              </w:rPr>
            </w:pPr>
            <w:r>
              <w:rPr>
                <w:rFonts w:ascii="Microsoft YaHei" w:hAnsi="Microsoft YaHei" w:eastAsia="Microsoft YaHei" w:cs="Microsoft YaHei"/>
                <w:sz w:val="20"/>
                <w:szCs w:val="20"/>
                <w:position w:val="3"/>
              </w:rPr>
              <w:t>。</w:t>
            </w:r>
          </w:p>
        </w:tc>
      </w:tr>
      <w:tr>
        <w:trPr>
          <w:trHeight w:val="1089" w:hRule="atLeast"/>
        </w:trPr>
        <w:tc>
          <w:tcPr>
            <w:tcW w:w="8225" w:type="dxa"/>
            <w:vAlign w:val="top"/>
            <w:gridSpan w:val="3"/>
          </w:tcPr>
          <w:p>
            <w:pPr>
              <w:ind w:left="6" w:right="5" w:firstLine="17"/>
              <w:spacing w:before="240"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中国证券监督管理委员会广西监管局决定对天下秀数字科</w:t>
            </w:r>
            <w:r>
              <w:rPr>
                <w:rFonts w:ascii="Microsoft YaHei" w:hAnsi="Microsoft YaHei" w:eastAsia="Microsoft YaHei" w:cs="Microsoft YaHei"/>
                <w:sz w:val="20"/>
                <w:szCs w:val="20"/>
                <w:spacing w:val="9"/>
              </w:rPr>
              <w:t>技（集团）股</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份有限公司采取责令改正的行政监管措施。</w:t>
            </w:r>
          </w:p>
        </w:tc>
      </w:tr>
      <w:tr>
        <w:trPr>
          <w:trHeight w:val="1449" w:hRule="atLeast"/>
        </w:trPr>
        <w:tc>
          <w:tcPr>
            <w:shd w:val="clear" w:fill="B8CCE4"/>
            <w:tcW w:w="1281" w:type="dxa"/>
            <w:vAlign w:val="top"/>
          </w:tcPr>
          <w:p>
            <w:pPr>
              <w:spacing w:line="283" w:lineRule="auto"/>
              <w:rPr>
                <w:rFonts w:ascii="Arial"/>
                <w:sz w:val="21"/>
              </w:rPr>
            </w:pPr>
            <w:r/>
          </w:p>
          <w:p>
            <w:pPr>
              <w:spacing w:line="284" w:lineRule="auto"/>
              <w:rPr>
                <w:rFonts w:ascii="Arial"/>
                <w:sz w:val="21"/>
              </w:rPr>
            </w:pPr>
            <w:r/>
          </w:p>
          <w:p>
            <w:pPr>
              <w:ind w:left="280"/>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300887</w:t>
            </w:r>
          </w:p>
        </w:tc>
        <w:tc>
          <w:tcPr>
            <w:shd w:val="clear" w:fill="B8CCE4"/>
            <w:tcW w:w="1416" w:type="dxa"/>
            <w:vAlign w:val="top"/>
          </w:tcPr>
          <w:p>
            <w:pPr>
              <w:spacing w:line="276" w:lineRule="auto"/>
              <w:rPr>
                <w:rFonts w:ascii="Arial"/>
                <w:sz w:val="21"/>
              </w:rPr>
            </w:pPr>
            <w:r/>
          </w:p>
          <w:p>
            <w:pPr>
              <w:spacing w:line="277" w:lineRule="auto"/>
              <w:rPr>
                <w:rFonts w:ascii="Arial"/>
                <w:sz w:val="21"/>
              </w:rPr>
            </w:pPr>
            <w:r/>
          </w:p>
          <w:p>
            <w:pPr>
              <w:ind w:left="283"/>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谱尼测试</w:t>
            </w:r>
          </w:p>
        </w:tc>
        <w:tc>
          <w:tcPr>
            <w:shd w:val="clear" w:fill="B8CCE4"/>
            <w:tcW w:w="5528" w:type="dxa"/>
            <w:vAlign w:val="top"/>
          </w:tcPr>
          <w:p>
            <w:pPr>
              <w:ind w:left="2" w:right="5"/>
              <w:spacing w:before="100" w:line="234"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2"/>
              </w:rPr>
              <w:t>使用募集资金进行现金管理</w:t>
            </w:r>
            <w:r>
              <w:rPr>
                <w:rFonts w:ascii="Microsoft YaHei" w:hAnsi="Microsoft YaHei" w:eastAsia="Microsoft YaHei" w:cs="Microsoft YaHei"/>
                <w:sz w:val="20"/>
                <w:szCs w:val="20"/>
                <w:spacing w:val="12"/>
              </w:rPr>
              <w:t>存在超额使用及购买非</w:t>
            </w:r>
            <w:r>
              <w:rPr>
                <w:rFonts w:ascii="Microsoft YaHei" w:hAnsi="Microsoft YaHei" w:eastAsia="Microsoft YaHei" w:cs="Microsoft YaHei"/>
                <w:sz w:val="20"/>
                <w:szCs w:val="20"/>
                <w:spacing w:val="11"/>
              </w:rPr>
              <w:t>保本理财</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2"/>
              </w:rPr>
              <w:t>产品问题；存在部分检测业务成本与收入不完全配比</w:t>
            </w:r>
            <w:r>
              <w:rPr>
                <w:rFonts w:ascii="Microsoft YaHei" w:hAnsi="Microsoft YaHei" w:eastAsia="Microsoft YaHei" w:cs="Microsoft YaHei"/>
                <w:sz w:val="20"/>
                <w:szCs w:val="20"/>
                <w:spacing w:val="11"/>
              </w:rPr>
              <w:t>、个别</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2"/>
              </w:rPr>
              <w:t>采购服务未及时结转生产成本、少量费用报销不及时</w:t>
            </w:r>
            <w:r>
              <w:rPr>
                <w:rFonts w:ascii="Microsoft YaHei" w:hAnsi="Microsoft YaHei" w:eastAsia="Microsoft YaHei" w:cs="Microsoft YaHei"/>
                <w:sz w:val="20"/>
                <w:szCs w:val="20"/>
                <w:spacing w:val="11"/>
              </w:rPr>
              <w:t>、个别</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预付采购款的交易对手方录入有误等核算不规范问题,导致相</w:t>
            </w:r>
          </w:p>
        </w:tc>
      </w:tr>
    </w:tbl>
    <w:p>
      <w:pPr>
        <w:pStyle w:val="BodyText"/>
        <w:spacing w:line="14" w:lineRule="auto"/>
        <w:rPr>
          <w:sz w:val="2"/>
        </w:rPr>
      </w:pPr>
      <w:r/>
    </w:p>
    <w:p>
      <w:pPr>
        <w:spacing w:line="14" w:lineRule="auto"/>
        <w:sectPr>
          <w:pgSz w:w="11910" w:h="16840"/>
          <w:pgMar w:top="400" w:right="1786" w:bottom="307" w:left="1786" w:header="0" w:footer="0" w:gutter="0"/>
        </w:sectPr>
        <w:rPr>
          <w:sz w:val="2"/>
          <w:szCs w:val="2"/>
        </w:rPr>
      </w:pPr>
    </w:p>
    <w:tbl>
      <w:tblPr>
        <w:tblStyle w:val="TableNormal"/>
        <w:tblW w:w="8225" w:type="dxa"/>
        <w:tblInd w:w="961"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81"/>
        <w:gridCol w:w="1416"/>
        <w:gridCol w:w="5528"/>
      </w:tblGrid>
      <w:tr>
        <w:trPr>
          <w:trHeight w:val="1447" w:hRule="atLeast"/>
        </w:trPr>
        <w:tc>
          <w:tcPr>
            <w:shd w:val="clear" w:fill="B8CCE4"/>
            <w:tcW w:w="1281" w:type="dxa"/>
            <w:vAlign w:val="top"/>
          </w:tcPr>
          <w:p>
            <w:pPr>
              <w:rPr>
                <w:rFonts w:ascii="Arial"/>
                <w:sz w:val="21"/>
              </w:rPr>
            </w:pPr>
            <w:r/>
          </w:p>
        </w:tc>
        <w:tc>
          <w:tcPr>
            <w:shd w:val="clear" w:fill="B8CCE4"/>
            <w:tcW w:w="1416" w:type="dxa"/>
            <w:vAlign w:val="top"/>
          </w:tcPr>
          <w:p>
            <w:pPr>
              <w:rPr>
                <w:rFonts w:ascii="Arial"/>
                <w:sz w:val="21"/>
              </w:rPr>
            </w:pPr>
            <w:r/>
          </w:p>
        </w:tc>
        <w:tc>
          <w:tcPr>
            <w:shd w:val="clear" w:fill="B8CCE4"/>
            <w:tcW w:w="5528" w:type="dxa"/>
            <w:vAlign w:val="top"/>
          </w:tcPr>
          <w:p>
            <w:pPr>
              <w:ind w:left="2" w:right="5" w:firstLine="1"/>
              <w:spacing w:before="87" w:line="236"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关</w:t>
            </w:r>
            <w:r>
              <w:rPr>
                <w:rFonts w:ascii="Microsoft YaHei" w:hAnsi="Microsoft YaHei" w:eastAsia="Microsoft YaHei" w:cs="Microsoft YaHei"/>
                <w:sz w:val="20"/>
                <w:szCs w:val="20"/>
                <w:b/>
                <w:bCs/>
                <w:spacing w:val="9"/>
              </w:rPr>
              <w:t>财务信息披露不准确</w:t>
            </w:r>
            <w:r>
              <w:rPr>
                <w:rFonts w:ascii="Microsoft YaHei" w:hAnsi="Microsoft YaHei" w:eastAsia="Microsoft YaHei" w:cs="Microsoft YaHei"/>
                <w:sz w:val="20"/>
                <w:szCs w:val="20"/>
                <w:spacing w:val="9"/>
              </w:rPr>
              <w:t>；董事会、监事会到期未及时</w:t>
            </w:r>
            <w:r>
              <w:rPr>
                <w:rFonts w:ascii="Microsoft YaHei" w:hAnsi="Microsoft YaHei" w:eastAsia="Microsoft YaHei" w:cs="Microsoft YaHei"/>
                <w:sz w:val="20"/>
                <w:szCs w:val="20"/>
                <w:b/>
                <w:bCs/>
                <w:spacing w:val="9"/>
              </w:rPr>
              <w:t>换届</w:t>
            </w:r>
            <w:r>
              <w:rPr>
                <w:rFonts w:ascii="Microsoft YaHei" w:hAnsi="Microsoft YaHei" w:eastAsia="Microsoft YaHei" w:cs="Microsoft YaHei"/>
                <w:sz w:val="20"/>
                <w:szCs w:val="20"/>
                <w:spacing w:val="9"/>
              </w:rPr>
              <w:t>,关</w:t>
            </w:r>
            <w:r>
              <w:rPr>
                <w:rFonts w:ascii="Microsoft YaHei" w:hAnsi="Microsoft YaHei" w:eastAsia="Microsoft YaHei" w:cs="Microsoft YaHei"/>
                <w:sz w:val="20"/>
                <w:szCs w:val="20"/>
                <w:spacing w:val="16"/>
              </w:rPr>
              <w:t xml:space="preserve"> </w:t>
            </w:r>
            <w:r>
              <w:rPr>
                <w:rFonts w:ascii="Microsoft YaHei" w:hAnsi="Microsoft YaHei" w:eastAsia="Microsoft YaHei" w:cs="Microsoft YaHei"/>
                <w:sz w:val="20"/>
                <w:szCs w:val="20"/>
                <w:spacing w:val="9"/>
              </w:rPr>
              <w:t>联董事、关联股东回避表决机制执行不完善,个别</w:t>
            </w:r>
            <w:r>
              <w:rPr>
                <w:rFonts w:ascii="Microsoft YaHei" w:hAnsi="Microsoft YaHei" w:eastAsia="Microsoft YaHei" w:cs="Microsoft YaHei"/>
                <w:sz w:val="20"/>
                <w:szCs w:val="20"/>
                <w:b/>
                <w:bCs/>
                <w:spacing w:val="9"/>
              </w:rPr>
              <w:t>董事会会议</w:t>
            </w:r>
            <w:r>
              <w:rPr>
                <w:rFonts w:ascii="Microsoft YaHei" w:hAnsi="Microsoft YaHei" w:eastAsia="Microsoft YaHei" w:cs="Microsoft YaHei"/>
                <w:sz w:val="20"/>
                <w:szCs w:val="20"/>
                <w:b/>
                <w:bCs/>
                <w:spacing w:val="18"/>
              </w:rPr>
              <w:t xml:space="preserve"> </w:t>
            </w:r>
            <w:r>
              <w:rPr>
                <w:rFonts w:ascii="Microsoft YaHei" w:hAnsi="Microsoft YaHei" w:eastAsia="Microsoft YaHei" w:cs="Microsoft YaHei"/>
                <w:sz w:val="20"/>
                <w:szCs w:val="20"/>
                <w:b/>
                <w:bCs/>
                <w:spacing w:val="15"/>
              </w:rPr>
              <w:t>通知</w:t>
            </w:r>
            <w:r>
              <w:rPr>
                <w:rFonts w:ascii="Microsoft YaHei" w:hAnsi="Microsoft YaHei" w:eastAsia="Microsoft YaHei" w:cs="Microsoft YaHei"/>
                <w:sz w:val="20"/>
                <w:szCs w:val="20"/>
                <w:spacing w:val="15"/>
              </w:rPr>
              <w:t>不及时,</w:t>
            </w:r>
            <w:r>
              <w:rPr>
                <w:rFonts w:ascii="Microsoft YaHei" w:hAnsi="Microsoft YaHei" w:eastAsia="Microsoft YaHei" w:cs="Microsoft YaHei"/>
                <w:sz w:val="20"/>
                <w:szCs w:val="20"/>
                <w:b/>
                <w:bCs/>
                <w:spacing w:val="15"/>
              </w:rPr>
              <w:t>内幕信息知情人</w:t>
            </w:r>
            <w:r>
              <w:rPr>
                <w:rFonts w:ascii="Microsoft YaHei" w:hAnsi="Microsoft YaHei" w:eastAsia="Microsoft YaHei" w:cs="Microsoft YaHei"/>
                <w:sz w:val="20"/>
                <w:szCs w:val="20"/>
                <w:spacing w:val="15"/>
              </w:rPr>
              <w:t>登记管理制度执行不完善,《投</w:t>
            </w:r>
            <w:r>
              <w:rPr>
                <w:rFonts w:ascii="Microsoft YaHei" w:hAnsi="Microsoft YaHei" w:eastAsia="Microsoft YaHei" w:cs="Microsoft YaHei"/>
                <w:sz w:val="20"/>
                <w:szCs w:val="20"/>
                <w:spacing w:val="7"/>
              </w:rPr>
              <w:t xml:space="preserve"> </w:t>
            </w:r>
            <w:r>
              <w:rPr>
                <w:rFonts w:ascii="Microsoft YaHei" w:hAnsi="Microsoft YaHei" w:eastAsia="Microsoft YaHei" w:cs="Microsoft YaHei"/>
                <w:sz w:val="20"/>
                <w:szCs w:val="20"/>
                <w:spacing w:val="9"/>
              </w:rPr>
              <w:t>资者关系管理制度》未及时更新等</w:t>
            </w:r>
            <w:r>
              <w:rPr>
                <w:rFonts w:ascii="Microsoft YaHei" w:hAnsi="Microsoft YaHei" w:eastAsia="Microsoft YaHei" w:cs="Microsoft YaHei"/>
                <w:sz w:val="20"/>
                <w:szCs w:val="20"/>
                <w:b/>
                <w:bCs/>
                <w:spacing w:val="9"/>
              </w:rPr>
              <w:t>公司治理不规范。</w:t>
            </w:r>
          </w:p>
        </w:tc>
      </w:tr>
      <w:tr>
        <w:trPr>
          <w:trHeight w:val="1093" w:hRule="atLeast"/>
        </w:trPr>
        <w:tc>
          <w:tcPr>
            <w:tcW w:w="8225" w:type="dxa"/>
            <w:vAlign w:val="top"/>
            <w:gridSpan w:val="3"/>
          </w:tcPr>
          <w:p>
            <w:pPr>
              <w:ind w:left="6" w:right="5" w:firstLine="17"/>
              <w:spacing w:before="49" w:line="24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中国证券监督管理委员会北京监管局决定对谱尼测试集团</w:t>
            </w:r>
            <w:r>
              <w:rPr>
                <w:rFonts w:ascii="Microsoft YaHei" w:hAnsi="Microsoft YaHei" w:eastAsia="Microsoft YaHei" w:cs="Microsoft YaHei"/>
                <w:sz w:val="20"/>
                <w:szCs w:val="20"/>
                <w:spacing w:val="9"/>
              </w:rPr>
              <w:t>股份有限公司</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、董事长宋某、总经理张某杰、高管刘某梅、董事会秘书李某冬采取责令改正的行政监管</w:t>
            </w:r>
            <w:r>
              <w:rPr>
                <w:rFonts w:ascii="Microsoft YaHei" w:hAnsi="Microsoft YaHei" w:eastAsia="Microsoft YaHei" w:cs="Microsoft YaHei"/>
                <w:sz w:val="20"/>
                <w:szCs w:val="20"/>
                <w:spacing w:val="11"/>
              </w:rPr>
              <w:t xml:space="preserve"> </w:t>
            </w:r>
            <w:r>
              <w:rPr>
                <w:rFonts w:ascii="Microsoft YaHei" w:hAnsi="Microsoft YaHei" w:eastAsia="Microsoft YaHei" w:cs="Microsoft YaHei"/>
                <w:sz w:val="20"/>
                <w:szCs w:val="20"/>
                <w:spacing w:val="8"/>
              </w:rPr>
              <w:t>措施,并记入证券期货市场诚信档案。</w:t>
            </w:r>
          </w:p>
        </w:tc>
      </w:tr>
    </w:tbl>
    <w:p>
      <w:pPr>
        <w:spacing w:before="31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6"/>
        </w:rPr>
        <w:t>（ 3</w:t>
      </w:r>
      <w:r>
        <w:rPr>
          <w:rFonts w:ascii="Microsoft YaHei" w:hAnsi="Microsoft YaHei" w:eastAsia="Microsoft YaHei" w:cs="Microsoft YaHei"/>
          <w:sz w:val="24"/>
          <w:szCs w:val="24"/>
          <w:b/>
          <w:bCs/>
          <w:color w:val="333333"/>
          <w:spacing w:val="-7"/>
        </w:rPr>
        <w:t xml:space="preserve"> </w:t>
      </w:r>
      <w:r>
        <w:rPr>
          <w:rFonts w:ascii="Microsoft YaHei" w:hAnsi="Microsoft YaHei" w:eastAsia="Microsoft YaHei" w:cs="Microsoft YaHei"/>
          <w:sz w:val="24"/>
          <w:szCs w:val="24"/>
          <w:b/>
          <w:bCs/>
          <w:color w:val="333333"/>
          <w:spacing w:val="-16"/>
        </w:rPr>
        <w:t>）立案调查</w:t>
      </w:r>
    </w:p>
    <w:p>
      <w:pPr>
        <w:spacing w:line="193" w:lineRule="exact"/>
        <w:rPr/>
      </w:pPr>
      <w:r/>
    </w:p>
    <w:tbl>
      <w:tblPr>
        <w:tblStyle w:val="TableNormal"/>
        <w:tblW w:w="8057" w:type="dxa"/>
        <w:tblInd w:w="1019"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20"/>
        <w:gridCol w:w="1341"/>
        <w:gridCol w:w="5496"/>
      </w:tblGrid>
      <w:tr>
        <w:trPr>
          <w:trHeight w:val="391" w:hRule="atLeast"/>
        </w:trPr>
        <w:tc>
          <w:tcPr>
            <w:shd w:val="clear" w:fill="4F81BD"/>
            <w:tcW w:w="1220" w:type="dxa"/>
            <w:vAlign w:val="top"/>
            <w:tcBorders>
              <w:bottom w:val="single" w:color="4F81BD" w:sz="2" w:space="0"/>
            </w:tcBorders>
          </w:tcPr>
          <w:p>
            <w:pPr>
              <w:ind w:left="187"/>
              <w:spacing w:before="113"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公司代码</w:t>
            </w:r>
          </w:p>
        </w:tc>
        <w:tc>
          <w:tcPr>
            <w:shd w:val="clear" w:fill="4F81BD"/>
            <w:tcW w:w="1341" w:type="dxa"/>
            <w:vAlign w:val="top"/>
            <w:tcBorders>
              <w:bottom w:val="single" w:color="4F81BD" w:sz="2" w:space="0"/>
            </w:tcBorders>
          </w:tcPr>
          <w:p>
            <w:pPr>
              <w:ind w:left="246"/>
              <w:spacing w:before="113"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公司简称</w:t>
            </w:r>
          </w:p>
        </w:tc>
        <w:tc>
          <w:tcPr>
            <w:shd w:val="clear" w:fill="4F81BD"/>
            <w:tcW w:w="5496" w:type="dxa"/>
            <w:vAlign w:val="top"/>
            <w:tcBorders>
              <w:bottom w:val="single" w:color="4F81BD" w:sz="2" w:space="0"/>
            </w:tcBorders>
          </w:tcPr>
          <w:p>
            <w:pPr>
              <w:ind w:left="2325"/>
              <w:spacing w:before="113"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违规行为</w:t>
            </w:r>
          </w:p>
        </w:tc>
      </w:tr>
      <w:tr>
        <w:trPr>
          <w:trHeight w:val="1090" w:hRule="atLeast"/>
        </w:trPr>
        <w:tc>
          <w:tcPr>
            <w:tcW w:w="1220" w:type="dxa"/>
            <w:vAlign w:val="top"/>
            <w:tcBorders>
              <w:top w:val="single" w:color="4F81BD" w:sz="2" w:space="0"/>
            </w:tcBorders>
          </w:tcPr>
          <w:p>
            <w:pPr>
              <w:spacing w:line="373" w:lineRule="auto"/>
              <w:rPr>
                <w:rFonts w:ascii="Arial"/>
                <w:sz w:val="21"/>
              </w:rPr>
            </w:pPr>
            <w:r/>
          </w:p>
          <w:p>
            <w:pPr>
              <w:ind w:left="246"/>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603843</w:t>
            </w:r>
          </w:p>
        </w:tc>
        <w:tc>
          <w:tcPr>
            <w:tcW w:w="1341" w:type="dxa"/>
            <w:vAlign w:val="top"/>
            <w:tcBorders>
              <w:top w:val="single" w:color="4F81BD" w:sz="2" w:space="0"/>
            </w:tcBorders>
          </w:tcPr>
          <w:p>
            <w:pPr>
              <w:spacing w:line="360" w:lineRule="auto"/>
              <w:rPr>
                <w:rFonts w:ascii="Arial"/>
                <w:sz w:val="21"/>
              </w:rPr>
            </w:pPr>
            <w:r/>
          </w:p>
          <w:p>
            <w:pPr>
              <w:ind w:left="245"/>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正平股份</w:t>
            </w:r>
          </w:p>
        </w:tc>
        <w:tc>
          <w:tcPr>
            <w:tcW w:w="5496" w:type="dxa"/>
            <w:vAlign w:val="top"/>
            <w:tcBorders>
              <w:top w:val="single" w:color="4F81BD" w:sz="2" w:space="0"/>
            </w:tcBorders>
          </w:tcPr>
          <w:p>
            <w:pPr>
              <w:ind w:left="2" w:right="27" w:firstLine="15"/>
              <w:spacing w:before="47"/>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因</w:t>
            </w:r>
            <w:r>
              <w:rPr>
                <w:rFonts w:ascii="Microsoft YaHei" w:hAnsi="Microsoft YaHei" w:eastAsia="Microsoft YaHei" w:cs="Microsoft YaHei"/>
                <w:sz w:val="20"/>
                <w:szCs w:val="20"/>
                <w:b/>
                <w:bCs/>
                <w:spacing w:val="8"/>
              </w:rPr>
              <w:t>涉嫌信息披露违法违规</w:t>
            </w:r>
            <w:r>
              <w:rPr>
                <w:rFonts w:ascii="Microsoft YaHei" w:hAnsi="Microsoft YaHei" w:eastAsia="Microsoft YaHei" w:cs="Microsoft YaHei"/>
                <w:sz w:val="20"/>
                <w:szCs w:val="20"/>
                <w:b/>
                <w:bCs/>
                <w:spacing w:val="-26"/>
              </w:rPr>
              <w:t xml:space="preserve"> </w:t>
            </w:r>
            <w:r>
              <w:rPr>
                <w:rFonts w:ascii="Microsoft YaHei" w:hAnsi="Microsoft YaHei" w:eastAsia="Microsoft YaHei" w:cs="Microsoft YaHei"/>
                <w:sz w:val="20"/>
                <w:szCs w:val="20"/>
                <w:spacing w:val="8"/>
              </w:rPr>
              <w:t>，根据《中华人民共和国</w:t>
            </w:r>
            <w:r>
              <w:rPr>
                <w:rFonts w:ascii="Microsoft YaHei" w:hAnsi="Microsoft YaHei" w:eastAsia="Microsoft YaHei" w:cs="Microsoft YaHei"/>
                <w:sz w:val="20"/>
                <w:szCs w:val="20"/>
                <w:spacing w:val="7"/>
              </w:rPr>
              <w:t>证券法》</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《中华人民共和国行政处罚法》等法律法规</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7"/>
              </w:rPr>
              <w:t>，</w:t>
            </w:r>
            <w:r>
              <w:rPr>
                <w:rFonts w:ascii="Microsoft YaHei" w:hAnsi="Microsoft YaHei" w:eastAsia="Microsoft YaHei" w:cs="Microsoft YaHei"/>
                <w:sz w:val="20"/>
                <w:szCs w:val="20"/>
                <w:spacing w:val="-33"/>
              </w:rPr>
              <w:t xml:space="preserve"> </w:t>
            </w:r>
            <w:r>
              <w:rPr>
                <w:rFonts w:ascii="Microsoft YaHei" w:hAnsi="Microsoft YaHei" w:eastAsia="Microsoft YaHei" w:cs="Microsoft YaHei"/>
                <w:sz w:val="20"/>
                <w:szCs w:val="20"/>
                <w:spacing w:val="7"/>
              </w:rPr>
              <w:t>中国证监会决</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定对公司及实际控制人立案。</w:t>
            </w:r>
          </w:p>
        </w:tc>
      </w:tr>
    </w:tbl>
    <w:p>
      <w:pPr>
        <w:pStyle w:val="BodyText"/>
        <w:rPr/>
      </w:pPr>
      <w:r/>
    </w:p>
    <w:p>
      <w:pPr>
        <w:sectPr>
          <w:pgSz w:w="11910" w:h="16840"/>
          <w:pgMar w:top="400" w:right="1786" w:bottom="400" w:left="893" w:header="0" w:footer="0" w:gutter="0"/>
        </w:sectPr>
        <w:rPr/>
      </w:pPr>
    </w:p>
    <w:p>
      <w:pPr>
        <w:pStyle w:val="BodyText"/>
        <w:spacing w:line="830" w:lineRule="exact"/>
        <w:rPr/>
      </w:pPr>
      <w:r>
        <w:rPr>
          <w:position w:val="-16"/>
        </w:rPr>
        <w:pict>
          <v:group id="_x0000_s18" style="mso-position-vertical-relative:line;mso-position-horizontal-relative:char;width:135.05pt;height:41.55pt;" filled="false" stroked="false" coordsize="2701,830" coordorigin="0,0">
            <v:shape id="_x0000_s20" style="position:absolute;left:0;top:0;width:2701;height:830;" filled="false" stroked="false" type="#_x0000_t75">
              <v:imagedata o:title="" r:id="rId14"/>
            </v:shape>
            <v:shape id="_x0000_s22" style="position:absolute;left:-20;top:-20;width:2741;height:870;" filled="false" stroked="false" type="#_x0000_t202">
              <v:fill on="false"/>
              <v:stroke on="false"/>
              <v:path/>
              <v:imagedata o:title=""/>
              <o:lock v:ext="edit" aspectratio="false"/>
              <v:textbox inset="0mm,0mm,0mm,0mm">
                <w:txbxContent>
                  <w:p>
                    <w:pPr>
                      <w:spacing w:line="247" w:lineRule="auto"/>
                      <w:rPr>
                        <w:rFonts w:ascii="Arial"/>
                        <w:sz w:val="21"/>
                      </w:rPr>
                    </w:pPr>
                    <w:r/>
                  </w:p>
                  <w:p>
                    <w:pPr>
                      <w:ind w:left="420"/>
                      <w:spacing w:before="91" w:line="222" w:lineRule="auto"/>
                      <w:rPr>
                        <w:rFonts w:ascii="SimHei" w:hAnsi="SimHei" w:eastAsia="SimHei" w:cs="SimHei"/>
                        <w:sz w:val="28"/>
                        <w:szCs w:val="28"/>
                      </w:rPr>
                    </w:pPr>
                    <w:r>
                      <w:rPr>
                        <w:rFonts w:ascii="SimHei" w:hAnsi="SimHei" w:eastAsia="SimHei" w:cs="SimHei"/>
                        <w:sz w:val="28"/>
                        <w:szCs w:val="28"/>
                        <w:color w:val="FFFFFF"/>
                        <w:spacing w:val="-2"/>
                      </w:rPr>
                      <w:t>上交所监管动态</w:t>
                    </w:r>
                  </w:p>
                </w:txbxContent>
              </v:textbox>
            </v:shape>
          </v:group>
        </w:pict>
      </w:r>
    </w:p>
    <w:p>
      <w:pPr>
        <w:pStyle w:val="BodyText"/>
        <w:spacing w:line="394" w:lineRule="auto"/>
        <w:rPr/>
      </w:pPr>
      <w:r/>
    </w:p>
    <w:p>
      <w:pPr>
        <w:ind w:left="993"/>
        <w:spacing w:before="78" w:line="222" w:lineRule="auto"/>
        <w:outlineLvl w:val="6"/>
        <w:rPr>
          <w:rFonts w:ascii="SimHei" w:hAnsi="SimHei" w:eastAsia="SimHei" w:cs="SimHei"/>
          <w:sz w:val="24"/>
          <w:szCs w:val="24"/>
        </w:rPr>
      </w:pPr>
      <w:r>
        <w:rPr>
          <w:rFonts w:ascii="SimHei" w:hAnsi="SimHei" w:eastAsia="SimHei" w:cs="SimHei"/>
          <w:sz w:val="24"/>
          <w:szCs w:val="24"/>
          <w:b/>
          <w:bCs/>
          <w:spacing w:val="-8"/>
        </w:rPr>
        <w:t>1、上市公司监管动态</w:t>
      </w:r>
    </w:p>
    <w:p>
      <w:pPr>
        <w:ind w:left="460" w:right="82" w:firstLine="469"/>
        <w:spacing w:before="32" w:line="231" w:lineRule="auto"/>
        <w:rPr>
          <w:rFonts w:ascii="SimHei" w:hAnsi="SimHei" w:eastAsia="SimHei" w:cs="SimHei"/>
          <w:sz w:val="24"/>
          <w:szCs w:val="24"/>
        </w:rPr>
      </w:pPr>
      <w:r>
        <w:rPr>
          <w:rFonts w:ascii="SimHei" w:hAnsi="SimHei" w:eastAsia="SimHei" w:cs="SimHei"/>
          <w:sz w:val="24"/>
          <w:szCs w:val="24"/>
          <w:spacing w:val="1"/>
        </w:rPr>
        <w:t>2024年1月22日-1月28日，上交所公司监管部门作出8份监管警示函，对3</w:t>
      </w:r>
      <w:r>
        <w:rPr>
          <w:rFonts w:ascii="SimHei" w:hAnsi="SimHei" w:eastAsia="SimHei" w:cs="SimHei"/>
          <w:sz w:val="24"/>
          <w:szCs w:val="24"/>
        </w:rPr>
        <w:t>宗行为予以纪律处分。</w:t>
      </w:r>
      <w:r>
        <w:rPr>
          <w:rFonts w:ascii="SimHei" w:hAnsi="SimHei" w:eastAsia="SimHei" w:cs="SimHei"/>
          <w:sz w:val="24"/>
          <w:szCs w:val="24"/>
        </w:rPr>
        <w:t xml:space="preserve"> </w:t>
      </w:r>
      <w:r>
        <w:rPr>
          <w:rFonts w:ascii="SimHei" w:hAnsi="SimHei" w:eastAsia="SimHei" w:cs="SimHei"/>
          <w:sz w:val="24"/>
          <w:szCs w:val="24"/>
          <w:spacing w:val="-3"/>
        </w:rPr>
        <w:t>同时，加大信息披露和股价异常的联动监管，针对公司披露敏感信息或股价发生明显异常的，提请启</w:t>
      </w:r>
      <w:r>
        <w:rPr>
          <w:rFonts w:ascii="SimHei" w:hAnsi="SimHei" w:eastAsia="SimHei" w:cs="SimHei"/>
          <w:sz w:val="24"/>
          <w:szCs w:val="24"/>
          <w:spacing w:val="14"/>
        </w:rPr>
        <w:t xml:space="preserve"> </w:t>
      </w:r>
      <w:r>
        <w:rPr>
          <w:rFonts w:ascii="SimHei" w:hAnsi="SimHei" w:eastAsia="SimHei" w:cs="SimHei"/>
          <w:sz w:val="24"/>
          <w:szCs w:val="24"/>
          <w:spacing w:val="-3"/>
        </w:rPr>
        <w:t>动内幕交易、异常交易核查8单。</w:t>
      </w:r>
    </w:p>
    <w:p>
      <w:pPr>
        <w:pStyle w:val="BodyText"/>
        <w:ind w:left="950"/>
        <w:spacing w:before="60" w:line="213" w:lineRule="auto"/>
        <w:rPr>
          <w:rFonts w:ascii="SimHei" w:hAnsi="SimHei" w:eastAsia="SimHei" w:cs="SimHei"/>
          <w:sz w:val="24"/>
          <w:szCs w:val="24"/>
        </w:rPr>
      </w:pPr>
      <w:r>
        <w:rPr>
          <w:rFonts w:ascii="SimHei" w:hAnsi="SimHei" w:eastAsia="SimHei" w:cs="SimHei"/>
          <w:sz w:val="24"/>
          <w:szCs w:val="24"/>
          <w:spacing w:val="1"/>
        </w:rPr>
        <w:t>2024年1月22日-1月28日，上交所对易方达</w:t>
      </w:r>
      <w:r>
        <w:rPr>
          <w:sz w:val="24"/>
          <w:szCs w:val="24"/>
        </w:rPr>
        <w:t>MSCl</w:t>
      </w:r>
      <w:r>
        <w:rPr>
          <w:rFonts w:ascii="SimHei" w:hAnsi="SimHei" w:eastAsia="SimHei" w:cs="SimHei"/>
          <w:sz w:val="24"/>
          <w:szCs w:val="24"/>
          <w:spacing w:val="1"/>
        </w:rPr>
        <w:t>美国50</w:t>
      </w:r>
      <w:r>
        <w:rPr>
          <w:sz w:val="24"/>
          <w:szCs w:val="24"/>
        </w:rPr>
        <w:t>ETF</w:t>
      </w:r>
      <w:r>
        <w:rPr>
          <w:rFonts w:ascii="SimHei" w:hAnsi="SimHei" w:eastAsia="SimHei" w:cs="SimHei"/>
          <w:sz w:val="24"/>
          <w:szCs w:val="24"/>
          <w:spacing w:val="1"/>
        </w:rPr>
        <w:t>等溢价较高的基金进行重点监控，</w:t>
      </w:r>
    </w:p>
    <w:p>
      <w:pPr>
        <w:ind w:left="460"/>
        <w:spacing w:before="12" w:line="227" w:lineRule="auto"/>
        <w:rPr>
          <w:rFonts w:ascii="SimHei" w:hAnsi="SimHei" w:eastAsia="SimHei" w:cs="SimHei"/>
          <w:sz w:val="24"/>
          <w:szCs w:val="24"/>
        </w:rPr>
      </w:pPr>
      <w:r>
        <w:rPr>
          <w:rFonts w:ascii="SimHei" w:hAnsi="SimHei" w:eastAsia="SimHei" w:cs="SimHei"/>
          <w:sz w:val="24"/>
          <w:szCs w:val="24"/>
        </w:rPr>
        <w:t>对83起拉抬打压、虚假申报等证券异常交易行为采取了书面警示等监管措施，对1</w:t>
      </w:r>
      <w:r>
        <w:rPr>
          <w:rFonts w:ascii="SimHei" w:hAnsi="SimHei" w:eastAsia="SimHei" w:cs="SimHei"/>
          <w:sz w:val="24"/>
          <w:szCs w:val="24"/>
          <w:spacing w:val="-1"/>
        </w:rPr>
        <w:t>4起上市公司重大事</w:t>
      </w:r>
      <w:r>
        <w:rPr>
          <w:rFonts w:ascii="SimHei" w:hAnsi="SimHei" w:eastAsia="SimHei" w:cs="SimHei"/>
          <w:sz w:val="24"/>
          <w:szCs w:val="24"/>
        </w:rPr>
        <w:t xml:space="preserve"> </w:t>
      </w:r>
      <w:r>
        <w:rPr>
          <w:rFonts w:ascii="SimHei" w:hAnsi="SimHei" w:eastAsia="SimHei" w:cs="SimHei"/>
          <w:sz w:val="24"/>
          <w:szCs w:val="24"/>
          <w:spacing w:val="-10"/>
        </w:rPr>
        <w:t>项等进行专项核查。</w:t>
      </w:r>
    </w:p>
    <w:p>
      <w:pPr>
        <w:pStyle w:val="BodyText"/>
        <w:spacing w:line="255" w:lineRule="auto"/>
        <w:rPr/>
      </w:pPr>
      <w:r/>
    </w:p>
    <w:p>
      <w:pPr>
        <w:ind w:left="3824"/>
        <w:spacing w:before="91" w:line="221" w:lineRule="auto"/>
        <w:rPr>
          <w:rFonts w:ascii="SimHei" w:hAnsi="SimHei" w:eastAsia="SimHei" w:cs="SimHei"/>
          <w:sz w:val="28"/>
          <w:szCs w:val="28"/>
        </w:rPr>
      </w:pPr>
      <w:r>
        <w:rPr>
          <w:rFonts w:ascii="SimHei" w:hAnsi="SimHei" w:eastAsia="SimHei" w:cs="SimHei"/>
          <w:sz w:val="28"/>
          <w:szCs w:val="28"/>
          <w:b/>
          <w:bCs/>
          <w:spacing w:val="6"/>
        </w:rPr>
        <w:t>上周上交所发出的函件统计(份)</w:t>
      </w:r>
    </w:p>
    <w:p>
      <w:pPr>
        <w:ind w:firstLine="2180"/>
        <w:spacing w:before="240" w:line="2590" w:lineRule="exact"/>
        <w:rPr/>
      </w:pPr>
      <w:r>
        <w:rPr>
          <w:position w:val="-51"/>
        </w:rPr>
        <w:drawing>
          <wp:inline distT="0" distB="0" distL="0" distR="0">
            <wp:extent cx="4603808" cy="1644645"/>
            <wp:effectExtent l="0" t="0" r="0" b="0"/>
            <wp:docPr id="18" name="IM 18"/>
            <wp:cNvGraphicFramePr/>
            <a:graphic>
              <a:graphicData uri="http://schemas.openxmlformats.org/drawingml/2006/picture">
                <pic:pic>
                  <pic:nvPicPr>
                    <pic:cNvPr id="18" name="IM 18"/>
                    <pic:cNvPicPr/>
                  </pic:nvPicPr>
                  <pic:blipFill>
                    <a:blip r:embed="rId15"/>
                    <a:stretch>
                      <a:fillRect/>
                    </a:stretch>
                  </pic:blipFill>
                  <pic:spPr>
                    <a:xfrm rot="0">
                      <a:off x="0" y="0"/>
                      <a:ext cx="4603808" cy="1644645"/>
                    </a:xfrm>
                    <a:prstGeom prst="rect">
                      <a:avLst/>
                    </a:prstGeom>
                  </pic:spPr>
                </pic:pic>
              </a:graphicData>
            </a:graphic>
          </wp:inline>
        </w:drawing>
      </w:r>
    </w:p>
    <w:p>
      <w:pPr>
        <w:pStyle w:val="BodyText"/>
        <w:spacing w:line="383" w:lineRule="auto"/>
        <w:rPr/>
      </w:pPr>
      <w:r/>
    </w:p>
    <w:p>
      <w:pPr>
        <w:ind w:left="563"/>
        <w:spacing w:before="79" w:line="221" w:lineRule="auto"/>
        <w:rPr>
          <w:rFonts w:ascii="SimHei" w:hAnsi="SimHei" w:eastAsia="SimHei" w:cs="SimHei"/>
          <w:sz w:val="24"/>
          <w:szCs w:val="24"/>
        </w:rPr>
      </w:pPr>
      <w:r>
        <w:rPr>
          <w:rFonts w:ascii="SimHei" w:hAnsi="SimHei" w:eastAsia="SimHei" w:cs="SimHei"/>
          <w:sz w:val="24"/>
          <w:szCs w:val="24"/>
          <w:b/>
          <w:bCs/>
          <w:spacing w:val="10"/>
        </w:rPr>
        <w:t>(1)监管措施统计</w:t>
      </w:r>
    </w:p>
    <w:p>
      <w:pPr>
        <w:spacing w:before="22"/>
        <w:rPr/>
      </w:pPr>
      <w:r/>
    </w:p>
    <w:tbl>
      <w:tblPr>
        <w:tblStyle w:val="TableNormal"/>
        <w:tblW w:w="8359" w:type="dxa"/>
        <w:tblInd w:w="170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14"/>
        <w:gridCol w:w="1148"/>
        <w:gridCol w:w="1298"/>
        <w:gridCol w:w="4699"/>
      </w:tblGrid>
      <w:tr>
        <w:trPr>
          <w:trHeight w:val="384" w:hRule="atLeast"/>
        </w:trPr>
        <w:tc>
          <w:tcPr>
            <w:shd w:val="clear" w:fill="C0504D"/>
            <w:tcW w:w="8359" w:type="dxa"/>
            <w:vAlign w:val="top"/>
            <w:gridSpan w:val="4"/>
          </w:tcPr>
          <w:p>
            <w:pPr>
              <w:pStyle w:val="TableText"/>
              <w:ind w:left="197"/>
              <w:spacing w:before="120" w:line="219" w:lineRule="auto"/>
              <w:rPr/>
            </w:pPr>
            <w:r>
              <w:rPr>
                <w:b/>
                <w:bCs/>
                <w:color w:val="FFFFFF"/>
                <w:spacing w:val="-4"/>
              </w:rPr>
              <w:t>公司代码</w:t>
            </w:r>
            <w:r>
              <w:rPr>
                <w:color w:val="FFFFFF"/>
                <w:spacing w:val="17"/>
              </w:rPr>
              <w:t xml:space="preserve">   </w:t>
            </w:r>
            <w:r>
              <w:rPr>
                <w:b/>
                <w:bCs/>
                <w:color w:val="FFFFFF"/>
                <w:spacing w:val="-4"/>
              </w:rPr>
              <w:t>公司简称</w:t>
            </w:r>
            <w:r>
              <w:rPr>
                <w:color w:val="FFFFFF"/>
                <w:spacing w:val="27"/>
              </w:rPr>
              <w:t xml:space="preserve">   </w:t>
            </w:r>
            <w:r>
              <w:rPr>
                <w:b/>
                <w:bCs/>
                <w:color w:val="FFFFFF"/>
                <w:spacing w:val="-4"/>
              </w:rPr>
              <w:t>函件类别</w:t>
            </w:r>
            <w:r>
              <w:rPr>
                <w:color w:val="FFFFFF"/>
                <w:spacing w:val="3"/>
              </w:rPr>
              <w:t xml:space="preserve">                     </w:t>
            </w:r>
            <w:r>
              <w:rPr>
                <w:b/>
                <w:bCs/>
                <w:color w:val="FFFFFF"/>
                <w:spacing w:val="-4"/>
              </w:rPr>
              <w:t>违规类型</w:t>
            </w:r>
          </w:p>
        </w:tc>
      </w:tr>
      <w:tr>
        <w:trPr>
          <w:trHeight w:val="359" w:hRule="atLeast"/>
        </w:trPr>
        <w:tc>
          <w:tcPr>
            <w:tcW w:w="1214" w:type="dxa"/>
            <w:vAlign w:val="top"/>
          </w:tcPr>
          <w:p>
            <w:pPr>
              <w:pStyle w:val="TableText"/>
              <w:ind w:left="285"/>
              <w:spacing w:before="132" w:line="184" w:lineRule="auto"/>
              <w:rPr/>
            </w:pPr>
            <w:r>
              <w:rPr>
                <w:spacing w:val="-2"/>
              </w:rPr>
              <w:t>603196</w:t>
            </w:r>
          </w:p>
        </w:tc>
        <w:tc>
          <w:tcPr>
            <w:tcW w:w="1148" w:type="dxa"/>
            <w:vAlign w:val="top"/>
          </w:tcPr>
          <w:p>
            <w:pPr>
              <w:pStyle w:val="TableText"/>
              <w:ind w:left="141"/>
              <w:spacing w:before="79" w:line="219" w:lineRule="auto"/>
              <w:rPr/>
            </w:pPr>
            <w:r>
              <w:rPr>
                <w:spacing w:val="4"/>
              </w:rPr>
              <w:t>日播时尚</w:t>
            </w:r>
          </w:p>
        </w:tc>
        <w:tc>
          <w:tcPr>
            <w:tcW w:w="1298" w:type="dxa"/>
            <w:vAlign w:val="top"/>
          </w:tcPr>
          <w:p>
            <w:pPr>
              <w:pStyle w:val="TableText"/>
              <w:ind w:left="223"/>
              <w:spacing w:before="79" w:line="219" w:lineRule="auto"/>
              <w:rPr/>
            </w:pPr>
            <w:r>
              <w:rPr>
                <w:spacing w:val="-2"/>
              </w:rPr>
              <w:t>监管警示</w:t>
            </w:r>
          </w:p>
        </w:tc>
        <w:tc>
          <w:tcPr>
            <w:tcW w:w="4699" w:type="dxa"/>
            <w:vAlign w:val="top"/>
          </w:tcPr>
          <w:p>
            <w:pPr>
              <w:pStyle w:val="TableText"/>
              <w:ind w:left="15"/>
              <w:spacing w:before="76" w:line="219" w:lineRule="auto"/>
              <w:rPr/>
            </w:pPr>
            <w:r>
              <w:rPr>
                <w:spacing w:val="-2"/>
              </w:rPr>
              <w:t>时任高级管理人员配偶</w:t>
            </w:r>
            <w:r>
              <w:rPr>
                <w:b/>
                <w:bCs/>
                <w:spacing w:val="-2"/>
              </w:rPr>
              <w:t>短线交易。</w:t>
            </w:r>
          </w:p>
        </w:tc>
      </w:tr>
      <w:tr>
        <w:trPr>
          <w:trHeight w:val="1087" w:hRule="atLeast"/>
        </w:trPr>
        <w:tc>
          <w:tcPr>
            <w:shd w:val="clear" w:fill="F1DBDB"/>
            <w:tcW w:w="1214" w:type="dxa"/>
            <w:vAlign w:val="top"/>
          </w:tcPr>
          <w:p>
            <w:pPr>
              <w:pStyle w:val="TableText"/>
              <w:ind w:left="285"/>
              <w:spacing w:before="154" w:line="183" w:lineRule="auto"/>
              <w:rPr/>
            </w:pPr>
            <w:r>
              <w:rPr>
                <w:spacing w:val="-2"/>
              </w:rPr>
              <w:t>600589</w:t>
            </w:r>
          </w:p>
        </w:tc>
        <w:tc>
          <w:tcPr>
            <w:shd w:val="clear" w:fill="F1DBDB"/>
            <w:tcW w:w="1148" w:type="dxa"/>
            <w:vAlign w:val="top"/>
          </w:tcPr>
          <w:p>
            <w:pPr>
              <w:pStyle w:val="TableText"/>
              <w:ind w:left="191"/>
              <w:spacing w:before="90" w:line="219" w:lineRule="auto"/>
              <w:rPr/>
            </w:pPr>
            <w:r>
              <w:rPr>
                <w:spacing w:val="4"/>
              </w:rPr>
              <w:t>*</w:t>
            </w:r>
            <w:r>
              <w:rPr/>
              <w:t>ST</w:t>
            </w:r>
            <w:r>
              <w:rPr>
                <w:spacing w:val="4"/>
              </w:rPr>
              <w:t>榕泰</w:t>
            </w:r>
          </w:p>
        </w:tc>
        <w:tc>
          <w:tcPr>
            <w:shd w:val="clear" w:fill="F1DBDB"/>
            <w:tcW w:w="1298" w:type="dxa"/>
            <w:vAlign w:val="top"/>
          </w:tcPr>
          <w:p>
            <w:pPr>
              <w:pStyle w:val="TableText"/>
              <w:ind w:left="223"/>
              <w:spacing w:before="90" w:line="219" w:lineRule="auto"/>
              <w:rPr/>
            </w:pPr>
            <w:r>
              <w:rPr>
                <w:spacing w:val="-2"/>
              </w:rPr>
              <w:t>监管警示</w:t>
            </w:r>
          </w:p>
        </w:tc>
        <w:tc>
          <w:tcPr>
            <w:shd w:val="clear" w:fill="F1DBDB"/>
            <w:tcW w:w="4699" w:type="dxa"/>
            <w:vAlign w:val="top"/>
          </w:tcPr>
          <w:p>
            <w:pPr>
              <w:pStyle w:val="TableText"/>
              <w:ind w:left="15" w:right="30"/>
              <w:spacing w:before="109" w:line="283" w:lineRule="auto"/>
              <w:jc w:val="both"/>
              <w:rPr/>
            </w:pPr>
            <w:r>
              <w:rPr>
                <w:spacing w:val="1"/>
              </w:rPr>
              <w:t>关联交易及非经营性资金占用未在2021年半</w:t>
            </w:r>
            <w:r>
              <w:rPr/>
              <w:t>年报中 </w:t>
            </w:r>
            <w:r>
              <w:rPr/>
              <w:t>披露，存在重大遗漏，相关披露存在</w:t>
            </w:r>
            <w:r>
              <w:rPr>
                <w:b/>
                <w:bCs/>
              </w:rPr>
              <w:t>虚假记载</w:t>
            </w:r>
            <w:r>
              <w:rPr/>
              <w:t>的情 </w:t>
            </w:r>
            <w:r>
              <w:rPr>
                <w:spacing w:val="-2"/>
              </w:rPr>
              <w:t>形。</w:t>
            </w:r>
          </w:p>
        </w:tc>
      </w:tr>
      <w:tr>
        <w:trPr>
          <w:trHeight w:val="718" w:hRule="atLeast"/>
        </w:trPr>
        <w:tc>
          <w:tcPr>
            <w:tcW w:w="1214" w:type="dxa"/>
            <w:vAlign w:val="top"/>
          </w:tcPr>
          <w:p>
            <w:pPr>
              <w:pStyle w:val="TableText"/>
              <w:ind w:left="285"/>
              <w:spacing w:before="166" w:line="184" w:lineRule="auto"/>
              <w:rPr/>
            </w:pPr>
            <w:r>
              <w:rPr>
                <w:spacing w:val="-2"/>
              </w:rPr>
              <w:t>601801</w:t>
            </w:r>
          </w:p>
        </w:tc>
        <w:tc>
          <w:tcPr>
            <w:tcW w:w="1148" w:type="dxa"/>
            <w:vAlign w:val="top"/>
          </w:tcPr>
          <w:p>
            <w:pPr>
              <w:pStyle w:val="TableText"/>
              <w:ind w:left="141"/>
              <w:spacing w:before="92" w:line="219" w:lineRule="auto"/>
              <w:rPr/>
            </w:pPr>
            <w:r>
              <w:rPr>
                <w:spacing w:val="2"/>
              </w:rPr>
              <w:t>皖新传媒</w:t>
            </w:r>
          </w:p>
        </w:tc>
        <w:tc>
          <w:tcPr>
            <w:tcW w:w="1298" w:type="dxa"/>
            <w:vAlign w:val="top"/>
          </w:tcPr>
          <w:p>
            <w:pPr>
              <w:pStyle w:val="TableText"/>
              <w:ind w:left="223"/>
              <w:spacing w:before="103" w:line="219" w:lineRule="auto"/>
              <w:rPr/>
            </w:pPr>
            <w:r>
              <w:rPr>
                <w:spacing w:val="-2"/>
              </w:rPr>
              <w:t>监管警示</w:t>
            </w:r>
          </w:p>
        </w:tc>
        <w:tc>
          <w:tcPr>
            <w:tcW w:w="4699" w:type="dxa"/>
            <w:vAlign w:val="top"/>
          </w:tcPr>
          <w:p>
            <w:pPr>
              <w:pStyle w:val="TableText"/>
              <w:ind w:left="15" w:right="264"/>
              <w:spacing w:before="90" w:line="267" w:lineRule="auto"/>
              <w:rPr/>
            </w:pPr>
            <w:r>
              <w:rPr>
                <w:spacing w:val="-1"/>
              </w:rPr>
              <w:t>公司2020年、2021年</w:t>
            </w:r>
            <w:r>
              <w:rPr>
                <w:b/>
                <w:bCs/>
                <w:spacing w:val="-1"/>
              </w:rPr>
              <w:t>财务数据披露有误</w:t>
            </w:r>
            <w:r>
              <w:rPr>
                <w:spacing w:val="-1"/>
              </w:rPr>
              <w:t>，财务管</w:t>
            </w:r>
            <w:r>
              <w:rPr>
                <w:spacing w:val="6"/>
              </w:rPr>
              <w:t xml:space="preserve"> </w:t>
            </w:r>
            <w:r>
              <w:rPr>
                <w:spacing w:val="-1"/>
              </w:rPr>
              <w:t>理不规范。</w:t>
            </w:r>
          </w:p>
        </w:tc>
      </w:tr>
      <w:tr>
        <w:trPr>
          <w:trHeight w:val="369" w:hRule="atLeast"/>
        </w:trPr>
        <w:tc>
          <w:tcPr>
            <w:shd w:val="clear" w:fill="F2DCDC"/>
            <w:tcW w:w="1214" w:type="dxa"/>
            <w:vAlign w:val="top"/>
          </w:tcPr>
          <w:p>
            <w:pPr>
              <w:pStyle w:val="TableText"/>
              <w:ind w:left="285"/>
              <w:spacing w:before="139" w:line="183" w:lineRule="auto"/>
              <w:rPr/>
            </w:pPr>
            <w:r>
              <w:rPr>
                <w:spacing w:val="-2"/>
              </w:rPr>
              <w:t>605090</w:t>
            </w:r>
          </w:p>
        </w:tc>
        <w:tc>
          <w:tcPr>
            <w:shd w:val="clear" w:fill="F2DCDC"/>
            <w:tcW w:w="1148" w:type="dxa"/>
            <w:vAlign w:val="top"/>
          </w:tcPr>
          <w:p>
            <w:pPr>
              <w:pStyle w:val="TableText"/>
              <w:ind w:left="141"/>
              <w:spacing w:before="86" w:line="221" w:lineRule="auto"/>
              <w:rPr/>
            </w:pPr>
            <w:r>
              <w:rPr>
                <w:spacing w:val="2"/>
              </w:rPr>
              <w:t>九丰能源</w:t>
            </w:r>
          </w:p>
        </w:tc>
        <w:tc>
          <w:tcPr>
            <w:shd w:val="clear" w:fill="F2DCDC"/>
            <w:tcW w:w="1298" w:type="dxa"/>
            <w:vAlign w:val="top"/>
          </w:tcPr>
          <w:p>
            <w:pPr>
              <w:pStyle w:val="TableText"/>
              <w:ind w:left="223"/>
              <w:spacing w:before="85" w:line="219" w:lineRule="auto"/>
              <w:rPr/>
            </w:pPr>
            <w:r>
              <w:rPr>
                <w:spacing w:val="-2"/>
              </w:rPr>
              <w:t>监管警示</w:t>
            </w:r>
          </w:p>
        </w:tc>
        <w:tc>
          <w:tcPr>
            <w:shd w:val="clear" w:fill="F1DBDB"/>
            <w:tcW w:w="4699" w:type="dxa"/>
            <w:vAlign w:val="top"/>
          </w:tcPr>
          <w:p>
            <w:pPr>
              <w:pStyle w:val="TableText"/>
              <w:ind w:left="15"/>
              <w:spacing w:before="82" w:line="219" w:lineRule="auto"/>
              <w:rPr/>
            </w:pPr>
            <w:r>
              <w:rPr>
                <w:spacing w:val="-2"/>
              </w:rPr>
              <w:t>时任副总经理配偶</w:t>
            </w:r>
            <w:r>
              <w:rPr>
                <w:b/>
                <w:bCs/>
                <w:spacing w:val="-2"/>
              </w:rPr>
              <w:t>短线交易。</w:t>
            </w:r>
          </w:p>
        </w:tc>
      </w:tr>
      <w:tr>
        <w:trPr>
          <w:trHeight w:val="1077" w:hRule="atLeast"/>
        </w:trPr>
        <w:tc>
          <w:tcPr>
            <w:tcW w:w="1214" w:type="dxa"/>
            <w:vAlign w:val="top"/>
          </w:tcPr>
          <w:p>
            <w:pPr>
              <w:pStyle w:val="TableText"/>
              <w:ind w:left="285"/>
              <w:spacing w:before="160" w:line="183" w:lineRule="auto"/>
              <w:rPr/>
            </w:pPr>
            <w:r>
              <w:rPr>
                <w:spacing w:val="-2"/>
              </w:rPr>
              <w:t>600052</w:t>
            </w:r>
          </w:p>
        </w:tc>
        <w:tc>
          <w:tcPr>
            <w:tcW w:w="1148" w:type="dxa"/>
            <w:vAlign w:val="top"/>
          </w:tcPr>
          <w:p>
            <w:pPr>
              <w:pStyle w:val="TableText"/>
              <w:ind w:left="141"/>
              <w:spacing w:before="106" w:line="219" w:lineRule="auto"/>
              <w:rPr/>
            </w:pPr>
            <w:r>
              <w:rPr>
                <w:spacing w:val="2"/>
              </w:rPr>
              <w:t>东望时代</w:t>
            </w:r>
          </w:p>
        </w:tc>
        <w:tc>
          <w:tcPr>
            <w:tcW w:w="1298" w:type="dxa"/>
            <w:vAlign w:val="top"/>
          </w:tcPr>
          <w:p>
            <w:pPr>
              <w:pStyle w:val="TableText"/>
              <w:ind w:left="223"/>
              <w:spacing w:before="106" w:line="219" w:lineRule="auto"/>
              <w:rPr/>
            </w:pPr>
            <w:r>
              <w:rPr>
                <w:spacing w:val="-2"/>
              </w:rPr>
              <w:t>监管警示</w:t>
            </w:r>
          </w:p>
        </w:tc>
        <w:tc>
          <w:tcPr>
            <w:tcW w:w="4699" w:type="dxa"/>
            <w:vAlign w:val="top"/>
          </w:tcPr>
          <w:p>
            <w:pPr>
              <w:pStyle w:val="TableText"/>
              <w:ind w:left="15" w:right="25"/>
              <w:spacing w:before="104" w:line="282" w:lineRule="auto"/>
              <w:jc w:val="both"/>
              <w:rPr/>
            </w:pPr>
            <w:r>
              <w:rPr>
                <w:spacing w:val="-1"/>
              </w:rPr>
              <w:t>公司</w:t>
            </w:r>
            <w:r>
              <w:rPr>
                <w:b/>
                <w:bCs/>
                <w:spacing w:val="-1"/>
              </w:rPr>
              <w:t>重大资产交易信息</w:t>
            </w:r>
            <w:r>
              <w:rPr>
                <w:spacing w:val="-1"/>
              </w:rPr>
              <w:t>披露不完整，未按规定及时</w:t>
            </w:r>
            <w:r>
              <w:rPr>
                <w:spacing w:val="15"/>
              </w:rPr>
              <w:t xml:space="preserve"> </w:t>
            </w:r>
            <w:r>
              <w:rPr>
                <w:spacing w:val="1"/>
              </w:rPr>
              <w:t>披露由资产评估机构出具的资产评估报告，损害了</w:t>
            </w:r>
            <w:r>
              <w:rPr>
                <w:spacing w:val="4"/>
              </w:rPr>
              <w:t xml:space="preserve"> </w:t>
            </w:r>
            <w:r>
              <w:rPr>
                <w:spacing w:val="-1"/>
              </w:rPr>
              <w:t>投资者的知情权。</w:t>
            </w:r>
          </w:p>
        </w:tc>
      </w:tr>
      <w:tr>
        <w:trPr>
          <w:trHeight w:val="858" w:hRule="atLeast"/>
        </w:trPr>
        <w:tc>
          <w:tcPr>
            <w:shd w:val="clear" w:fill="F1DBDB"/>
            <w:tcW w:w="1214" w:type="dxa"/>
            <w:vAlign w:val="top"/>
          </w:tcPr>
          <w:p>
            <w:pPr>
              <w:pStyle w:val="TableText"/>
              <w:ind w:left="285"/>
              <w:spacing w:before="173" w:line="183" w:lineRule="auto"/>
              <w:rPr/>
            </w:pPr>
            <w:r>
              <w:rPr>
                <w:spacing w:val="-2"/>
              </w:rPr>
              <w:t>603895</w:t>
            </w:r>
          </w:p>
        </w:tc>
        <w:tc>
          <w:tcPr>
            <w:shd w:val="clear" w:fill="F1DBDB"/>
            <w:tcW w:w="1148" w:type="dxa"/>
            <w:vAlign w:val="top"/>
          </w:tcPr>
          <w:p>
            <w:pPr>
              <w:pStyle w:val="TableText"/>
              <w:ind w:left="141"/>
              <w:spacing w:before="100" w:line="220" w:lineRule="auto"/>
              <w:rPr/>
            </w:pPr>
            <w:r>
              <w:rPr>
                <w:spacing w:val="2"/>
              </w:rPr>
              <w:t>天永智能</w:t>
            </w:r>
          </w:p>
        </w:tc>
        <w:tc>
          <w:tcPr>
            <w:shd w:val="clear" w:fill="F1DBDB"/>
            <w:tcW w:w="1298" w:type="dxa"/>
            <w:vAlign w:val="top"/>
          </w:tcPr>
          <w:p>
            <w:pPr>
              <w:pStyle w:val="TableText"/>
              <w:ind w:left="223"/>
              <w:spacing w:before="99" w:line="219" w:lineRule="auto"/>
              <w:rPr/>
            </w:pPr>
            <w:r>
              <w:rPr>
                <w:spacing w:val="-2"/>
              </w:rPr>
              <w:t>监管警示</w:t>
            </w:r>
          </w:p>
        </w:tc>
        <w:tc>
          <w:tcPr>
            <w:shd w:val="clear" w:fill="F1DBDB"/>
            <w:tcW w:w="4699" w:type="dxa"/>
            <w:vAlign w:val="top"/>
          </w:tcPr>
          <w:p>
            <w:pPr>
              <w:pStyle w:val="TableText"/>
              <w:ind w:left="15" w:right="62" w:firstLine="3"/>
              <w:spacing w:before="117" w:line="266" w:lineRule="auto"/>
              <w:rPr/>
            </w:pPr>
            <w:r>
              <w:rPr>
                <w:b/>
                <w:bCs/>
                <w:spacing w:val="-1"/>
              </w:rPr>
              <w:t>募投项目</w:t>
            </w:r>
            <w:r>
              <w:rPr>
                <w:spacing w:val="-1"/>
              </w:rPr>
              <w:t>相关信息披露不及时、不准确和风险提示</w:t>
            </w:r>
            <w:r>
              <w:rPr/>
              <w:t xml:space="preserve"> </w:t>
            </w:r>
            <w:r>
              <w:rPr>
                <w:spacing w:val="-1"/>
              </w:rPr>
              <w:t>不充分；</w:t>
            </w:r>
            <w:r>
              <w:rPr>
                <w:b/>
                <w:bCs/>
                <w:spacing w:val="-1"/>
              </w:rPr>
              <w:t>半年度报告</w:t>
            </w:r>
            <w:r>
              <w:rPr>
                <w:spacing w:val="-1"/>
              </w:rPr>
              <w:t>信息披露不准确。</w:t>
            </w:r>
          </w:p>
        </w:tc>
      </w:tr>
      <w:tr>
        <w:trPr>
          <w:trHeight w:val="2164" w:hRule="atLeast"/>
        </w:trPr>
        <w:tc>
          <w:tcPr>
            <w:tcW w:w="1214" w:type="dxa"/>
            <w:vAlign w:val="top"/>
          </w:tcPr>
          <w:p>
            <w:pPr>
              <w:pStyle w:val="TableText"/>
              <w:ind w:left="285"/>
              <w:spacing w:before="165" w:line="183" w:lineRule="auto"/>
              <w:rPr/>
            </w:pPr>
            <w:r>
              <w:rPr>
                <w:spacing w:val="-2"/>
              </w:rPr>
              <w:t>603390</w:t>
            </w:r>
          </w:p>
        </w:tc>
        <w:tc>
          <w:tcPr>
            <w:tcW w:w="1148" w:type="dxa"/>
            <w:vAlign w:val="top"/>
          </w:tcPr>
          <w:p>
            <w:pPr>
              <w:pStyle w:val="TableText"/>
              <w:ind w:left="141"/>
              <w:spacing w:before="112" w:line="221" w:lineRule="auto"/>
              <w:rPr/>
            </w:pPr>
            <w:r>
              <w:rPr>
                <w:spacing w:val="3"/>
              </w:rPr>
              <w:t>通达电气</w:t>
            </w:r>
          </w:p>
        </w:tc>
        <w:tc>
          <w:tcPr>
            <w:tcW w:w="1298" w:type="dxa"/>
            <w:vAlign w:val="top"/>
          </w:tcPr>
          <w:p>
            <w:pPr>
              <w:pStyle w:val="TableText"/>
              <w:ind w:left="223"/>
              <w:spacing w:before="111" w:line="219" w:lineRule="auto"/>
              <w:rPr/>
            </w:pPr>
            <w:r>
              <w:rPr>
                <w:spacing w:val="-2"/>
              </w:rPr>
              <w:t>通报批评</w:t>
            </w:r>
          </w:p>
        </w:tc>
        <w:tc>
          <w:tcPr>
            <w:tcW w:w="4699" w:type="dxa"/>
            <w:vAlign w:val="top"/>
          </w:tcPr>
          <w:p>
            <w:pPr>
              <w:pStyle w:val="TableText"/>
              <w:ind w:left="15" w:right="15"/>
              <w:spacing w:before="86" w:line="303" w:lineRule="auto"/>
              <w:rPr/>
            </w:pPr>
            <w:r>
              <w:rPr/>
              <w:t>公司在异动公告中未能针对性明确澄清、回应</w:t>
            </w:r>
            <w:r>
              <w:rPr>
                <w:b/>
                <w:bCs/>
              </w:rPr>
              <w:t>市场</w:t>
            </w:r>
            <w:r>
              <w:rPr>
                <w:spacing w:val="4"/>
              </w:rPr>
              <w:t xml:space="preserve"> </w:t>
            </w:r>
            <w:r>
              <w:rPr>
                <w:b/>
                <w:bCs/>
                <w:spacing w:val="-7"/>
              </w:rPr>
              <w:t>传</w:t>
            </w:r>
            <w:r>
              <w:rPr>
                <w:spacing w:val="-7"/>
              </w:rPr>
              <w:t xml:space="preserve"> </w:t>
            </w:r>
            <w:r>
              <w:rPr>
                <w:b/>
                <w:bCs/>
                <w:spacing w:val="-7"/>
              </w:rPr>
              <w:t>闻</w:t>
            </w:r>
            <w:r>
              <w:rPr>
                <w:spacing w:val="-18"/>
              </w:rPr>
              <w:t xml:space="preserve"> </w:t>
            </w:r>
            <w:r>
              <w:rPr>
                <w:b/>
                <w:bCs/>
                <w:spacing w:val="-7"/>
              </w:rPr>
              <w:t>，</w:t>
            </w:r>
            <w:r>
              <w:rPr>
                <w:spacing w:val="-7"/>
              </w:rPr>
              <w:t>澄清公告披露不准确、不完整。同时，公司</w:t>
            </w:r>
            <w:r>
              <w:rPr/>
              <w:t xml:space="preserve"> </w:t>
            </w:r>
            <w:r>
              <w:rPr>
                <w:spacing w:val="-1"/>
              </w:rPr>
              <w:t>在上证e互动平台选择性发布调研会上的部分问题</w:t>
            </w:r>
            <w:r>
              <w:rPr>
                <w:spacing w:val="6"/>
              </w:rPr>
              <w:t xml:space="preserve">  </w:t>
            </w:r>
            <w:r>
              <w:rPr/>
              <w:t>及答复，未及时发布公司不涉及华为汽车链内企业</w:t>
            </w:r>
            <w:r>
              <w:rPr>
                <w:spacing w:val="1"/>
              </w:rPr>
              <w:t xml:space="preserve"> </w:t>
            </w:r>
            <w:r>
              <w:rPr/>
              <w:t>的相关合作或意向合作等重要信息</w:t>
            </w:r>
            <w:r>
              <w:rPr>
                <w:color w:val="003F92"/>
              </w:rPr>
              <w:t>，可</w:t>
            </w:r>
            <w:r>
              <w:rPr/>
              <w:t>能对投资者</w:t>
            </w:r>
            <w:r>
              <w:rPr>
                <w:spacing w:val="18"/>
              </w:rPr>
              <w:t xml:space="preserve"> </w:t>
            </w:r>
            <w:r>
              <w:rPr>
                <w:spacing w:val="-1"/>
              </w:rPr>
              <w:t>造成误导。</w:t>
            </w:r>
          </w:p>
        </w:tc>
      </w:tr>
      <w:tr>
        <w:trPr>
          <w:trHeight w:val="1072" w:hRule="atLeast"/>
        </w:trPr>
        <w:tc>
          <w:tcPr>
            <w:shd w:val="clear" w:fill="F1DBDB"/>
            <w:tcW w:w="1214" w:type="dxa"/>
            <w:vAlign w:val="top"/>
          </w:tcPr>
          <w:p>
            <w:pPr>
              <w:pStyle w:val="TableText"/>
              <w:ind w:left="285"/>
              <w:spacing w:before="171" w:line="183" w:lineRule="auto"/>
              <w:rPr/>
            </w:pPr>
            <w:r>
              <w:rPr>
                <w:spacing w:val="-2"/>
              </w:rPr>
              <w:t>688788</w:t>
            </w:r>
          </w:p>
        </w:tc>
        <w:tc>
          <w:tcPr>
            <w:shd w:val="clear" w:fill="F1DBDB"/>
            <w:tcW w:w="1148" w:type="dxa"/>
            <w:vAlign w:val="top"/>
          </w:tcPr>
          <w:p>
            <w:pPr>
              <w:pStyle w:val="TableText"/>
              <w:ind w:left="141"/>
              <w:spacing w:before="116" w:line="219" w:lineRule="auto"/>
              <w:rPr/>
            </w:pPr>
            <w:r>
              <w:rPr>
                <w:spacing w:val="-2"/>
              </w:rPr>
              <w:t>科思科技</w:t>
            </w:r>
          </w:p>
        </w:tc>
        <w:tc>
          <w:tcPr>
            <w:shd w:val="clear" w:fill="F1DBDB"/>
            <w:tcW w:w="1298" w:type="dxa"/>
            <w:vAlign w:val="top"/>
          </w:tcPr>
          <w:p>
            <w:pPr>
              <w:pStyle w:val="TableText"/>
              <w:ind w:left="223"/>
              <w:spacing w:before="117" w:line="219" w:lineRule="auto"/>
              <w:rPr/>
            </w:pPr>
            <w:r>
              <w:rPr>
                <w:spacing w:val="-2"/>
              </w:rPr>
              <w:t>监管警示</w:t>
            </w:r>
          </w:p>
        </w:tc>
        <w:tc>
          <w:tcPr>
            <w:shd w:val="clear" w:fill="F1DBDB"/>
            <w:tcW w:w="4699" w:type="dxa"/>
            <w:vAlign w:val="top"/>
          </w:tcPr>
          <w:p>
            <w:pPr>
              <w:pStyle w:val="TableText"/>
              <w:ind w:left="15" w:right="41"/>
              <w:spacing w:before="123" w:line="275" w:lineRule="auto"/>
              <w:jc w:val="both"/>
              <w:rPr/>
            </w:pPr>
            <w:r>
              <w:rPr>
                <w:spacing w:val="-1"/>
              </w:rPr>
              <w:t>公司未对2022年度</w:t>
            </w:r>
            <w:r>
              <w:rPr>
                <w:b/>
                <w:bCs/>
                <w:spacing w:val="-1"/>
              </w:rPr>
              <w:t>计提大额减值事项</w:t>
            </w:r>
            <w:r>
              <w:rPr>
                <w:spacing w:val="-1"/>
              </w:rPr>
              <w:t>单独履行临时</w:t>
            </w:r>
            <w:r>
              <w:rPr>
                <w:spacing w:val="17"/>
              </w:rPr>
              <w:t xml:space="preserve"> </w:t>
            </w:r>
            <w:r>
              <w:rPr/>
              <w:t>公告义务、2021年业绩快报内幕信息知情人档案存</w:t>
            </w:r>
            <w:r>
              <w:rPr>
                <w:spacing w:val="8"/>
              </w:rPr>
              <w:t xml:space="preserve"> </w:t>
            </w:r>
            <w:r>
              <w:rPr>
                <w:b/>
                <w:bCs/>
                <w:spacing w:val="-10"/>
              </w:rPr>
              <w:t>在遗漏登记法定知悉人员</w:t>
            </w:r>
            <w:r>
              <w:rPr>
                <w:spacing w:val="-10"/>
              </w:rPr>
              <w:t>情</w:t>
            </w:r>
            <w:r>
              <w:rPr>
                <w:spacing w:val="-28"/>
              </w:rPr>
              <w:t xml:space="preserve"> </w:t>
            </w:r>
            <w:r>
              <w:rPr>
                <w:spacing w:val="-10"/>
              </w:rPr>
              <w:t>形</w:t>
            </w:r>
            <w:r>
              <w:rPr>
                <w:spacing w:val="-42"/>
              </w:rPr>
              <w:t xml:space="preserve"> </w:t>
            </w:r>
            <w:r>
              <w:rPr>
                <w:spacing w:val="-10"/>
              </w:rPr>
              <w:t>。</w:t>
            </w:r>
          </w:p>
        </w:tc>
      </w:tr>
    </w:tbl>
    <w:p>
      <w:pPr>
        <w:pStyle w:val="BodyText"/>
        <w:spacing w:line="14" w:lineRule="auto"/>
        <w:rPr>
          <w:sz w:val="2"/>
        </w:rPr>
      </w:pPr>
      <w:r/>
    </w:p>
    <w:p>
      <w:pPr>
        <w:spacing w:line="14" w:lineRule="auto"/>
        <w:sectPr>
          <w:pgSz w:w="11910" w:h="16840"/>
          <w:pgMar w:top="369" w:right="487" w:bottom="275" w:left="409" w:header="0" w:footer="0" w:gutter="0"/>
        </w:sectPr>
        <w:rPr>
          <w:sz w:val="2"/>
          <w:szCs w:val="2"/>
        </w:rPr>
      </w:pPr>
    </w:p>
    <w:tbl>
      <w:tblPr>
        <w:tblStyle w:val="TableNormal"/>
        <w:tblW w:w="8370" w:type="dxa"/>
        <w:tblInd w:w="1659" w:type="dxa"/>
        <w:tblLayout w:type="fixed"/>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Pr>
      <w:tblGrid>
        <w:gridCol w:w="1215"/>
        <w:gridCol w:w="1151"/>
        <w:gridCol w:w="1296"/>
        <w:gridCol w:w="4708"/>
      </w:tblGrid>
      <w:tr>
        <w:trPr>
          <w:trHeight w:val="462" w:hRule="atLeast"/>
        </w:trPr>
        <w:tc>
          <w:tcPr>
            <w:shd w:val="clear" w:fill="C0504D"/>
            <w:tcW w:w="1215" w:type="dxa"/>
            <w:vAlign w:val="top"/>
          </w:tcPr>
          <w:p>
            <w:pPr>
              <w:ind w:left="219"/>
              <w:spacing w:before="120" w:line="18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4"/>
              </w:rPr>
              <w:t>公司代码</w:t>
            </w:r>
          </w:p>
        </w:tc>
        <w:tc>
          <w:tcPr>
            <w:shd w:val="clear" w:fill="C0504D"/>
            <w:tcW w:w="1151" w:type="dxa"/>
            <w:vAlign w:val="top"/>
          </w:tcPr>
          <w:p>
            <w:pPr>
              <w:ind w:left="180"/>
              <w:spacing w:before="120" w:line="18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4"/>
              </w:rPr>
              <w:t>公司简称</w:t>
            </w:r>
          </w:p>
        </w:tc>
        <w:tc>
          <w:tcPr>
            <w:shd w:val="clear" w:fill="C0504D"/>
            <w:tcW w:w="1296" w:type="dxa"/>
            <w:vAlign w:val="top"/>
          </w:tcPr>
          <w:p>
            <w:pPr>
              <w:ind w:left="258"/>
              <w:spacing w:before="122"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9"/>
              </w:rPr>
              <w:t>函件类别</w:t>
            </w:r>
          </w:p>
        </w:tc>
        <w:tc>
          <w:tcPr>
            <w:shd w:val="clear" w:fill="C0504D"/>
            <w:tcW w:w="4708" w:type="dxa"/>
            <w:vAlign w:val="top"/>
          </w:tcPr>
          <w:p>
            <w:pPr>
              <w:ind w:left="2079"/>
              <w:spacing w:before="121" w:line="189"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4"/>
              </w:rPr>
              <w:t>违规类型</w:t>
            </w:r>
          </w:p>
        </w:tc>
      </w:tr>
      <w:tr>
        <w:trPr>
          <w:trHeight w:val="856" w:hRule="atLeast"/>
        </w:trPr>
        <w:tc>
          <w:tcPr>
            <w:tcW w:w="1215" w:type="dxa"/>
            <w:vAlign w:val="top"/>
          </w:tcPr>
          <w:p>
            <w:pPr>
              <w:ind w:left="244"/>
              <w:spacing w:before="101"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600256</w:t>
            </w:r>
          </w:p>
        </w:tc>
        <w:tc>
          <w:tcPr>
            <w:tcW w:w="1151" w:type="dxa"/>
            <w:vAlign w:val="top"/>
          </w:tcPr>
          <w:p>
            <w:pPr>
              <w:ind w:left="150"/>
              <w:spacing w:before="84"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广汇能源</w:t>
            </w:r>
          </w:p>
        </w:tc>
        <w:tc>
          <w:tcPr>
            <w:tcW w:w="1296" w:type="dxa"/>
            <w:vAlign w:val="top"/>
          </w:tcPr>
          <w:p>
            <w:pPr>
              <w:ind w:left="225"/>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监管警示</w:t>
            </w:r>
          </w:p>
        </w:tc>
        <w:tc>
          <w:tcPr>
            <w:tcW w:w="4708" w:type="dxa"/>
            <w:vAlign w:val="top"/>
          </w:tcPr>
          <w:p>
            <w:pPr>
              <w:ind w:left="11"/>
              <w:spacing w:before="85"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时任董事、高级管理人员</w:t>
            </w:r>
            <w:r>
              <w:rPr>
                <w:rFonts w:ascii="Microsoft YaHei" w:hAnsi="Microsoft YaHei" w:eastAsia="Microsoft YaHei" w:cs="Microsoft YaHei"/>
                <w:sz w:val="20"/>
                <w:szCs w:val="20"/>
                <w:b/>
                <w:bCs/>
                <w:spacing w:val="8"/>
              </w:rPr>
              <w:t>短线交易。</w:t>
            </w:r>
          </w:p>
        </w:tc>
      </w:tr>
      <w:tr>
        <w:trPr>
          <w:trHeight w:val="856" w:hRule="atLeast"/>
        </w:trPr>
        <w:tc>
          <w:tcPr>
            <w:shd w:val="clear" w:fill="F2DCDC"/>
            <w:tcW w:w="1215" w:type="dxa"/>
            <w:vAlign w:val="top"/>
          </w:tcPr>
          <w:p>
            <w:pPr>
              <w:ind w:left="244"/>
              <w:spacing w:before="104"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600767</w:t>
            </w:r>
          </w:p>
        </w:tc>
        <w:tc>
          <w:tcPr>
            <w:shd w:val="clear" w:fill="F2DCDC"/>
            <w:tcW w:w="1151" w:type="dxa"/>
            <w:vAlign w:val="top"/>
          </w:tcPr>
          <w:p>
            <w:pPr>
              <w:ind w:left="150"/>
              <w:spacing w:before="87"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退市运盛</w:t>
            </w:r>
          </w:p>
        </w:tc>
        <w:tc>
          <w:tcPr>
            <w:shd w:val="clear" w:fill="F2DCDC"/>
            <w:tcW w:w="1296" w:type="dxa"/>
            <w:vAlign w:val="top"/>
          </w:tcPr>
          <w:p>
            <w:pPr>
              <w:ind w:left="223"/>
              <w:spacing w:before="92"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公开谴责</w:t>
            </w:r>
          </w:p>
        </w:tc>
        <w:tc>
          <w:tcPr>
            <w:shd w:val="clear" w:fill="F2DCDC"/>
            <w:tcW w:w="4708" w:type="dxa"/>
            <w:vAlign w:val="top"/>
          </w:tcPr>
          <w:p>
            <w:pPr>
              <w:ind w:left="2"/>
              <w:spacing w:before="89"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公司</w:t>
            </w:r>
            <w:r>
              <w:rPr>
                <w:rFonts w:ascii="Microsoft YaHei" w:hAnsi="Microsoft YaHei" w:eastAsia="Microsoft YaHei" w:cs="Microsoft YaHei"/>
                <w:sz w:val="20"/>
                <w:szCs w:val="20"/>
                <w:b/>
                <w:bCs/>
                <w:spacing w:val="7"/>
              </w:rPr>
              <w:t>虚构贸易业务</w:t>
            </w:r>
            <w:r>
              <w:rPr>
                <w:rFonts w:ascii="Microsoft YaHei" w:hAnsi="Microsoft YaHei" w:eastAsia="Microsoft YaHei" w:cs="Microsoft YaHei"/>
                <w:sz w:val="20"/>
                <w:szCs w:val="20"/>
                <w:b/>
                <w:bCs/>
                <w:spacing w:val="-9"/>
              </w:rPr>
              <w:t xml:space="preserve"> </w:t>
            </w:r>
            <w:r>
              <w:rPr>
                <w:rFonts w:ascii="Microsoft YaHei" w:hAnsi="Microsoft YaHei" w:eastAsia="Microsoft YaHei" w:cs="Microsoft YaHei"/>
                <w:sz w:val="20"/>
                <w:szCs w:val="20"/>
                <w:spacing w:val="7"/>
              </w:rPr>
              <w:t>，相关定期报告存在虚假记载。</w:t>
            </w:r>
          </w:p>
        </w:tc>
      </w:tr>
      <w:tr>
        <w:trPr>
          <w:trHeight w:val="1090" w:hRule="atLeast"/>
        </w:trPr>
        <w:tc>
          <w:tcPr>
            <w:tcW w:w="1215" w:type="dxa"/>
            <w:vAlign w:val="top"/>
          </w:tcPr>
          <w:p>
            <w:pPr>
              <w:ind w:left="244"/>
              <w:spacing w:before="10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600478</w:t>
            </w:r>
          </w:p>
        </w:tc>
        <w:tc>
          <w:tcPr>
            <w:tcW w:w="1151" w:type="dxa"/>
            <w:vAlign w:val="top"/>
          </w:tcPr>
          <w:p>
            <w:pPr>
              <w:ind w:left="253"/>
              <w:spacing w:before="93"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科力远</w:t>
            </w:r>
          </w:p>
        </w:tc>
        <w:tc>
          <w:tcPr>
            <w:tcW w:w="1296" w:type="dxa"/>
            <w:vAlign w:val="top"/>
          </w:tcPr>
          <w:p>
            <w:pPr>
              <w:ind w:left="223"/>
              <w:spacing w:before="94"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公开谴责</w:t>
            </w:r>
          </w:p>
        </w:tc>
        <w:tc>
          <w:tcPr>
            <w:tcW w:w="4708" w:type="dxa"/>
            <w:vAlign w:val="top"/>
          </w:tcPr>
          <w:p>
            <w:pPr>
              <w:ind w:left="3" w:right="80" w:hanging="1"/>
              <w:spacing w:before="46" w:line="24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股东</w:t>
            </w:r>
            <w:r>
              <w:rPr>
                <w:rFonts w:ascii="Microsoft YaHei" w:hAnsi="Microsoft YaHei" w:eastAsia="Microsoft YaHei" w:cs="Microsoft YaHei"/>
                <w:sz w:val="20"/>
                <w:szCs w:val="20"/>
                <w:b/>
                <w:bCs/>
                <w:spacing w:val="8"/>
              </w:rPr>
              <w:t>权益变动达5%后</w:t>
            </w:r>
            <w:r>
              <w:rPr>
                <w:rFonts w:ascii="Microsoft YaHei" w:hAnsi="Microsoft YaHei" w:eastAsia="Microsoft YaHei" w:cs="Microsoft YaHei"/>
                <w:sz w:val="20"/>
                <w:szCs w:val="20"/>
                <w:spacing w:val="8"/>
              </w:rPr>
              <w:t>未按规定及时停止买卖股票  </w:t>
            </w:r>
            <w:r>
              <w:rPr>
                <w:rFonts w:ascii="Microsoft YaHei" w:hAnsi="Microsoft YaHei" w:eastAsia="Microsoft YaHei" w:cs="Microsoft YaHei"/>
                <w:sz w:val="20"/>
                <w:szCs w:val="20"/>
                <w:spacing w:val="8"/>
              </w:rPr>
              <w:t>并履行权益变动披露义务</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8"/>
              </w:rPr>
              <w:t>，而是在限制期内继续买</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卖科力远、浙海德曼股票。</w:t>
            </w:r>
          </w:p>
        </w:tc>
      </w:tr>
    </w:tbl>
    <w:p>
      <w:pPr>
        <w:ind w:left="448"/>
        <w:spacing w:before="71"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6"/>
        </w:rPr>
        <w:t>（</w:t>
      </w:r>
      <w:r>
        <w:rPr>
          <w:rFonts w:ascii="Microsoft YaHei" w:hAnsi="Microsoft YaHei" w:eastAsia="Microsoft YaHei" w:cs="Microsoft YaHei"/>
          <w:sz w:val="24"/>
          <w:szCs w:val="24"/>
          <w:b/>
          <w:bCs/>
          <w:color w:val="333333"/>
          <w:spacing w:val="-12"/>
        </w:rPr>
        <w:t xml:space="preserve"> </w:t>
      </w:r>
      <w:r>
        <w:rPr>
          <w:rFonts w:ascii="Microsoft YaHei" w:hAnsi="Microsoft YaHei" w:eastAsia="Microsoft YaHei" w:cs="Microsoft YaHei"/>
          <w:sz w:val="24"/>
          <w:szCs w:val="24"/>
          <w:b/>
          <w:bCs/>
          <w:color w:val="333333"/>
          <w:spacing w:val="-16"/>
        </w:rPr>
        <w:t>2</w:t>
      </w:r>
      <w:r>
        <w:rPr>
          <w:rFonts w:ascii="Microsoft YaHei" w:hAnsi="Microsoft YaHei" w:eastAsia="Microsoft YaHei" w:cs="Microsoft YaHei"/>
          <w:sz w:val="24"/>
          <w:szCs w:val="24"/>
          <w:b/>
          <w:bCs/>
          <w:color w:val="333333"/>
          <w:spacing w:val="-14"/>
        </w:rPr>
        <w:t xml:space="preserve"> </w:t>
      </w:r>
      <w:r>
        <w:rPr>
          <w:rFonts w:ascii="Microsoft YaHei" w:hAnsi="Microsoft YaHei" w:eastAsia="Microsoft YaHei" w:cs="Microsoft YaHei"/>
          <w:sz w:val="24"/>
          <w:szCs w:val="24"/>
          <w:b/>
          <w:bCs/>
          <w:color w:val="333333"/>
          <w:spacing w:val="-16"/>
        </w:rPr>
        <w:t>）函件统计</w:t>
      </w:r>
    </w:p>
    <w:p>
      <w:pPr>
        <w:ind w:left="460"/>
        <w:spacing w:before="293"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2024年1月22日-1月28日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，上交</w:t>
      </w:r>
      <w:r>
        <w:rPr>
          <w:rFonts w:ascii="Microsoft YaHei" w:hAnsi="Microsoft YaHei" w:eastAsia="Microsoft YaHei" w:cs="Microsoft YaHei"/>
          <w:sz w:val="22"/>
          <w:szCs w:val="22"/>
          <w:spacing w:val="-4"/>
        </w:rPr>
        <w:t>所发出3份监管问询函。</w:t>
      </w:r>
    </w:p>
    <w:p>
      <w:pPr>
        <w:spacing w:before="8"/>
        <w:rPr/>
      </w:pPr>
      <w:r/>
    </w:p>
    <w:tbl>
      <w:tblPr>
        <w:tblStyle w:val="TableNormal"/>
        <w:tblW w:w="8462" w:type="dxa"/>
        <w:tblInd w:w="1590" w:type="dxa"/>
        <w:tblLayout w:type="fixed"/>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Pr>
      <w:tblGrid>
        <w:gridCol w:w="1618"/>
        <w:gridCol w:w="1731"/>
        <w:gridCol w:w="5113"/>
      </w:tblGrid>
      <w:tr>
        <w:trPr>
          <w:trHeight w:val="386" w:hRule="atLeast"/>
        </w:trPr>
        <w:tc>
          <w:tcPr>
            <w:shd w:val="clear" w:fill="C0504D"/>
            <w:tcW w:w="1618" w:type="dxa"/>
            <w:vAlign w:val="top"/>
            <w:tcBorders>
              <w:bottom w:val="single" w:color="C0504D" w:sz="8" w:space="0"/>
            </w:tcBorders>
          </w:tcPr>
          <w:p>
            <w:pPr>
              <w:ind w:left="497"/>
              <w:spacing w:before="120"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4"/>
              </w:rPr>
              <w:t>公司代码</w:t>
            </w:r>
          </w:p>
        </w:tc>
        <w:tc>
          <w:tcPr>
            <w:shd w:val="clear" w:fill="C0504D"/>
            <w:tcW w:w="1731" w:type="dxa"/>
            <w:vAlign w:val="top"/>
            <w:tcBorders>
              <w:bottom w:val="single" w:color="C0504D" w:sz="8" w:space="0"/>
            </w:tcBorders>
          </w:tcPr>
          <w:p>
            <w:pPr>
              <w:ind w:left="535"/>
              <w:spacing w:before="120" w:line="188"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14"/>
              </w:rPr>
              <w:t>公司简称</w:t>
            </w:r>
          </w:p>
        </w:tc>
        <w:tc>
          <w:tcPr>
            <w:shd w:val="clear" w:fill="C0504D"/>
            <w:tcW w:w="5113" w:type="dxa"/>
            <w:vAlign w:val="top"/>
            <w:tcBorders>
              <w:bottom w:val="single" w:color="C0504D" w:sz="8" w:space="0"/>
            </w:tcBorders>
          </w:tcPr>
          <w:p>
            <w:pPr>
              <w:ind w:left="2152"/>
              <w:spacing w:before="121" w:line="187" w:lineRule="auto"/>
              <w:rPr>
                <w:rFonts w:ascii="Microsoft YaHei" w:hAnsi="Microsoft YaHei" w:eastAsia="Microsoft YaHei" w:cs="Microsoft YaHei"/>
                <w:sz w:val="19"/>
                <w:szCs w:val="19"/>
              </w:rPr>
            </w:pPr>
            <w:r>
              <w:rPr>
                <w:rFonts w:ascii="Microsoft YaHei" w:hAnsi="Microsoft YaHei" w:eastAsia="Microsoft YaHei" w:cs="Microsoft YaHei"/>
                <w:sz w:val="19"/>
                <w:szCs w:val="19"/>
                <w:b/>
                <w:bCs/>
                <w:color w:val="FFFFFF"/>
                <w:spacing w:val="9"/>
              </w:rPr>
              <w:t>函件类型</w:t>
            </w:r>
          </w:p>
        </w:tc>
      </w:tr>
      <w:tr>
        <w:trPr>
          <w:trHeight w:val="365" w:hRule="atLeast"/>
        </w:trPr>
        <w:tc>
          <w:tcPr>
            <w:tcW w:w="1618" w:type="dxa"/>
            <w:vAlign w:val="top"/>
            <w:tcBorders>
              <w:bottom w:val="single" w:color="C0504D" w:sz="8" w:space="0"/>
              <w:top w:val="single" w:color="C0504D" w:sz="8" w:space="0"/>
            </w:tcBorders>
          </w:tcPr>
          <w:p>
            <w:pPr>
              <w:ind w:left="445"/>
              <w:spacing w:before="97"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600355</w:t>
            </w:r>
          </w:p>
        </w:tc>
        <w:tc>
          <w:tcPr>
            <w:tcW w:w="1731" w:type="dxa"/>
            <w:vAlign w:val="top"/>
            <w:tcBorders>
              <w:bottom w:val="single" w:color="C0504D" w:sz="8" w:space="0"/>
              <w:top w:val="single" w:color="C0504D" w:sz="8" w:space="0"/>
            </w:tcBorders>
          </w:tcPr>
          <w:p>
            <w:pPr>
              <w:ind w:left="439"/>
              <w:spacing w:before="83"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精伦电子</w:t>
            </w:r>
          </w:p>
        </w:tc>
        <w:tc>
          <w:tcPr>
            <w:tcW w:w="5113" w:type="dxa"/>
            <w:vAlign w:val="top"/>
            <w:tcBorders>
              <w:bottom w:val="single" w:color="C0504D" w:sz="8" w:space="0"/>
              <w:top w:val="single" w:color="C0504D" w:sz="8" w:space="0"/>
            </w:tcBorders>
          </w:tcPr>
          <w:p>
            <w:pPr>
              <w:ind w:left="2249"/>
              <w:spacing w:before="82"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4"/>
              </w:rPr>
              <w:t>问询函</w:t>
            </w:r>
          </w:p>
        </w:tc>
      </w:tr>
      <w:tr>
        <w:trPr>
          <w:trHeight w:val="365" w:hRule="atLeast"/>
        </w:trPr>
        <w:tc>
          <w:tcPr>
            <w:shd w:val="clear" w:fill="F2DCDC"/>
            <w:tcW w:w="1618" w:type="dxa"/>
            <w:vAlign w:val="top"/>
            <w:tcBorders>
              <w:bottom w:val="single" w:color="C0504D" w:sz="8" w:space="0"/>
              <w:top w:val="single" w:color="C0504D" w:sz="8" w:space="0"/>
            </w:tcBorders>
          </w:tcPr>
          <w:p>
            <w:pPr>
              <w:ind w:left="445"/>
              <w:spacing w:before="97"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688102</w:t>
            </w:r>
          </w:p>
        </w:tc>
        <w:tc>
          <w:tcPr>
            <w:shd w:val="clear" w:fill="F2DCDC"/>
            <w:tcW w:w="1731" w:type="dxa"/>
            <w:vAlign w:val="top"/>
            <w:tcBorders>
              <w:bottom w:val="single" w:color="C0504D" w:sz="8" w:space="0"/>
              <w:top w:val="single" w:color="C0504D" w:sz="8" w:space="0"/>
            </w:tcBorders>
          </w:tcPr>
          <w:p>
            <w:pPr>
              <w:ind w:left="440"/>
              <w:spacing w:before="83"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斯瑞新材</w:t>
            </w:r>
          </w:p>
        </w:tc>
        <w:tc>
          <w:tcPr>
            <w:shd w:val="clear" w:fill="F2DCDC"/>
            <w:tcW w:w="5113" w:type="dxa"/>
            <w:vAlign w:val="top"/>
            <w:tcBorders>
              <w:bottom w:val="single" w:color="C0504D" w:sz="8" w:space="0"/>
              <w:top w:val="single" w:color="C0504D" w:sz="8" w:space="0"/>
            </w:tcBorders>
          </w:tcPr>
          <w:p>
            <w:pPr>
              <w:ind w:left="2249"/>
              <w:spacing w:before="83"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4"/>
              </w:rPr>
              <w:t>问询函</w:t>
            </w:r>
          </w:p>
        </w:tc>
      </w:tr>
      <w:tr>
        <w:trPr>
          <w:trHeight w:val="367" w:hRule="atLeast"/>
        </w:trPr>
        <w:tc>
          <w:tcPr>
            <w:tcW w:w="1618" w:type="dxa"/>
            <w:vAlign w:val="top"/>
            <w:tcBorders>
              <w:top w:val="single" w:color="C0504D" w:sz="8" w:space="0"/>
            </w:tcBorders>
          </w:tcPr>
          <w:p>
            <w:pPr>
              <w:ind w:left="445"/>
              <w:spacing w:before="102"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603958</w:t>
            </w:r>
          </w:p>
        </w:tc>
        <w:tc>
          <w:tcPr>
            <w:tcW w:w="1731" w:type="dxa"/>
            <w:vAlign w:val="top"/>
            <w:tcBorders>
              <w:top w:val="single" w:color="C0504D" w:sz="8" w:space="0"/>
            </w:tcBorders>
          </w:tcPr>
          <w:p>
            <w:pPr>
              <w:ind w:left="451"/>
              <w:spacing w:before="89"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哈森股份</w:t>
            </w:r>
          </w:p>
        </w:tc>
        <w:tc>
          <w:tcPr>
            <w:tcW w:w="5113" w:type="dxa"/>
            <w:vAlign w:val="top"/>
            <w:tcBorders>
              <w:top w:val="single" w:color="C0504D" w:sz="8" w:space="0"/>
            </w:tcBorders>
          </w:tcPr>
          <w:p>
            <w:pPr>
              <w:ind w:left="1189"/>
              <w:spacing w:before="85"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重大资产重组预案审核意见函</w:t>
            </w:r>
          </w:p>
        </w:tc>
      </w:tr>
    </w:tbl>
    <w:p>
      <w:pPr>
        <w:pStyle w:val="BodyText"/>
        <w:spacing w:line="275" w:lineRule="auto"/>
        <w:rPr/>
      </w:pPr>
      <w:r/>
    </w:p>
    <w:p>
      <w:pPr>
        <w:ind w:left="46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2、市场交易监管</w:t>
      </w:r>
    </w:p>
    <w:p>
      <w:pPr>
        <w:pStyle w:val="BodyText"/>
        <w:spacing w:line="265" w:lineRule="auto"/>
        <w:rPr/>
      </w:pPr>
      <w:r/>
    </w:p>
    <w:p>
      <w:pPr>
        <w:ind w:firstLine="460"/>
        <w:spacing w:before="95"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rPr>
        <w:t>2024年1月22日-1月28日</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1"/>
        </w:rPr>
        <w:t>，上交所对易方达MSCI美国50ETF等</w:t>
      </w:r>
      <w:r>
        <w:rPr>
          <w:rFonts w:ascii="Microsoft YaHei" w:hAnsi="Microsoft YaHei" w:eastAsia="Microsoft YaHei" w:cs="Microsoft YaHei"/>
          <w:sz w:val="22"/>
          <w:szCs w:val="22"/>
          <w:spacing w:val="-2"/>
        </w:rPr>
        <w:t>溢价较高的基金进行重点监控</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，对83起拉抬打</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压、虚假申报等证券异常交易行为采取了书面警示等监管措施</w:t>
      </w:r>
      <w:r>
        <w:rPr>
          <w:rFonts w:ascii="Microsoft YaHei" w:hAnsi="Microsoft YaHei" w:eastAsia="Microsoft YaHei" w:cs="Microsoft YaHei"/>
          <w:sz w:val="22"/>
          <w:szCs w:val="22"/>
          <w:spacing w:val="-21"/>
        </w:rPr>
        <w:t xml:space="preserve"> </w:t>
      </w:r>
      <w:r>
        <w:rPr>
          <w:rFonts w:ascii="Microsoft YaHei" w:hAnsi="Microsoft YaHei" w:eastAsia="Microsoft YaHei" w:cs="Microsoft YaHei"/>
          <w:sz w:val="22"/>
          <w:szCs w:val="22"/>
          <w:spacing w:val="-1"/>
        </w:rPr>
        <w:t>，对14起上市公司重大事项等进行专项核查。</w:t>
      </w:r>
    </w:p>
    <w:p>
      <w:pPr>
        <w:spacing w:line="198" w:lineRule="auto"/>
        <w:sectPr>
          <w:pgSz w:w="11910" w:h="16840"/>
          <w:pgMar w:top="400" w:right="497" w:bottom="400" w:left="445" w:header="0" w:footer="0" w:gutter="0"/>
        </w:sectPr>
        <w:rPr>
          <w:rFonts w:ascii="Microsoft YaHei" w:hAnsi="Microsoft YaHei" w:eastAsia="Microsoft YaHei" w:cs="Microsoft YaHei"/>
          <w:sz w:val="22"/>
          <w:szCs w:val="22"/>
        </w:rPr>
      </w:pPr>
    </w:p>
    <w:p>
      <w:pPr>
        <w:spacing w:line="830" w:lineRule="exact"/>
        <w:rPr/>
      </w:pPr>
      <w:r>
        <w:rPr>
          <w:position w:val="-16"/>
        </w:rPr>
        <w:pict>
          <v:group id="_x0000_s24" style="mso-position-vertical-relative:line;mso-position-horizontal-relative:char;width:134.05pt;height:41.55pt;" filled="false" stroked="false" coordsize="2681,830" coordorigin="0,0">
            <v:shape id="_x0000_s26" style="position:absolute;left:0;top:0;width:2681;height:830;" filled="false" stroked="false" type="#_x0000_t75">
              <v:imagedata o:title="" r:id="rId16"/>
            </v:shape>
            <v:shape id="_x0000_s28" style="position:absolute;left:-20;top:-20;width:2721;height:870;" filled="false" stroked="false" type="#_x0000_t202">
              <v:fill on="false"/>
              <v:stroke on="false"/>
              <v:path/>
              <v:imagedata o:title=""/>
              <o:lock v:ext="edit" aspectratio="false"/>
              <v:textbox inset="0mm,0mm,0mm,0mm">
                <w:txbxContent>
                  <w:p>
                    <w:pPr>
                      <w:ind w:left="384"/>
                      <w:spacing w:before="325" w:line="222" w:lineRule="auto"/>
                      <w:rPr>
                        <w:rFonts w:ascii="SimHei" w:hAnsi="SimHei" w:eastAsia="SimHei" w:cs="SimHei"/>
                        <w:sz w:val="29"/>
                        <w:szCs w:val="29"/>
                      </w:rPr>
                    </w:pPr>
                    <w:r>
                      <w:rPr>
                        <w:rFonts w:ascii="SimHei" w:hAnsi="SimHei" w:eastAsia="SimHei" w:cs="SimHei"/>
                        <w:sz w:val="29"/>
                        <w:szCs w:val="29"/>
                        <w:b/>
                        <w:bCs/>
                        <w:color w:val="FFFFFF"/>
                        <w:spacing w:val="-11"/>
                      </w:rPr>
                      <w:t>深交所监管动态</w:t>
                    </w:r>
                  </w:p>
                </w:txbxContent>
              </v:textbox>
            </v:shape>
          </v:group>
        </w:pict>
      </w:r>
    </w:p>
    <w:p>
      <w:pPr>
        <w:pStyle w:val="BodyText"/>
        <w:spacing w:line="417" w:lineRule="auto"/>
        <w:rPr/>
      </w:pPr>
      <w:r/>
    </w:p>
    <w:p>
      <w:pPr>
        <w:ind w:left="973"/>
        <w:spacing w:before="75" w:line="222" w:lineRule="auto"/>
        <w:outlineLvl w:val="1"/>
        <w:rPr>
          <w:rFonts w:ascii="SimHei" w:hAnsi="SimHei" w:eastAsia="SimHei" w:cs="SimHei"/>
          <w:sz w:val="23"/>
          <w:szCs w:val="23"/>
        </w:rPr>
      </w:pPr>
      <w:r>
        <w:rPr>
          <w:rFonts w:ascii="SimHei" w:hAnsi="SimHei" w:eastAsia="SimHei" w:cs="SimHei"/>
          <w:sz w:val="23"/>
          <w:szCs w:val="23"/>
          <w:b/>
          <w:bCs/>
          <w:spacing w:val="1"/>
        </w:rPr>
        <w:t>1、上市公司监管动态</w:t>
      </w:r>
    </w:p>
    <w:p>
      <w:pPr>
        <w:pStyle w:val="BodyText"/>
        <w:spacing w:line="260" w:lineRule="auto"/>
        <w:rPr/>
      </w:pPr>
      <w:r/>
    </w:p>
    <w:p>
      <w:pPr>
        <w:spacing w:before="74" w:line="213" w:lineRule="auto"/>
        <w:jc w:val="right"/>
        <w:rPr>
          <w:rFonts w:ascii="SimHei" w:hAnsi="SimHei" w:eastAsia="SimHei" w:cs="SimHei"/>
          <w:sz w:val="23"/>
          <w:szCs w:val="23"/>
        </w:rPr>
      </w:pPr>
      <w:r>
        <w:rPr>
          <w:rFonts w:ascii="SimHei" w:hAnsi="SimHei" w:eastAsia="SimHei" w:cs="SimHei"/>
          <w:sz w:val="23"/>
          <w:szCs w:val="23"/>
          <w:spacing w:val="-8"/>
        </w:rPr>
        <w:t>2024年1月22日-1月28日，深交所发出4份监管函，对3宗行为予以纪律处分；共发出关注</w:t>
      </w:r>
      <w:r>
        <w:rPr>
          <w:rFonts w:ascii="SimHei" w:hAnsi="SimHei" w:eastAsia="SimHei" w:cs="SimHei"/>
          <w:sz w:val="23"/>
          <w:szCs w:val="23"/>
          <w:spacing w:val="-9"/>
        </w:rPr>
        <w:t>函4份。</w:t>
      </w:r>
    </w:p>
    <w:p>
      <w:pPr>
        <w:pStyle w:val="BodyText"/>
        <w:spacing w:line="255" w:lineRule="auto"/>
        <w:rPr/>
      </w:pPr>
      <w:r/>
    </w:p>
    <w:p>
      <w:pPr>
        <w:ind w:firstLine="1800"/>
        <w:spacing w:line="4390" w:lineRule="exact"/>
        <w:rPr/>
      </w:pPr>
      <w:r>
        <w:rPr>
          <w:position w:val="-87"/>
        </w:rPr>
        <w:drawing>
          <wp:inline distT="0" distB="0" distL="0" distR="0">
            <wp:extent cx="5543569" cy="2787662"/>
            <wp:effectExtent l="0" t="0" r="0" b="0"/>
            <wp:docPr id="20" name="IM 20"/>
            <wp:cNvGraphicFramePr/>
            <a:graphic>
              <a:graphicData uri="http://schemas.openxmlformats.org/drawingml/2006/picture">
                <pic:pic>
                  <pic:nvPicPr>
                    <pic:cNvPr id="20" name="IM 20"/>
                    <pic:cNvPicPr/>
                  </pic:nvPicPr>
                  <pic:blipFill>
                    <a:blip r:embed="rId17"/>
                    <a:stretch>
                      <a:fillRect/>
                    </a:stretch>
                  </pic:blipFill>
                  <pic:spPr>
                    <a:xfrm rot="0">
                      <a:off x="0" y="0"/>
                      <a:ext cx="5543569" cy="2787662"/>
                    </a:xfrm>
                    <a:prstGeom prst="rect">
                      <a:avLst/>
                    </a:prstGeom>
                  </pic:spPr>
                </pic:pic>
              </a:graphicData>
            </a:graphic>
          </wp:inline>
        </w:drawing>
      </w:r>
    </w:p>
    <w:p>
      <w:pPr>
        <w:pStyle w:val="BodyText"/>
        <w:spacing w:line="256" w:lineRule="auto"/>
        <w:rPr/>
      </w:pPr>
      <w:r/>
    </w:p>
    <w:p>
      <w:pPr>
        <w:pStyle w:val="BodyText"/>
        <w:spacing w:line="256" w:lineRule="auto"/>
        <w:rPr/>
      </w:pPr>
      <w:r/>
    </w:p>
    <w:p>
      <w:pPr>
        <w:pStyle w:val="BodyText"/>
        <w:spacing w:line="257" w:lineRule="auto"/>
        <w:rPr/>
      </w:pPr>
      <w:r/>
    </w:p>
    <w:p>
      <w:pPr>
        <w:pStyle w:val="BodyText"/>
        <w:spacing w:line="257" w:lineRule="auto"/>
        <w:rPr/>
      </w:pPr>
      <w:r/>
    </w:p>
    <w:p>
      <w:pPr>
        <w:pStyle w:val="BodyText"/>
        <w:spacing w:line="257" w:lineRule="auto"/>
        <w:rPr/>
      </w:pPr>
      <w:r/>
    </w:p>
    <w:p>
      <w:pPr>
        <w:ind w:left="993"/>
        <w:spacing w:before="75" w:line="222" w:lineRule="auto"/>
        <w:rPr>
          <w:rFonts w:ascii="SimHei" w:hAnsi="SimHei" w:eastAsia="SimHei" w:cs="SimHei"/>
          <w:sz w:val="23"/>
          <w:szCs w:val="23"/>
        </w:rPr>
      </w:pPr>
      <w:r>
        <w:rPr>
          <w:rFonts w:ascii="SimHei" w:hAnsi="SimHei" w:eastAsia="SimHei" w:cs="SimHei"/>
          <w:sz w:val="23"/>
          <w:szCs w:val="23"/>
          <w:b/>
          <w:bCs/>
          <w:spacing w:val="18"/>
        </w:rPr>
        <w:t>(1)纪律处分及监管措施</w:t>
      </w:r>
    </w:p>
    <w:p>
      <w:pPr>
        <w:spacing w:line="232" w:lineRule="exact"/>
        <w:rPr/>
      </w:pPr>
      <w:r/>
    </w:p>
    <w:tbl>
      <w:tblPr>
        <w:tblStyle w:val="TableNormal"/>
        <w:tblW w:w="9020" w:type="dxa"/>
        <w:tblInd w:w="143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74"/>
        <w:gridCol w:w="1488"/>
        <w:gridCol w:w="1488"/>
        <w:gridCol w:w="4570"/>
      </w:tblGrid>
      <w:tr>
        <w:trPr>
          <w:trHeight w:val="653" w:hRule="atLeast"/>
        </w:trPr>
        <w:tc>
          <w:tcPr>
            <w:shd w:val="clear" w:fill="4BACC6"/>
            <w:tcW w:w="1474" w:type="dxa"/>
            <w:vAlign w:val="top"/>
          </w:tcPr>
          <w:p>
            <w:pPr>
              <w:pStyle w:val="TableText"/>
              <w:ind w:left="305"/>
              <w:spacing w:before="223" w:line="219" w:lineRule="auto"/>
              <w:rPr/>
            </w:pPr>
            <w:r>
              <w:rPr>
                <w:color w:val="FFFFFF"/>
                <w:spacing w:val="2"/>
              </w:rPr>
              <w:t>公司代码</w:t>
            </w:r>
          </w:p>
        </w:tc>
        <w:tc>
          <w:tcPr>
            <w:shd w:val="clear" w:fill="4BACC6"/>
            <w:tcW w:w="1488" w:type="dxa"/>
            <w:vAlign w:val="top"/>
          </w:tcPr>
          <w:p>
            <w:pPr>
              <w:pStyle w:val="TableText"/>
              <w:ind w:left="311"/>
              <w:spacing w:before="222" w:line="219" w:lineRule="auto"/>
              <w:rPr/>
            </w:pPr>
            <w:r>
              <w:rPr>
                <w:color w:val="FFFFFF"/>
                <w:spacing w:val="2"/>
              </w:rPr>
              <w:t>公司简称</w:t>
            </w:r>
          </w:p>
        </w:tc>
        <w:tc>
          <w:tcPr>
            <w:shd w:val="clear" w:fill="4BACC6"/>
            <w:tcW w:w="1488" w:type="dxa"/>
            <w:vAlign w:val="top"/>
          </w:tcPr>
          <w:p>
            <w:pPr>
              <w:pStyle w:val="TableText"/>
              <w:ind w:left="313"/>
              <w:spacing w:before="223" w:line="219" w:lineRule="auto"/>
              <w:rPr/>
            </w:pPr>
            <w:r>
              <w:rPr>
                <w:color w:val="FFFFFF"/>
                <w:spacing w:val="3"/>
              </w:rPr>
              <w:t>监管类型</w:t>
            </w:r>
          </w:p>
        </w:tc>
        <w:tc>
          <w:tcPr>
            <w:shd w:val="clear" w:fill="4BACC6"/>
            <w:tcW w:w="4570" w:type="dxa"/>
            <w:vAlign w:val="top"/>
          </w:tcPr>
          <w:p>
            <w:pPr>
              <w:pStyle w:val="TableText"/>
              <w:ind w:left="1838"/>
              <w:spacing w:before="221" w:line="220" w:lineRule="auto"/>
              <w:rPr/>
            </w:pPr>
            <w:r>
              <w:rPr>
                <w:b/>
                <w:bCs/>
                <w:color w:val="FFFFFF"/>
                <w:spacing w:val="2"/>
              </w:rPr>
              <w:t>处理事由</w:t>
            </w:r>
          </w:p>
        </w:tc>
      </w:tr>
      <w:tr>
        <w:trPr>
          <w:trHeight w:val="698" w:hRule="atLeast"/>
        </w:trPr>
        <w:tc>
          <w:tcPr>
            <w:tcW w:w="1474" w:type="dxa"/>
            <w:vAlign w:val="top"/>
          </w:tcPr>
          <w:p>
            <w:pPr>
              <w:pStyle w:val="TableText"/>
              <w:ind w:left="415"/>
              <w:spacing w:before="303" w:line="184" w:lineRule="auto"/>
              <w:rPr/>
            </w:pPr>
            <w:r>
              <w:rPr>
                <w:spacing w:val="-2"/>
              </w:rPr>
              <w:t>301207</w:t>
            </w:r>
          </w:p>
        </w:tc>
        <w:tc>
          <w:tcPr>
            <w:tcW w:w="1488" w:type="dxa"/>
            <w:vAlign w:val="top"/>
          </w:tcPr>
          <w:p>
            <w:pPr>
              <w:pStyle w:val="TableText"/>
              <w:ind w:left="311"/>
              <w:spacing w:before="251" w:line="220" w:lineRule="auto"/>
              <w:rPr/>
            </w:pPr>
            <w:r>
              <w:rPr>
                <w:spacing w:val="-2"/>
              </w:rPr>
              <w:t>华兰疫苗</w:t>
            </w:r>
          </w:p>
        </w:tc>
        <w:tc>
          <w:tcPr>
            <w:tcW w:w="1488" w:type="dxa"/>
            <w:vAlign w:val="top"/>
          </w:tcPr>
          <w:p>
            <w:pPr>
              <w:pStyle w:val="TableText"/>
              <w:ind w:left="423"/>
              <w:spacing w:before="250" w:line="219" w:lineRule="auto"/>
              <w:rPr/>
            </w:pPr>
            <w:r>
              <w:rPr>
                <w:spacing w:val="7"/>
              </w:rPr>
              <w:t>监管函</w:t>
            </w:r>
          </w:p>
        </w:tc>
        <w:tc>
          <w:tcPr>
            <w:tcW w:w="4570" w:type="dxa"/>
            <w:vAlign w:val="top"/>
          </w:tcPr>
          <w:p>
            <w:pPr>
              <w:pStyle w:val="TableText"/>
              <w:ind w:left="28"/>
              <w:spacing w:before="96" w:line="219" w:lineRule="auto"/>
              <w:rPr/>
            </w:pPr>
            <w:r>
              <w:rPr>
                <w:b/>
                <w:bCs/>
                <w:spacing w:val="-1"/>
              </w:rPr>
              <w:t>募集资金开展现金管理</w:t>
            </w:r>
            <w:r>
              <w:rPr>
                <w:spacing w:val="-1"/>
              </w:rPr>
              <w:t>金额超过董事会授权额度</w:t>
            </w:r>
          </w:p>
        </w:tc>
      </w:tr>
      <w:tr>
        <w:trPr>
          <w:trHeight w:val="728" w:hRule="atLeast"/>
        </w:trPr>
        <w:tc>
          <w:tcPr>
            <w:shd w:val="clear" w:fill="B8CCE4"/>
            <w:tcW w:w="1474" w:type="dxa"/>
            <w:vAlign w:val="top"/>
          </w:tcPr>
          <w:p>
            <w:pPr>
              <w:spacing w:line="245" w:lineRule="auto"/>
              <w:rPr>
                <w:rFonts w:ascii="Arial"/>
                <w:sz w:val="21"/>
              </w:rPr>
            </w:pPr>
            <w:r/>
          </w:p>
          <w:p>
            <w:pPr>
              <w:pStyle w:val="TableText"/>
              <w:ind w:left="415"/>
              <w:spacing w:before="69" w:line="184" w:lineRule="auto"/>
              <w:rPr/>
            </w:pPr>
            <w:r>
              <w:rPr>
                <w:spacing w:val="-2"/>
              </w:rPr>
              <w:t>002491</w:t>
            </w:r>
          </w:p>
        </w:tc>
        <w:tc>
          <w:tcPr>
            <w:shd w:val="clear" w:fill="B8CCE4"/>
            <w:tcW w:w="1488" w:type="dxa"/>
            <w:vAlign w:val="top"/>
          </w:tcPr>
          <w:p>
            <w:pPr>
              <w:pStyle w:val="TableText"/>
              <w:ind w:left="311"/>
              <w:spacing w:before="261" w:line="219" w:lineRule="auto"/>
              <w:rPr/>
            </w:pPr>
            <w:r>
              <w:rPr>
                <w:spacing w:val="-2"/>
              </w:rPr>
              <w:t>通鼎互联</w:t>
            </w:r>
          </w:p>
        </w:tc>
        <w:tc>
          <w:tcPr>
            <w:shd w:val="clear" w:fill="B8CCE4"/>
            <w:tcW w:w="1488" w:type="dxa"/>
            <w:vAlign w:val="top"/>
          </w:tcPr>
          <w:p>
            <w:pPr>
              <w:pStyle w:val="TableText"/>
              <w:ind w:left="423"/>
              <w:spacing w:before="262" w:line="219" w:lineRule="auto"/>
              <w:rPr/>
            </w:pPr>
            <w:r>
              <w:rPr>
                <w:spacing w:val="7"/>
              </w:rPr>
              <w:t>监管函</w:t>
            </w:r>
          </w:p>
        </w:tc>
        <w:tc>
          <w:tcPr>
            <w:shd w:val="clear" w:fill="B7CBE3"/>
            <w:tcW w:w="4570" w:type="dxa"/>
            <w:vAlign w:val="top"/>
          </w:tcPr>
          <w:p>
            <w:pPr>
              <w:pStyle w:val="TableText"/>
              <w:ind w:left="28"/>
              <w:spacing w:before="120" w:line="371" w:lineRule="exact"/>
              <w:rPr/>
            </w:pPr>
            <w:r>
              <w:rPr>
                <w:b/>
                <w:bCs/>
                <w:spacing w:val="-1"/>
                <w:position w:val="12"/>
              </w:rPr>
              <w:t>全资子公司</w:t>
            </w:r>
            <w:r>
              <w:rPr>
                <w:spacing w:val="-1"/>
                <w:position w:val="12"/>
              </w:rPr>
              <w:t>北京百卓网络技术有限公司存在收入</w:t>
            </w:r>
          </w:p>
          <w:p>
            <w:pPr>
              <w:pStyle w:val="TableText"/>
              <w:ind w:left="25"/>
              <w:spacing w:before="1" w:line="198" w:lineRule="auto"/>
              <w:rPr/>
            </w:pPr>
            <w:r>
              <w:rPr>
                <w:spacing w:val="-1"/>
              </w:rPr>
              <w:t>确认不审慎、存货管理不规范等情形。</w:t>
            </w:r>
          </w:p>
        </w:tc>
      </w:tr>
      <w:tr>
        <w:trPr>
          <w:trHeight w:val="1076" w:hRule="atLeast"/>
        </w:trPr>
        <w:tc>
          <w:tcPr>
            <w:tcW w:w="1474" w:type="dxa"/>
            <w:vAlign w:val="top"/>
          </w:tcPr>
          <w:p>
            <w:pPr>
              <w:spacing w:line="426" w:lineRule="auto"/>
              <w:rPr>
                <w:rFonts w:ascii="Arial"/>
                <w:sz w:val="21"/>
              </w:rPr>
            </w:pPr>
            <w:r/>
          </w:p>
          <w:p>
            <w:pPr>
              <w:pStyle w:val="TableText"/>
              <w:ind w:left="415"/>
              <w:spacing w:before="69" w:line="184" w:lineRule="auto"/>
              <w:rPr/>
            </w:pPr>
            <w:r>
              <w:rPr>
                <w:spacing w:val="-2"/>
              </w:rPr>
              <w:t>301290</w:t>
            </w:r>
          </w:p>
        </w:tc>
        <w:tc>
          <w:tcPr>
            <w:tcW w:w="1488" w:type="dxa"/>
            <w:vAlign w:val="top"/>
          </w:tcPr>
          <w:p>
            <w:pPr>
              <w:spacing w:line="374" w:lineRule="auto"/>
              <w:rPr>
                <w:rFonts w:ascii="Arial"/>
                <w:sz w:val="21"/>
              </w:rPr>
            </w:pPr>
            <w:r/>
          </w:p>
          <w:p>
            <w:pPr>
              <w:pStyle w:val="TableText"/>
              <w:ind w:left="311"/>
              <w:spacing w:before="68" w:line="219" w:lineRule="auto"/>
              <w:rPr/>
            </w:pPr>
            <w:r>
              <w:rPr>
                <w:spacing w:val="2"/>
              </w:rPr>
              <w:t>东星医疗</w:t>
            </w:r>
          </w:p>
        </w:tc>
        <w:tc>
          <w:tcPr>
            <w:tcW w:w="1488" w:type="dxa"/>
            <w:vAlign w:val="top"/>
          </w:tcPr>
          <w:p>
            <w:pPr>
              <w:spacing w:line="374" w:lineRule="auto"/>
              <w:rPr>
                <w:rFonts w:ascii="Arial"/>
                <w:sz w:val="21"/>
              </w:rPr>
            </w:pPr>
            <w:r/>
          </w:p>
          <w:p>
            <w:pPr>
              <w:pStyle w:val="TableText"/>
              <w:ind w:left="423"/>
              <w:spacing w:before="68" w:line="219" w:lineRule="auto"/>
              <w:rPr/>
            </w:pPr>
            <w:r>
              <w:rPr>
                <w:spacing w:val="7"/>
              </w:rPr>
              <w:t>监管函</w:t>
            </w:r>
          </w:p>
        </w:tc>
        <w:tc>
          <w:tcPr>
            <w:tcW w:w="4570" w:type="dxa"/>
            <w:vAlign w:val="top"/>
          </w:tcPr>
          <w:p>
            <w:pPr>
              <w:pStyle w:val="TableText"/>
              <w:ind w:left="35" w:right="96" w:firstLine="3"/>
              <w:spacing w:before="120" w:line="318" w:lineRule="auto"/>
              <w:jc w:val="both"/>
              <w:rPr/>
            </w:pPr>
            <w:r>
              <w:rPr>
                <w:b/>
                <w:bCs/>
                <w:spacing w:val="-1"/>
              </w:rPr>
              <w:t>闲置募集资金开展现金管理</w:t>
            </w:r>
            <w:r>
              <w:rPr>
                <w:spacing w:val="-1"/>
              </w:rPr>
              <w:t>的余额超出公司股东</w:t>
            </w:r>
            <w:r>
              <w:rPr>
                <w:spacing w:val="9"/>
              </w:rPr>
              <w:t xml:space="preserve"> </w:t>
            </w:r>
            <w:r>
              <w:rPr/>
              <w:t>大会审议额度，对于超额部分，公司未及时履行</w:t>
            </w:r>
          </w:p>
          <w:p>
            <w:pPr>
              <w:pStyle w:val="TableText"/>
              <w:ind w:left="25"/>
              <w:spacing w:line="194" w:lineRule="auto"/>
              <w:rPr/>
            </w:pPr>
            <w:r>
              <w:rPr>
                <w:spacing w:val="-1"/>
              </w:rPr>
              <w:t>审议程序和信息披露义务。</w:t>
            </w:r>
          </w:p>
        </w:tc>
      </w:tr>
      <w:tr>
        <w:trPr>
          <w:trHeight w:val="1077" w:hRule="atLeast"/>
        </w:trPr>
        <w:tc>
          <w:tcPr>
            <w:shd w:val="clear" w:fill="C7DAF1"/>
            <w:tcW w:w="1474" w:type="dxa"/>
            <w:vAlign w:val="top"/>
          </w:tcPr>
          <w:p>
            <w:pPr>
              <w:spacing w:line="431" w:lineRule="auto"/>
              <w:rPr>
                <w:rFonts w:ascii="Arial"/>
                <w:sz w:val="21"/>
              </w:rPr>
            </w:pPr>
            <w:r/>
          </w:p>
          <w:p>
            <w:pPr>
              <w:pStyle w:val="TableText"/>
              <w:ind w:left="415"/>
              <w:spacing w:before="69" w:line="183" w:lineRule="auto"/>
              <w:rPr/>
            </w:pPr>
            <w:r>
              <w:rPr>
                <w:spacing w:val="-2"/>
              </w:rPr>
              <w:t>000752</w:t>
            </w:r>
          </w:p>
        </w:tc>
        <w:tc>
          <w:tcPr>
            <w:shd w:val="clear" w:fill="C7DAF1"/>
            <w:tcW w:w="1488" w:type="dxa"/>
            <w:vAlign w:val="top"/>
          </w:tcPr>
          <w:p>
            <w:pPr>
              <w:spacing w:line="378" w:lineRule="auto"/>
              <w:rPr>
                <w:rFonts w:ascii="Arial"/>
                <w:sz w:val="21"/>
              </w:rPr>
            </w:pPr>
            <w:r/>
          </w:p>
          <w:p>
            <w:pPr>
              <w:pStyle w:val="TableText"/>
              <w:ind w:left="360"/>
              <w:spacing w:before="68" w:line="220" w:lineRule="auto"/>
              <w:rPr/>
            </w:pPr>
            <w:r>
              <w:rPr>
                <w:spacing w:val="4"/>
              </w:rPr>
              <w:t>*</w:t>
            </w:r>
            <w:r>
              <w:rPr/>
              <w:t>ST</w:t>
            </w:r>
            <w:r>
              <w:rPr>
                <w:spacing w:val="4"/>
              </w:rPr>
              <w:t>西发</w:t>
            </w:r>
          </w:p>
        </w:tc>
        <w:tc>
          <w:tcPr>
            <w:shd w:val="clear" w:fill="C7DAF1"/>
            <w:tcW w:w="1488" w:type="dxa"/>
            <w:vAlign w:val="top"/>
          </w:tcPr>
          <w:p>
            <w:pPr>
              <w:spacing w:line="378" w:lineRule="auto"/>
              <w:rPr>
                <w:rFonts w:ascii="Arial"/>
                <w:sz w:val="21"/>
              </w:rPr>
            </w:pPr>
            <w:r/>
          </w:p>
          <w:p>
            <w:pPr>
              <w:pStyle w:val="TableText"/>
              <w:ind w:left="423"/>
              <w:spacing w:before="68" w:line="219" w:lineRule="auto"/>
              <w:rPr/>
            </w:pPr>
            <w:r>
              <w:rPr>
                <w:spacing w:val="7"/>
              </w:rPr>
              <w:t>监管函</w:t>
            </w:r>
          </w:p>
        </w:tc>
        <w:tc>
          <w:tcPr>
            <w:shd w:val="clear" w:fill="C6D9F0"/>
            <w:tcW w:w="4570" w:type="dxa"/>
            <w:vAlign w:val="top"/>
          </w:tcPr>
          <w:p>
            <w:pPr>
              <w:pStyle w:val="TableText"/>
              <w:ind w:left="28" w:right="130" w:hanging="3"/>
              <w:spacing w:before="296" w:line="263" w:lineRule="auto"/>
              <w:rPr/>
            </w:pPr>
            <w:r>
              <w:rPr>
                <w:spacing w:val="-1"/>
              </w:rPr>
              <w:t>芜湖华融作为信息披露义务人在</w:t>
            </w:r>
            <w:r>
              <w:rPr>
                <w:b/>
                <w:bCs/>
                <w:spacing w:val="-1"/>
              </w:rPr>
              <w:t>股份比例减少超</w:t>
            </w:r>
            <w:r>
              <w:rPr/>
              <w:t xml:space="preserve"> </w:t>
            </w:r>
            <w:r>
              <w:rPr>
                <w:b/>
                <w:bCs/>
                <w:spacing w:val="-7"/>
              </w:rPr>
              <w:t>过5%</w:t>
            </w:r>
            <w:r>
              <w:rPr>
                <w:spacing w:val="-7"/>
              </w:rPr>
              <w:t>时，未按规定履行报告</w:t>
            </w:r>
            <w:r>
              <w:rPr>
                <w:color w:val="002E7E"/>
                <w:spacing w:val="-7"/>
              </w:rPr>
              <w:t>、公告</w:t>
            </w:r>
            <w:r>
              <w:rPr>
                <w:spacing w:val="-7"/>
              </w:rPr>
              <w:t>义</w:t>
            </w:r>
            <w:r>
              <w:rPr>
                <w:spacing w:val="-26"/>
              </w:rPr>
              <w:t xml:space="preserve"> </w:t>
            </w:r>
            <w:r>
              <w:rPr>
                <w:spacing w:val="-7"/>
              </w:rPr>
              <w:t>务</w:t>
            </w:r>
            <w:r>
              <w:rPr>
                <w:spacing w:val="-37"/>
              </w:rPr>
              <w:t xml:space="preserve"> </w:t>
            </w:r>
            <w:r>
              <w:rPr>
                <w:spacing w:val="-7"/>
              </w:rPr>
              <w:t>。</w:t>
            </w:r>
          </w:p>
        </w:tc>
      </w:tr>
      <w:tr>
        <w:trPr>
          <w:trHeight w:val="1077" w:hRule="atLeast"/>
        </w:trPr>
        <w:tc>
          <w:tcPr>
            <w:tcW w:w="1474" w:type="dxa"/>
            <w:vAlign w:val="top"/>
          </w:tcPr>
          <w:p>
            <w:pPr>
              <w:spacing w:line="434" w:lineRule="auto"/>
              <w:rPr>
                <w:rFonts w:ascii="Arial"/>
                <w:sz w:val="21"/>
              </w:rPr>
            </w:pPr>
            <w:r/>
          </w:p>
          <w:p>
            <w:pPr>
              <w:pStyle w:val="TableText"/>
              <w:ind w:left="415"/>
              <w:spacing w:before="69" w:line="183" w:lineRule="auto"/>
              <w:rPr/>
            </w:pPr>
            <w:r>
              <w:rPr>
                <w:spacing w:val="-2"/>
              </w:rPr>
              <w:t>002636</w:t>
            </w:r>
          </w:p>
        </w:tc>
        <w:tc>
          <w:tcPr>
            <w:tcW w:w="1488" w:type="dxa"/>
            <w:vAlign w:val="top"/>
          </w:tcPr>
          <w:p>
            <w:pPr>
              <w:spacing w:line="382" w:lineRule="auto"/>
              <w:rPr>
                <w:rFonts w:ascii="Arial"/>
                <w:sz w:val="21"/>
              </w:rPr>
            </w:pPr>
            <w:r/>
          </w:p>
          <w:p>
            <w:pPr>
              <w:pStyle w:val="TableText"/>
              <w:ind w:left="311"/>
              <w:spacing w:before="68" w:line="221" w:lineRule="auto"/>
              <w:rPr/>
            </w:pPr>
            <w:r>
              <w:rPr>
                <w:spacing w:val="2"/>
              </w:rPr>
              <w:t>金安国纪</w:t>
            </w:r>
          </w:p>
        </w:tc>
        <w:tc>
          <w:tcPr>
            <w:tcW w:w="1488" w:type="dxa"/>
            <w:vAlign w:val="top"/>
          </w:tcPr>
          <w:p>
            <w:pPr>
              <w:spacing w:line="381" w:lineRule="auto"/>
              <w:rPr>
                <w:rFonts w:ascii="Arial"/>
                <w:sz w:val="21"/>
              </w:rPr>
            </w:pPr>
            <w:r/>
          </w:p>
          <w:p>
            <w:pPr>
              <w:pStyle w:val="TableText"/>
              <w:ind w:left="313"/>
              <w:spacing w:before="68" w:line="219" w:lineRule="auto"/>
              <w:rPr/>
            </w:pPr>
            <w:r>
              <w:rPr>
                <w:spacing w:val="-2"/>
              </w:rPr>
              <w:t>通报批评</w:t>
            </w:r>
          </w:p>
        </w:tc>
        <w:tc>
          <w:tcPr>
            <w:tcW w:w="4570" w:type="dxa"/>
            <w:vAlign w:val="top"/>
          </w:tcPr>
          <w:p>
            <w:pPr>
              <w:pStyle w:val="TableText"/>
              <w:ind w:left="54" w:right="85" w:hanging="29"/>
              <w:spacing w:before="110" w:line="267" w:lineRule="auto"/>
              <w:rPr/>
            </w:pPr>
            <w:r>
              <w:rPr/>
              <w:t>交易对手方未按照公开披露的《关于签署承德天</w:t>
            </w:r>
            <w:r>
              <w:rPr>
                <w:spacing w:val="8"/>
              </w:rPr>
              <w:t xml:space="preserve"> </w:t>
            </w:r>
            <w:r>
              <w:rPr/>
              <w:t>原药业有限公司股权转让及增资协议的公告》履</w:t>
            </w:r>
          </w:p>
          <w:p>
            <w:pPr>
              <w:pStyle w:val="TableText"/>
              <w:ind w:left="28"/>
              <w:spacing w:before="100" w:line="219" w:lineRule="auto"/>
              <w:rPr/>
            </w:pPr>
            <w:r>
              <w:rPr>
                <w:b/>
                <w:bCs/>
                <w:spacing w:val="-4"/>
              </w:rPr>
              <w:t>行业绩补偿承诺。</w:t>
            </w:r>
          </w:p>
        </w:tc>
      </w:tr>
      <w:tr>
        <w:trPr>
          <w:trHeight w:val="1077" w:hRule="atLeast"/>
        </w:trPr>
        <w:tc>
          <w:tcPr>
            <w:shd w:val="clear" w:fill="C7DAF1"/>
            <w:tcW w:w="1474" w:type="dxa"/>
            <w:vAlign w:val="top"/>
          </w:tcPr>
          <w:p>
            <w:pPr>
              <w:spacing w:line="437" w:lineRule="auto"/>
              <w:rPr>
                <w:rFonts w:ascii="Arial"/>
                <w:sz w:val="21"/>
              </w:rPr>
            </w:pPr>
            <w:r/>
          </w:p>
          <w:p>
            <w:pPr>
              <w:pStyle w:val="TableText"/>
              <w:ind w:left="415"/>
              <w:spacing w:before="69" w:line="183" w:lineRule="auto"/>
              <w:rPr/>
            </w:pPr>
            <w:r>
              <w:rPr>
                <w:spacing w:val="-2"/>
              </w:rPr>
              <w:t>002397</w:t>
            </w:r>
          </w:p>
        </w:tc>
        <w:tc>
          <w:tcPr>
            <w:shd w:val="clear" w:fill="C7DAF1"/>
            <w:tcW w:w="1488" w:type="dxa"/>
            <w:vAlign w:val="top"/>
          </w:tcPr>
          <w:p>
            <w:pPr>
              <w:spacing w:line="384" w:lineRule="auto"/>
              <w:rPr>
                <w:rFonts w:ascii="Arial"/>
                <w:sz w:val="21"/>
              </w:rPr>
            </w:pPr>
            <w:r/>
          </w:p>
          <w:p>
            <w:pPr>
              <w:pStyle w:val="TableText"/>
              <w:ind w:left="311"/>
              <w:spacing w:before="68" w:line="219" w:lineRule="auto"/>
              <w:rPr/>
            </w:pPr>
            <w:r>
              <w:rPr>
                <w:spacing w:val="-3"/>
              </w:rPr>
              <w:t>梦洁股份</w:t>
            </w:r>
          </w:p>
        </w:tc>
        <w:tc>
          <w:tcPr>
            <w:shd w:val="clear" w:fill="C7DAF1"/>
            <w:tcW w:w="1488" w:type="dxa"/>
            <w:vAlign w:val="top"/>
          </w:tcPr>
          <w:p>
            <w:pPr>
              <w:spacing w:line="385" w:lineRule="auto"/>
              <w:rPr>
                <w:rFonts w:ascii="Arial"/>
                <w:sz w:val="21"/>
              </w:rPr>
            </w:pPr>
            <w:r/>
          </w:p>
          <w:p>
            <w:pPr>
              <w:pStyle w:val="TableText"/>
              <w:ind w:left="313"/>
              <w:spacing w:before="68" w:line="221" w:lineRule="auto"/>
              <w:rPr/>
            </w:pPr>
            <w:r>
              <w:rPr>
                <w:spacing w:val="3"/>
              </w:rPr>
              <w:t>公开谴责</w:t>
            </w:r>
          </w:p>
        </w:tc>
        <w:tc>
          <w:tcPr>
            <w:shd w:val="clear" w:fill="C6D9F0"/>
            <w:tcW w:w="4570" w:type="dxa"/>
            <w:vAlign w:val="top"/>
          </w:tcPr>
          <w:p>
            <w:pPr>
              <w:pStyle w:val="TableText"/>
              <w:ind w:left="25" w:right="54" w:firstLine="69"/>
              <w:spacing w:before="299" w:line="270" w:lineRule="auto"/>
              <w:rPr/>
            </w:pPr>
            <w:r>
              <w:rPr>
                <w:spacing w:val="-1"/>
              </w:rPr>
              <w:t>长沙金森在《</w:t>
            </w:r>
            <w:r>
              <w:rPr>
                <w:b/>
                <w:bCs/>
                <w:spacing w:val="-1"/>
              </w:rPr>
              <w:t>详式权益变动报告书</w:t>
            </w:r>
            <w:r>
              <w:rPr>
                <w:spacing w:val="-1"/>
              </w:rPr>
              <w:t>》中关于控股</w:t>
            </w:r>
            <w:r>
              <w:rPr/>
              <w:t xml:space="preserve"> </w:t>
            </w:r>
            <w:r>
              <w:rPr>
                <w:spacing w:val="-1"/>
              </w:rPr>
              <w:t>股东和实际控制人的信息披露不真实、不准确。</w:t>
            </w:r>
          </w:p>
        </w:tc>
      </w:tr>
      <w:tr>
        <w:trPr>
          <w:trHeight w:val="1102" w:hRule="atLeast"/>
        </w:trPr>
        <w:tc>
          <w:tcPr>
            <w:tcW w:w="1474" w:type="dxa"/>
            <w:vAlign w:val="top"/>
          </w:tcPr>
          <w:p>
            <w:pPr>
              <w:spacing w:line="450" w:lineRule="auto"/>
              <w:rPr>
                <w:rFonts w:ascii="Arial"/>
                <w:sz w:val="21"/>
              </w:rPr>
            </w:pPr>
            <w:r/>
          </w:p>
          <w:p>
            <w:pPr>
              <w:pStyle w:val="TableText"/>
              <w:ind w:left="415"/>
              <w:spacing w:before="69" w:line="183" w:lineRule="auto"/>
              <w:rPr/>
            </w:pPr>
            <w:r>
              <w:rPr>
                <w:spacing w:val="-2"/>
              </w:rPr>
              <w:t>300078</w:t>
            </w:r>
          </w:p>
        </w:tc>
        <w:tc>
          <w:tcPr>
            <w:tcW w:w="1488" w:type="dxa"/>
            <w:vAlign w:val="top"/>
          </w:tcPr>
          <w:p>
            <w:pPr>
              <w:spacing w:line="400" w:lineRule="auto"/>
              <w:rPr>
                <w:rFonts w:ascii="Arial"/>
                <w:sz w:val="21"/>
              </w:rPr>
            </w:pPr>
            <w:r/>
          </w:p>
          <w:p>
            <w:pPr>
              <w:pStyle w:val="TableText"/>
              <w:ind w:left="311"/>
              <w:spacing w:before="68" w:line="222" w:lineRule="auto"/>
              <w:rPr/>
            </w:pPr>
            <w:r>
              <w:rPr>
                <w:spacing w:val="5"/>
              </w:rPr>
              <w:t>思创医惠</w:t>
            </w:r>
          </w:p>
        </w:tc>
        <w:tc>
          <w:tcPr>
            <w:tcW w:w="1488" w:type="dxa"/>
            <w:vAlign w:val="top"/>
          </w:tcPr>
          <w:p>
            <w:pPr>
              <w:pStyle w:val="TableText"/>
              <w:ind w:left="13"/>
              <w:spacing w:before="97" w:line="290" w:lineRule="auto"/>
              <w:jc w:val="both"/>
              <w:rPr/>
            </w:pPr>
            <w:r>
              <w:rPr>
                <w:spacing w:val="-4"/>
              </w:rPr>
              <w:t>五年不接受其提</w:t>
            </w:r>
            <w:r>
              <w:rPr>
                <w:spacing w:val="2"/>
              </w:rPr>
              <w:t xml:space="preserve"> </w:t>
            </w:r>
            <w:r>
              <w:rPr>
                <w:spacing w:val="-1"/>
              </w:rPr>
              <w:t>交的发行上市申</w:t>
            </w:r>
            <w:r>
              <w:rPr/>
              <w:t xml:space="preserve"> </w:t>
            </w:r>
            <w:r>
              <w:rPr>
                <w:spacing w:val="-5"/>
              </w:rPr>
              <w:t>请文件、公开谴</w:t>
            </w:r>
          </w:p>
        </w:tc>
        <w:tc>
          <w:tcPr>
            <w:tcW w:w="4570" w:type="dxa"/>
            <w:vAlign w:val="top"/>
          </w:tcPr>
          <w:p>
            <w:pPr>
              <w:spacing w:line="244" w:lineRule="auto"/>
              <w:rPr>
                <w:rFonts w:ascii="Arial"/>
                <w:sz w:val="21"/>
              </w:rPr>
            </w:pPr>
            <w:r/>
          </w:p>
          <w:p>
            <w:pPr>
              <w:pStyle w:val="TableText"/>
              <w:ind w:left="25" w:right="135" w:hanging="10"/>
              <w:spacing w:before="68" w:line="254" w:lineRule="auto"/>
              <w:rPr/>
            </w:pPr>
            <w:r>
              <w:rPr>
                <w:spacing w:val="-1"/>
              </w:rPr>
              <w:t>公开发行文件编造</w:t>
            </w:r>
            <w:r>
              <w:rPr>
                <w:b/>
                <w:bCs/>
                <w:spacing w:val="-1"/>
              </w:rPr>
              <w:t>重大虚假内容</w:t>
            </w:r>
            <w:r>
              <w:rPr>
                <w:spacing w:val="-1"/>
              </w:rPr>
              <w:t>；2019年、2020</w:t>
            </w:r>
            <w:r>
              <w:rPr>
                <w:spacing w:val="10"/>
              </w:rPr>
              <w:t xml:space="preserve"> </w:t>
            </w:r>
            <w:r>
              <w:rPr>
                <w:spacing w:val="-2"/>
              </w:rPr>
              <w:t>年年度报告存在</w:t>
            </w:r>
            <w:r>
              <w:rPr>
                <w:b/>
                <w:bCs/>
                <w:spacing w:val="-2"/>
              </w:rPr>
              <w:t>虚假记载。</w:t>
            </w:r>
          </w:p>
        </w:tc>
      </w:tr>
    </w:tbl>
    <w:p>
      <w:pPr>
        <w:pStyle w:val="BodyText"/>
        <w:spacing w:line="14" w:lineRule="auto"/>
        <w:rPr>
          <w:sz w:val="2"/>
        </w:rPr>
      </w:pPr>
      <w:r/>
    </w:p>
    <w:p>
      <w:pPr>
        <w:spacing w:line="14" w:lineRule="auto"/>
        <w:sectPr>
          <w:pgSz w:w="11910" w:h="16840"/>
          <w:pgMar w:top="369" w:right="884" w:bottom="154" w:left="429" w:header="0" w:footer="0" w:gutter="0"/>
        </w:sectPr>
        <w:rPr>
          <w:sz w:val="2"/>
          <w:szCs w:val="2"/>
        </w:rPr>
      </w:pPr>
    </w:p>
    <w:tbl>
      <w:tblPr>
        <w:tblStyle w:val="TableNormal"/>
        <w:tblW w:w="9015" w:type="dxa"/>
        <w:tblInd w:w="54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2"/>
        <w:gridCol w:w="1483"/>
        <w:gridCol w:w="1497"/>
        <w:gridCol w:w="4563"/>
      </w:tblGrid>
      <w:tr>
        <w:trPr>
          <w:trHeight w:val="1088" w:hRule="atLeast"/>
        </w:trPr>
        <w:tc>
          <w:tcPr>
            <w:tcW w:w="1472" w:type="dxa"/>
            <w:vAlign w:val="top"/>
          </w:tcPr>
          <w:p>
            <w:pPr>
              <w:rPr>
                <w:rFonts w:ascii="Arial"/>
                <w:sz w:val="21"/>
              </w:rPr>
            </w:pPr>
            <w:r/>
          </w:p>
        </w:tc>
        <w:tc>
          <w:tcPr>
            <w:tcW w:w="1483" w:type="dxa"/>
            <w:vAlign w:val="top"/>
          </w:tcPr>
          <w:p>
            <w:pPr>
              <w:rPr>
                <w:rFonts w:ascii="Arial"/>
                <w:sz w:val="21"/>
              </w:rPr>
            </w:pPr>
            <w:r/>
          </w:p>
        </w:tc>
        <w:tc>
          <w:tcPr>
            <w:tcW w:w="1497" w:type="dxa"/>
            <w:vAlign w:val="top"/>
          </w:tcPr>
          <w:p>
            <w:pPr>
              <w:ind w:left="15"/>
              <w:spacing w:before="85"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责、公开认定十</w:t>
            </w:r>
          </w:p>
          <w:p>
            <w:pPr>
              <w:ind w:left="15"/>
              <w:spacing w:before="88"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年不适合担任上</w:t>
            </w:r>
          </w:p>
          <w:p>
            <w:pPr>
              <w:ind w:left="121"/>
              <w:spacing w:before="88"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市公司董监高</w:t>
            </w:r>
          </w:p>
        </w:tc>
        <w:tc>
          <w:tcPr>
            <w:tcW w:w="4563" w:type="dxa"/>
            <w:vAlign w:val="top"/>
          </w:tcPr>
          <w:p>
            <w:pPr>
              <w:rPr>
                <w:rFonts w:ascii="Arial"/>
                <w:sz w:val="21"/>
              </w:rPr>
            </w:pPr>
            <w:r/>
          </w:p>
        </w:tc>
      </w:tr>
    </w:tbl>
    <w:p>
      <w:pPr>
        <w:spacing w:before="312"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6"/>
        </w:rPr>
        <w:t>（</w:t>
      </w:r>
      <w:r>
        <w:rPr>
          <w:rFonts w:ascii="Microsoft YaHei" w:hAnsi="Microsoft YaHei" w:eastAsia="Microsoft YaHei" w:cs="Microsoft YaHei"/>
          <w:sz w:val="24"/>
          <w:szCs w:val="24"/>
          <w:b/>
          <w:bCs/>
          <w:spacing w:val="-12"/>
        </w:rPr>
        <w:t xml:space="preserve"> </w:t>
      </w:r>
      <w:r>
        <w:rPr>
          <w:rFonts w:ascii="Microsoft YaHei" w:hAnsi="Microsoft YaHei" w:eastAsia="Microsoft YaHei" w:cs="Microsoft YaHei"/>
          <w:sz w:val="24"/>
          <w:szCs w:val="24"/>
          <w:b/>
          <w:bCs/>
          <w:spacing w:val="-16"/>
        </w:rPr>
        <w:t>2</w:t>
      </w:r>
      <w:r>
        <w:rPr>
          <w:rFonts w:ascii="Microsoft YaHei" w:hAnsi="Microsoft YaHei" w:eastAsia="Microsoft YaHei" w:cs="Microsoft YaHei"/>
          <w:sz w:val="24"/>
          <w:szCs w:val="24"/>
          <w:b/>
          <w:bCs/>
          <w:spacing w:val="-14"/>
        </w:rPr>
        <w:t xml:space="preserve"> </w:t>
      </w:r>
      <w:r>
        <w:rPr>
          <w:rFonts w:ascii="Microsoft YaHei" w:hAnsi="Microsoft YaHei" w:eastAsia="Microsoft YaHei" w:cs="Microsoft YaHei"/>
          <w:sz w:val="24"/>
          <w:szCs w:val="24"/>
          <w:b/>
          <w:bCs/>
          <w:spacing w:val="-16"/>
        </w:rPr>
        <w:t>）函件统计</w:t>
      </w:r>
    </w:p>
    <w:p>
      <w:pPr>
        <w:spacing w:line="191" w:lineRule="exact"/>
        <w:rPr/>
      </w:pPr>
      <w:r/>
    </w:p>
    <w:tbl>
      <w:tblPr>
        <w:tblStyle w:val="TableNormal"/>
        <w:tblW w:w="9002" w:type="dxa"/>
        <w:tblInd w:w="548"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7"/>
        <w:gridCol w:w="1273"/>
        <w:gridCol w:w="6622"/>
      </w:tblGrid>
      <w:tr>
        <w:trPr>
          <w:trHeight w:val="611" w:hRule="atLeast"/>
        </w:trPr>
        <w:tc>
          <w:tcPr>
            <w:shd w:val="clear" w:fill="4BACC6"/>
            <w:tcW w:w="1107" w:type="dxa"/>
            <w:vAlign w:val="top"/>
            <w:tcBorders>
              <w:left w:val="nil"/>
              <w:top w:val="nil"/>
              <w:right w:val="single" w:color="92CDDC" w:sz="2" w:space="0"/>
            </w:tcBorders>
          </w:tcPr>
          <w:p>
            <w:pPr>
              <w:ind w:left="119"/>
              <w:spacing w:before="105"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spacing w:val="-2"/>
              </w:rPr>
              <w:t>公司代码</w:t>
            </w:r>
          </w:p>
        </w:tc>
        <w:tc>
          <w:tcPr>
            <w:shd w:val="clear" w:fill="4BACC6"/>
            <w:tcW w:w="1273" w:type="dxa"/>
            <w:vAlign w:val="top"/>
            <w:tcBorders>
              <w:top w:val="nil"/>
              <w:left w:val="single" w:color="92CDDC" w:sz="2" w:space="0"/>
              <w:bottom w:val="single" w:color="92CDDC" w:sz="2" w:space="0"/>
              <w:right w:val="single" w:color="92CDDC" w:sz="2" w:space="0"/>
            </w:tcBorders>
          </w:tcPr>
          <w:p>
            <w:pPr>
              <w:ind w:left="197"/>
              <w:spacing w:before="105"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spacing w:val="-2"/>
              </w:rPr>
              <w:t>公司简称</w:t>
            </w:r>
          </w:p>
        </w:tc>
        <w:tc>
          <w:tcPr>
            <w:shd w:val="clear" w:fill="4BACC6"/>
            <w:tcW w:w="6622" w:type="dxa"/>
            <w:vAlign w:val="top"/>
            <w:tcBorders>
              <w:right w:val="nil"/>
              <w:top w:val="nil"/>
              <w:left w:val="single" w:color="92CDDC" w:sz="2" w:space="0"/>
            </w:tcBorders>
          </w:tcPr>
          <w:p>
            <w:pPr>
              <w:ind w:left="2895"/>
              <w:spacing w:before="105"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spacing w:val="-5"/>
              </w:rPr>
              <w:t>函件类型</w:t>
            </w:r>
          </w:p>
        </w:tc>
      </w:tr>
      <w:tr>
        <w:trPr>
          <w:trHeight w:val="462" w:hRule="atLeast"/>
        </w:trPr>
        <w:tc>
          <w:tcPr>
            <w:tcW w:w="1107" w:type="dxa"/>
            <w:vAlign w:val="top"/>
          </w:tcPr>
          <w:p>
            <w:pPr>
              <w:ind w:left="188"/>
              <w:spacing w:before="150"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002636</w:t>
            </w:r>
          </w:p>
        </w:tc>
        <w:tc>
          <w:tcPr>
            <w:tcW w:w="1273" w:type="dxa"/>
            <w:vAlign w:val="top"/>
          </w:tcPr>
          <w:p>
            <w:pPr>
              <w:ind w:left="214"/>
              <w:spacing w:before="133"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金安国纪</w:t>
            </w:r>
          </w:p>
        </w:tc>
        <w:tc>
          <w:tcPr>
            <w:tcW w:w="6622" w:type="dxa"/>
            <w:vAlign w:val="top"/>
          </w:tcPr>
          <w:p>
            <w:pPr>
              <w:ind w:left="2997"/>
              <w:spacing w:before="135"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2" w:hRule="atLeast"/>
        </w:trPr>
        <w:tc>
          <w:tcPr>
            <w:shd w:val="clear" w:fill="C7DAF1"/>
            <w:tcW w:w="1107" w:type="dxa"/>
            <w:vAlign w:val="top"/>
          </w:tcPr>
          <w:p>
            <w:pPr>
              <w:ind w:left="188"/>
              <w:spacing w:before="149"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000017</w:t>
            </w:r>
          </w:p>
        </w:tc>
        <w:tc>
          <w:tcPr>
            <w:shd w:val="clear" w:fill="C7DAF1"/>
            <w:tcW w:w="1273" w:type="dxa"/>
            <w:vAlign w:val="top"/>
          </w:tcPr>
          <w:p>
            <w:pPr>
              <w:ind w:left="246"/>
              <w:spacing w:before="13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深中华A</w:t>
            </w:r>
          </w:p>
        </w:tc>
        <w:tc>
          <w:tcPr>
            <w:shd w:val="clear" w:fill="C7DAF1"/>
            <w:tcW w:w="6622" w:type="dxa"/>
            <w:vAlign w:val="top"/>
          </w:tcPr>
          <w:p>
            <w:pPr>
              <w:ind w:left="2997"/>
              <w:spacing w:before="13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2" w:hRule="atLeast"/>
        </w:trPr>
        <w:tc>
          <w:tcPr>
            <w:tcW w:w="1107" w:type="dxa"/>
            <w:vAlign w:val="top"/>
          </w:tcPr>
          <w:p>
            <w:pPr>
              <w:ind w:left="188"/>
              <w:spacing w:before="150"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002310</w:t>
            </w:r>
          </w:p>
        </w:tc>
        <w:tc>
          <w:tcPr>
            <w:tcW w:w="1273" w:type="dxa"/>
            <w:vAlign w:val="top"/>
          </w:tcPr>
          <w:p>
            <w:pPr>
              <w:ind w:left="214"/>
              <w:spacing w:before="137"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东方园林</w:t>
            </w:r>
          </w:p>
        </w:tc>
        <w:tc>
          <w:tcPr>
            <w:tcW w:w="6622" w:type="dxa"/>
            <w:vAlign w:val="top"/>
          </w:tcPr>
          <w:p>
            <w:pPr>
              <w:ind w:left="2997"/>
              <w:spacing w:before="137"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5" w:hRule="atLeast"/>
        </w:trPr>
        <w:tc>
          <w:tcPr>
            <w:shd w:val="clear" w:fill="C7DAF1"/>
            <w:tcW w:w="1107" w:type="dxa"/>
            <w:vAlign w:val="top"/>
          </w:tcPr>
          <w:p>
            <w:pPr>
              <w:ind w:left="194"/>
              <w:spacing w:before="153"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300343</w:t>
            </w:r>
          </w:p>
        </w:tc>
        <w:tc>
          <w:tcPr>
            <w:shd w:val="clear" w:fill="C7DAF1"/>
            <w:tcW w:w="1273" w:type="dxa"/>
            <w:vAlign w:val="top"/>
          </w:tcPr>
          <w:p>
            <w:pPr>
              <w:ind w:left="215"/>
              <w:spacing w:before="139"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联创股份</w:t>
            </w:r>
          </w:p>
        </w:tc>
        <w:tc>
          <w:tcPr>
            <w:shd w:val="clear" w:fill="C7DAF1"/>
            <w:tcW w:w="6622" w:type="dxa"/>
            <w:vAlign w:val="top"/>
          </w:tcPr>
          <w:p>
            <w:pPr>
              <w:ind w:left="2997"/>
              <w:spacing w:before="138"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bl>
    <w:p>
      <w:pPr>
        <w:pStyle w:val="BodyText"/>
        <w:rPr/>
      </w:pPr>
      <w:r/>
    </w:p>
    <w:sectPr>
      <w:pgSz w:w="11910" w:h="16840"/>
      <w:pgMar w:top="400" w:right="1015" w:bottom="400" w:left="1333"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7.jpeg"/><Relationship Id="rId8" Type="http://schemas.openxmlformats.org/officeDocument/2006/relationships/image" Target="media/image6.jpeg"/><Relationship Id="rId7" Type="http://schemas.openxmlformats.org/officeDocument/2006/relationships/image" Target="media/image5.jpeg"/><Relationship Id="rId6" Type="http://schemas.openxmlformats.org/officeDocument/2006/relationships/image" Target="media/image4.jpeg"/><Relationship Id="rId5" Type="http://schemas.openxmlformats.org/officeDocument/2006/relationships/image" Target="media/image3.jpeg"/><Relationship Id="rId4" Type="http://schemas.openxmlformats.org/officeDocument/2006/relationships/image" Target="media/image2.jpeg"/><Relationship Id="rId3" Type="http://schemas.openxmlformats.org/officeDocument/2006/relationships/header" Target="header2.xml"/><Relationship Id="rId20" Type="http://schemas.openxmlformats.org/officeDocument/2006/relationships/fontTable" Target="fontTable.xml"/><Relationship Id="rId2" Type="http://schemas.openxmlformats.org/officeDocument/2006/relationships/image" Target="media/image1.jpeg"/><Relationship Id="rId19" Type="http://schemas.openxmlformats.org/officeDocument/2006/relationships/styles" Target="styles.xml"/><Relationship Id="rId18" Type="http://schemas.openxmlformats.org/officeDocument/2006/relationships/settings" Target="settings.xml"/><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footer" Target="footer1.xml"/><Relationship Id="rId12" Type="http://schemas.openxmlformats.org/officeDocument/2006/relationships/image" Target="media/image10.jpeg"/><Relationship Id="rId11" Type="http://schemas.openxmlformats.org/officeDocument/2006/relationships/image" Target="media/image9.jpeg"/><Relationship Id="rId10" Type="http://schemas.openxmlformats.org/officeDocument/2006/relationships/image" Target="media/image8.jpe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2024-02-01T17:19:05Z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2024-02-01T17:19:07</vt:filetime>
  </property>
  <property fmtid="{D5CDD505-2E9C-101B-9397-08002B2CF9AE}" pid="4" name="UsrData">
    <vt:lpwstr>65bb6206a2a793001f55f2bawl</vt:lpwstr>
  </property>
</Properties>
</file>