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2561"/>
        <w:spacing w:before="264" w:line="217" w:lineRule="auto"/>
        <w:outlineLvl w:val="0"/>
        <w:rPr>
          <w:rFonts w:ascii="SimHei" w:hAnsi="SimHei" w:eastAsia="SimHei" w:cs="SimHei"/>
          <w:sz w:val="81"/>
          <w:szCs w:val="8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-1747204</wp:posOffset>
            </wp:positionV>
            <wp:extent cx="7562850" cy="106934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81"/>
          <w:szCs w:val="81"/>
          <w:b/>
          <w:bCs/>
          <w:color w:val="FFFFFF"/>
          <w:spacing w:val="9"/>
        </w:rPr>
        <w:t>一周法规速递|监管动态</w:t>
      </w:r>
    </w:p>
    <w:p>
      <w:pPr>
        <w:ind w:left="5559"/>
        <w:spacing w:before="68" w:line="22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color w:val="FFFFFF"/>
          <w:spacing w:val="10"/>
        </w:rPr>
        <w:t>2024年1月15日-2024年1月21日</w: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3699"/>
        <w:spacing w:before="101" w:line="506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14"/>
        </w:rPr>
        <w:t>深圳价值在线咨询顾问有限公司</w:t>
      </w:r>
    </w:p>
    <w:p>
      <w:pPr>
        <w:ind w:left="4559"/>
        <w:spacing w:line="22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34"/>
        </w:rPr>
        <w:t>2024年1月22日</w:t>
      </w:r>
    </w:p>
    <w:p>
      <w:pPr>
        <w:spacing w:line="223" w:lineRule="auto"/>
        <w:sectPr>
          <w:headerReference w:type="default" r:id="rId1"/>
          <w:pgSz w:w="11910" w:h="16840"/>
          <w:pgMar w:top="400" w:right="0" w:bottom="0" w:left="0" w:header="0" w:footer="0" w:gutter="0"/>
        </w:sectPr>
        <w:rPr>
          <w:rFonts w:ascii="SimHei" w:hAnsi="SimHei" w:eastAsia="SimHei" w:cs="SimHei"/>
          <w:sz w:val="31"/>
          <w:szCs w:val="31"/>
        </w:rPr>
      </w:pPr>
    </w:p>
    <w:p>
      <w:pPr>
        <w:rPr>
          <w:rFonts w:ascii="SimHei" w:hAnsi="SimHei" w:eastAsia="SimHei" w:cs="SimHei"/>
          <w:sz w:val="44"/>
          <w:szCs w:val="44"/>
        </w:rPr>
      </w:pPr>
      <w:r>
        <w:pict>
          <v:rect id="_x0000_s2" style="position:absolute;margin-left:0pt;margin-top:50.4947pt;mso-position-vertical-relative:text;mso-position-horizontal-relative:text;width:590pt;height:1.05pt;z-index:251659264;" fillcolor="#FF0000" filled="true" stroked="false"/>
        </w:pict>
      </w:r>
      <w:r>
        <w:rPr>
          <w:rFonts w:ascii="SimHei" w:hAnsi="SimHei" w:eastAsia="SimHei" w:cs="SimHei"/>
          <w:sz w:val="44"/>
          <w:szCs w:val="44"/>
          <w:position w:val="-38"/>
        </w:rPr>
        <w:drawing>
          <wp:inline distT="0" distB="0" distL="0" distR="0">
            <wp:extent cx="831837" cy="69207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37" cy="69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44"/>
          <w:szCs w:val="44"/>
          <w:spacing w:val="167"/>
        </w:rPr>
        <w:t xml:space="preserve"> </w:t>
      </w:r>
      <w:r>
        <w:rPr>
          <w:rFonts w:ascii="SimHei" w:hAnsi="SimHei" w:eastAsia="SimHei" w:cs="SimHei"/>
          <w:sz w:val="44"/>
          <w:szCs w:val="44"/>
          <w:b/>
          <w:bCs/>
          <w:spacing w:val="-9"/>
        </w:rPr>
        <w:t>法规速递</w:t>
      </w:r>
    </w:p>
    <w:p>
      <w:pPr>
        <w:pStyle w:val="BodyText"/>
        <w:spacing w:line="258" w:lineRule="auto"/>
        <w:rPr/>
      </w:pPr>
      <w:r/>
    </w:p>
    <w:p>
      <w:pPr>
        <w:ind w:left="943"/>
        <w:spacing w:before="75" w:line="222" w:lineRule="auto"/>
        <w:outlineLvl w:val="0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13"/>
        </w:rPr>
        <w:t>1、</w:t>
      </w:r>
      <w:r>
        <w:rPr>
          <w:rFonts w:ascii="SimHei" w:hAnsi="SimHei" w:eastAsia="SimHei" w:cs="SimHei"/>
          <w:sz w:val="23"/>
          <w:szCs w:val="23"/>
          <w:spacing w:val="-47"/>
        </w:rPr>
        <w:t xml:space="preserve"> </w:t>
      </w:r>
      <w:r>
        <w:rPr>
          <w:rFonts w:ascii="SimHei" w:hAnsi="SimHei" w:eastAsia="SimHei" w:cs="SimHei"/>
          <w:sz w:val="23"/>
          <w:szCs w:val="23"/>
          <w:b/>
          <w:bCs/>
          <w:spacing w:val="13"/>
        </w:rPr>
        <w:t>上海证券交易所上市公司自律监管指引第10号——纪律处分实施标准(2024年1月修订)</w:t>
      </w:r>
    </w:p>
    <w:p>
      <w:pPr>
        <w:pStyle w:val="BodyText"/>
        <w:spacing w:line="257" w:lineRule="auto"/>
        <w:rPr/>
      </w:pPr>
      <w:r/>
    </w:p>
    <w:p>
      <w:pPr>
        <w:ind w:left="429" w:right="354" w:firstLine="460"/>
        <w:spacing w:before="75" w:line="287" w:lineRule="auto"/>
        <w:jc w:val="both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5"/>
        </w:rPr>
        <w:t>为不断提高自律监管的规范性、适应性、透</w:t>
      </w:r>
      <w:r>
        <w:rPr>
          <w:rFonts w:ascii="SimHei" w:hAnsi="SimHei" w:eastAsia="SimHei" w:cs="SimHei"/>
          <w:sz w:val="23"/>
          <w:szCs w:val="23"/>
          <w:spacing w:val="-6"/>
        </w:rPr>
        <w:t>明度，上海证券交易所(以下简称本所)对《上海证券交易所上市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2"/>
        </w:rPr>
        <w:t>公司自律监管指引第10号——纪律处分实施标准</w:t>
      </w:r>
      <w:r>
        <w:rPr>
          <w:rFonts w:ascii="SimHei" w:hAnsi="SimHei" w:eastAsia="SimHei" w:cs="SimHei"/>
          <w:sz w:val="23"/>
          <w:szCs w:val="23"/>
          <w:spacing w:val="-3"/>
        </w:rPr>
        <w:t>》</w:t>
      </w:r>
      <w:r>
        <w:rPr>
          <w:rFonts w:ascii="SimHei" w:hAnsi="SimHei" w:eastAsia="SimHei" w:cs="SimHei"/>
          <w:sz w:val="23"/>
          <w:szCs w:val="23"/>
          <w:spacing w:val="105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3"/>
        </w:rPr>
        <w:t>(以下简称《纪律处分实施标准》)进行了修订(详见附件),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5"/>
        </w:rPr>
        <w:t>现予以发布，并自发布之日起施行。修订后的《纪律处分实施标准》适用于主板、科创</w:t>
      </w:r>
      <w:r>
        <w:rPr>
          <w:rFonts w:ascii="SimHei" w:hAnsi="SimHei" w:eastAsia="SimHei" w:cs="SimHei"/>
          <w:sz w:val="23"/>
          <w:szCs w:val="23"/>
          <w:spacing w:val="-6"/>
        </w:rPr>
        <w:t>板上市公司。本所于2022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8"/>
        </w:rPr>
        <w:t>年1月7日发布的《关于发布《上海证券交易所上市公司自律监管指引第10号——纪律处分实施标准〉的通知》(上</w:t>
      </w:r>
      <w:r>
        <w:rPr>
          <w:rFonts w:ascii="SimHei" w:hAnsi="SimHei" w:eastAsia="SimHei" w:cs="SimHei"/>
          <w:sz w:val="23"/>
          <w:szCs w:val="23"/>
          <w:spacing w:val="11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6"/>
        </w:rPr>
        <w:t>证发〔2022〕11号)同时废止。</w:t>
      </w:r>
    </w:p>
    <w:p>
      <w:pPr>
        <w:pStyle w:val="BodyText"/>
        <w:spacing w:line="259" w:lineRule="auto"/>
        <w:rPr/>
      </w:pPr>
      <w:r/>
    </w:p>
    <w:p>
      <w:pPr>
        <w:ind w:left="9909"/>
        <w:spacing w:before="75" w:line="621" w:lineRule="exac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8"/>
          <w:position w:val="30"/>
        </w:rPr>
        <w:t>上海证券交易所</w:t>
      </w:r>
    </w:p>
    <w:p>
      <w:pPr>
        <w:ind w:left="9899"/>
        <w:spacing w:line="223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6"/>
        </w:rPr>
        <w:t>2024年1月19日</w:t>
      </w:r>
    </w:p>
    <w:p>
      <w:pPr>
        <w:ind w:firstLine="4509"/>
        <w:spacing w:before="191" w:line="2811" w:lineRule="exact"/>
        <w:rPr/>
      </w:pPr>
      <w:r>
        <w:rPr>
          <w:position w:val="-56"/>
        </w:rPr>
        <w:drawing>
          <wp:inline distT="0" distB="0" distL="0" distR="0">
            <wp:extent cx="1809790" cy="178440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09790" cy="1784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03"/>
        <w:spacing w:before="314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15"/>
        </w:rPr>
        <w:t>上海证券交易所上市公司自律监管指引第10号——纪律处分实施标准(</w:t>
      </w:r>
      <w:r>
        <w:rPr>
          <w:rFonts w:ascii="SimHei" w:hAnsi="SimHei" w:eastAsia="SimHei" w:cs="SimHei"/>
          <w:sz w:val="23"/>
          <w:szCs w:val="23"/>
          <w:b/>
          <w:bCs/>
          <w:spacing w:val="14"/>
        </w:rPr>
        <w:t>2024年1月修订)</w:t>
      </w:r>
    </w:p>
    <w:p>
      <w:pPr>
        <w:spacing w:line="222" w:lineRule="auto"/>
        <w:sectPr>
          <w:headerReference w:type="default" r:id="rId3"/>
          <w:pgSz w:w="11910" w:h="16840"/>
          <w:pgMar w:top="330" w:right="110" w:bottom="0" w:left="0" w:header="0" w:footer="0" w:gutter="0"/>
        </w:sectPr>
        <w:rPr>
          <w:rFonts w:ascii="SimHei" w:hAnsi="SimHei" w:eastAsia="SimHei" w:cs="SimHei"/>
          <w:sz w:val="23"/>
          <w:szCs w:val="23"/>
        </w:rPr>
      </w:pPr>
    </w:p>
    <w:p>
      <w:pPr>
        <w:ind w:left="510"/>
        <w:spacing w:before="117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8"/>
        </w:rPr>
        <w:t>2、</w:t>
      </w:r>
      <w:r>
        <w:rPr>
          <w:rFonts w:ascii="SimHei" w:hAnsi="SimHei" w:eastAsia="SimHei" w:cs="SimHei"/>
          <w:sz w:val="23"/>
          <w:szCs w:val="23"/>
          <w:spacing w:val="-41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8"/>
        </w:rPr>
        <w:t>关于做好上市公司控股股东、实际控制人及其一致行动人等信息填报工作的通知</w:t>
      </w:r>
    </w:p>
    <w:p>
      <w:pPr>
        <w:pStyle w:val="BodyText"/>
        <w:spacing w:line="266" w:lineRule="auto"/>
        <w:rPr/>
      </w:pPr>
      <w:r/>
    </w:p>
    <w:p>
      <w:pPr>
        <w:ind w:right="27" w:firstLine="480"/>
        <w:spacing w:before="75" w:line="273" w:lineRule="auto"/>
        <w:jc w:val="both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6"/>
        </w:rPr>
        <w:t>为落实中国证监会进一步规范股份减持行为的监管要求和本所《关于进一步规范股份减持行为有关事项的通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8"/>
        </w:rPr>
        <w:t>知》,加强对上市公司控股股东、实际控制人及其一致行动人减持行为的监管，现就相关股东信息填报和维护工作</w:t>
      </w:r>
      <w:r>
        <w:rPr>
          <w:rFonts w:ascii="SimHei" w:hAnsi="SimHei" w:eastAsia="SimHei" w:cs="SimHei"/>
          <w:sz w:val="23"/>
          <w:szCs w:val="23"/>
          <w:spacing w:val="16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2"/>
        </w:rPr>
        <w:t>提出要求。</w:t>
      </w:r>
    </w:p>
    <w:p>
      <w:pPr>
        <w:pStyle w:val="BodyText"/>
        <w:spacing w:line="265" w:lineRule="auto"/>
        <w:rPr/>
      </w:pPr>
      <w:r/>
    </w:p>
    <w:p>
      <w:pPr>
        <w:ind w:right="12"/>
        <w:spacing w:before="74" w:line="623" w:lineRule="exact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6"/>
          <w:position w:val="30"/>
        </w:rPr>
        <w:t>上海证券交易所公司管理部，上海证券交易</w:t>
      </w:r>
      <w:r>
        <w:rPr>
          <w:rFonts w:ascii="SimHei" w:hAnsi="SimHei" w:eastAsia="SimHei" w:cs="SimHei"/>
          <w:sz w:val="23"/>
          <w:szCs w:val="23"/>
          <w:spacing w:val="-17"/>
          <w:position w:val="30"/>
        </w:rPr>
        <w:t>所科创板公司管理部</w:t>
      </w:r>
    </w:p>
    <w:p>
      <w:pPr>
        <w:spacing w:line="223" w:lineRule="auto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6"/>
        </w:rPr>
        <w:t>2024年1月17日</w:t>
      </w:r>
    </w:p>
    <w:p>
      <w:pPr>
        <w:ind w:firstLine="4319"/>
        <w:spacing w:before="191" w:line="2811" w:lineRule="exact"/>
        <w:rPr/>
      </w:pPr>
      <w:r>
        <w:rPr>
          <w:position w:val="-56"/>
        </w:rPr>
        <w:drawing>
          <wp:inline distT="0" distB="0" distL="0" distR="0">
            <wp:extent cx="1797084" cy="1784407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7084" cy="1784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20"/>
        <w:spacing w:before="297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9"/>
        </w:rPr>
        <w:t>关于做好上市公司控股股东、实际控制人及其一致行动人等信息填报工作的通知</w:t>
      </w:r>
    </w:p>
    <w:p>
      <w:pPr>
        <w:spacing w:line="221" w:lineRule="auto"/>
        <w:sectPr>
          <w:pgSz w:w="11910" w:h="16840"/>
          <w:pgMar w:top="400" w:right="453" w:bottom="0" w:left="419" w:header="0" w:footer="0" w:gutter="0"/>
        </w:sectPr>
        <w:rPr>
          <w:rFonts w:ascii="SimHei" w:hAnsi="SimHei" w:eastAsia="SimHei" w:cs="SimHei"/>
          <w:sz w:val="23"/>
          <w:szCs w:val="23"/>
        </w:rPr>
      </w:pPr>
    </w:p>
    <w:p>
      <w:pPr>
        <w:ind w:left="493"/>
        <w:spacing w:before="94" w:line="221" w:lineRule="auto"/>
        <w:outlineLvl w:val="0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5"/>
        </w:rPr>
        <w:t>3、</w:t>
      </w:r>
      <w:r>
        <w:rPr>
          <w:rFonts w:ascii="SimHei" w:hAnsi="SimHei" w:eastAsia="SimHei" w:cs="SimHei"/>
          <w:sz w:val="23"/>
          <w:szCs w:val="23"/>
          <w:spacing w:val="-54"/>
        </w:rPr>
        <w:t xml:space="preserve"> </w:t>
      </w:r>
      <w:r>
        <w:rPr>
          <w:rFonts w:ascii="SimHei" w:hAnsi="SimHei" w:eastAsia="SimHei" w:cs="SimHei"/>
          <w:sz w:val="23"/>
          <w:szCs w:val="23"/>
          <w:b/>
          <w:bCs/>
          <w:spacing w:val="5"/>
        </w:rPr>
        <w:t>关于独立董事信息填报和核对更新要求的通知</w:t>
      </w:r>
    </w:p>
    <w:p>
      <w:pPr>
        <w:pStyle w:val="BodyText"/>
        <w:spacing w:line="271" w:lineRule="auto"/>
        <w:rPr/>
      </w:pPr>
      <w:r/>
    </w:p>
    <w:p>
      <w:pPr>
        <w:ind w:firstLine="460"/>
        <w:spacing w:before="75" w:line="259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1"/>
        </w:rPr>
        <w:t>为贯彻落实独立董事制度改革要求，加强独立董</w:t>
      </w:r>
      <w:r>
        <w:rPr>
          <w:rFonts w:ascii="SimHei" w:hAnsi="SimHei" w:eastAsia="SimHei" w:cs="SimHei"/>
          <w:sz w:val="23"/>
          <w:szCs w:val="23"/>
          <w:spacing w:val="-12"/>
        </w:rPr>
        <w:t>事选任管理，协助中国上市公司协会做好独立董事信息库建设，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1"/>
        </w:rPr>
        <w:t>根据本所《股票上市规则》等有关规定，现就独立董事信息报送和更新</w:t>
      </w:r>
      <w:r>
        <w:rPr>
          <w:rFonts w:ascii="SimHei" w:hAnsi="SimHei" w:eastAsia="SimHei" w:cs="SimHei"/>
          <w:sz w:val="23"/>
          <w:szCs w:val="23"/>
          <w:spacing w:val="-12"/>
        </w:rPr>
        <w:t>维护要求通知。</w:t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5030"/>
        <w:spacing w:before="75" w:line="632" w:lineRule="exac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7"/>
          <w:position w:val="31"/>
        </w:rPr>
        <w:t>上海证券交易所公司管理部，上海证券交易所科创板公司管理部</w:t>
      </w:r>
    </w:p>
    <w:p>
      <w:pPr>
        <w:ind w:left="9449"/>
        <w:spacing w:line="223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4"/>
        </w:rPr>
        <w:t>2024年1月16日</w:t>
      </w:r>
    </w:p>
    <w:p>
      <w:pPr>
        <w:ind w:firstLine="4299"/>
        <w:spacing w:before="172" w:line="2830" w:lineRule="exact"/>
        <w:rPr/>
      </w:pPr>
      <w:r>
        <w:rPr>
          <w:position w:val="-56"/>
        </w:rPr>
        <w:drawing>
          <wp:inline distT="0" distB="0" distL="0" distR="0">
            <wp:extent cx="1797084" cy="179702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7084" cy="179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003"/>
        <w:spacing w:before="294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6"/>
        </w:rPr>
        <w:t>关于独立董事信息填报和核对更新要求的通知</w:t>
      </w:r>
    </w:p>
    <w:p>
      <w:pPr>
        <w:spacing w:line="221" w:lineRule="auto"/>
        <w:sectPr>
          <w:pgSz w:w="11910" w:h="16840"/>
          <w:pgMar w:top="400" w:right="304" w:bottom="0" w:left="439" w:header="0" w:footer="0" w:gutter="0"/>
        </w:sectPr>
        <w:rPr>
          <w:rFonts w:ascii="SimHei" w:hAnsi="SimHei" w:eastAsia="SimHei" w:cs="SimHei"/>
          <w:sz w:val="23"/>
          <w:szCs w:val="23"/>
        </w:rPr>
      </w:pPr>
    </w:p>
    <w:p>
      <w:pPr>
        <w:ind w:left="493"/>
        <w:spacing w:before="114" w:line="221" w:lineRule="auto"/>
        <w:outlineLvl w:val="0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4"/>
        </w:rPr>
        <w:t>4、</w:t>
      </w:r>
      <w:r>
        <w:rPr>
          <w:rFonts w:ascii="SimHei" w:hAnsi="SimHei" w:eastAsia="SimHei" w:cs="SimHei"/>
          <w:sz w:val="23"/>
          <w:szCs w:val="23"/>
          <w:spacing w:val="-46"/>
        </w:rPr>
        <w:t xml:space="preserve"> </w:t>
      </w:r>
      <w:r>
        <w:rPr>
          <w:rFonts w:ascii="SimHei" w:hAnsi="SimHei" w:eastAsia="SimHei" w:cs="SimHei"/>
          <w:sz w:val="23"/>
          <w:szCs w:val="23"/>
          <w:b/>
          <w:bCs/>
          <w:spacing w:val="4"/>
        </w:rPr>
        <w:t>关于开展独立董事信息补录核对工作的通知</w:t>
      </w:r>
    </w:p>
    <w:p>
      <w:pPr>
        <w:pStyle w:val="BodyText"/>
        <w:spacing w:line="282" w:lineRule="auto"/>
        <w:rPr/>
      </w:pPr>
      <w:r/>
    </w:p>
    <w:p>
      <w:pPr>
        <w:ind w:right="36" w:firstLine="470"/>
        <w:spacing w:before="75" w:line="266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4"/>
        </w:rPr>
        <w:t>为贯彻落实《国务院办公厅关于上市公司独</w:t>
      </w:r>
      <w:r>
        <w:rPr>
          <w:rFonts w:ascii="SimHei" w:hAnsi="SimHei" w:eastAsia="SimHei" w:cs="SimHei"/>
          <w:sz w:val="23"/>
          <w:szCs w:val="23"/>
          <w:spacing w:val="-15"/>
        </w:rPr>
        <w:t>立董事制度改革的意见》</w:t>
      </w:r>
      <w:r>
        <w:rPr>
          <w:rFonts w:ascii="SimHei" w:hAnsi="SimHei" w:eastAsia="SimHei" w:cs="SimHei"/>
          <w:sz w:val="23"/>
          <w:szCs w:val="23"/>
          <w:spacing w:val="64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5"/>
        </w:rPr>
        <w:t>《上市公司独立董事管理办法》有关精神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0"/>
        </w:rPr>
        <w:t>和要求，协助完善独立董事信息库，更好地服务独立</w:t>
      </w:r>
      <w:r>
        <w:rPr>
          <w:rFonts w:ascii="SimHei" w:hAnsi="SimHei" w:eastAsia="SimHei" w:cs="SimHei"/>
          <w:sz w:val="23"/>
          <w:szCs w:val="23"/>
          <w:spacing w:val="-11"/>
        </w:rPr>
        <w:t>董事履职尽责，根据本所《规范运作指引》《业务办理指南》</w:t>
      </w:r>
      <w:r>
        <w:rPr>
          <w:rFonts w:ascii="SimHei" w:hAnsi="SimHei" w:eastAsia="SimHei" w:cs="SimHei"/>
          <w:sz w:val="23"/>
          <w:szCs w:val="23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11"/>
        </w:rPr>
        <w:t>相关规定，上市公司应当做好独立董事的信息更新、维护，现组织开展独立董事信息补录核对工作。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ind w:right="12"/>
        <w:spacing w:before="75" w:line="601" w:lineRule="exact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8"/>
          <w:position w:val="28"/>
        </w:rPr>
        <w:t>深圳证券交易所</w:t>
      </w:r>
    </w:p>
    <w:p>
      <w:pPr>
        <w:spacing w:line="223" w:lineRule="auto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6"/>
        </w:rPr>
        <w:t>2024年1月15日</w:t>
      </w:r>
    </w:p>
    <w:p>
      <w:pPr>
        <w:ind w:firstLine="4329"/>
        <w:spacing w:before="202" w:line="2770" w:lineRule="exact"/>
        <w:rPr/>
      </w:pPr>
      <w:r>
        <w:rPr>
          <w:position w:val="-55"/>
        </w:rPr>
        <w:drawing>
          <wp:inline distT="0" distB="0" distL="0" distR="0">
            <wp:extent cx="1765320" cy="1758957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5320" cy="1758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7" w:lineRule="auto"/>
        <w:rPr/>
      </w:pPr>
      <w:r/>
    </w:p>
    <w:p>
      <w:pPr>
        <w:ind w:left="3133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6"/>
        </w:rPr>
        <w:t>关于开展独立董事信息补录核对工作的通知</w:t>
      </w:r>
    </w:p>
    <w:p>
      <w:pPr>
        <w:spacing w:line="221" w:lineRule="auto"/>
        <w:sectPr>
          <w:pgSz w:w="11910" w:h="16840"/>
          <w:pgMar w:top="400" w:right="453" w:bottom="0" w:left="429" w:header="0" w:footer="0" w:gutter="0"/>
        </w:sectPr>
        <w:rPr>
          <w:rFonts w:ascii="SimHei" w:hAnsi="SimHei" w:eastAsia="SimHei" w:cs="SimHei"/>
          <w:sz w:val="23"/>
          <w:szCs w:val="23"/>
        </w:rPr>
      </w:pPr>
    </w:p>
    <w:p>
      <w:pPr>
        <w:ind w:left="1696"/>
        <w:spacing w:before="328" w:line="222" w:lineRule="auto"/>
        <w:rPr>
          <w:rFonts w:ascii="SimHei" w:hAnsi="SimHei" w:eastAsia="SimHei" w:cs="SimHei"/>
          <w:sz w:val="44"/>
          <w:szCs w:val="44"/>
        </w:rPr>
      </w:pPr>
      <w:r>
        <w:pict>
          <v:rect id="_x0000_s4" style="position:absolute;margin-left:7.4973pt;margin-top:74.9969pt;mso-position-vertical-relative:page;mso-position-horizontal-relative:page;width:585.55pt;height:1.05pt;z-index:251664384;" o:allowincell="f" fillcolor="#FF0000" filled="true" stroked="false"/>
        </w:pict>
      </w:r>
      <w:r>
        <w:pict>
          <v:rect id="_x0000_s6" style="position:absolute;margin-left:96.0006pt;margin-top:777.503pt;mso-position-vertical-relative:page;mso-position-horizontal-relative:page;width:403pt;height:1pt;z-index:251665408;" o:allowincell="f" fillcolor="#000000" filled="true" stroked="false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215900</wp:posOffset>
            </wp:positionV>
            <wp:extent cx="895365" cy="76832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365" cy="76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4"/>
          <w:szCs w:val="44"/>
          <w:b/>
          <w:bCs/>
          <w:spacing w:val="-8"/>
        </w:rPr>
        <w:t>监管动态</w:t>
      </w:r>
    </w:p>
    <w:p>
      <w:pPr>
        <w:pStyle w:val="BodyText"/>
        <w:spacing w:line="319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ind w:firstLine="169"/>
        <w:spacing w:line="760" w:lineRule="exact"/>
        <w:rPr/>
      </w:pPr>
      <w:r>
        <w:rPr>
          <w:position w:val="-15"/>
        </w:rPr>
        <w:pict>
          <v:group id="_x0000_s8" style="mso-position-vertical-relative:line;mso-position-horizontal-relative:char;width:137.55pt;height:38pt;" filled="false" stroked="false" coordsize="2751,760" coordorigin="0,0">
            <v:shape id="_x0000_s10" style="position:absolute;left:0;top:0;width:2751;height:760;" filled="false" stroked="false" type="#_x0000_t75">
              <v:imagedata o:title="" r:id="rId10"/>
            </v:shape>
            <v:shape id="_x0000_s12" style="position:absolute;left:-20;top:-20;width:2791;height:8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10"/>
                      <w:spacing w:before="249" w:line="221" w:lineRule="auto"/>
                      <w:rPr>
                        <w:rFonts w:ascii="SimHei" w:hAnsi="SimHei" w:eastAsia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hAnsi="SimHei" w:eastAsia="SimHei" w:cs="SimHei"/>
                        <w:sz w:val="29"/>
                        <w:szCs w:val="29"/>
                        <w:color w:val="FFFFFF"/>
                        <w:spacing w:val="-9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57" w:lineRule="auto"/>
        <w:rPr/>
      </w:pPr>
      <w:r/>
    </w:p>
    <w:p>
      <w:pPr>
        <w:ind w:left="880"/>
        <w:spacing w:before="68" w:line="410" w:lineRule="exac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2"/>
          <w:position w:val="15"/>
        </w:rPr>
        <w:t>2024年1月15日-1月21日，证监会作出4份监管文书；证监局作出19份监管文书；上交所作出14份监管文书；</w:t>
      </w:r>
    </w:p>
    <w:p>
      <w:pPr>
        <w:ind w:left="429"/>
        <w:spacing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5"/>
        </w:rPr>
        <w:t>深交所作出7份监管文书。</w:t>
      </w:r>
    </w:p>
    <w:p>
      <w:pPr>
        <w:pStyle w:val="BodyText"/>
        <w:spacing w:line="258" w:lineRule="auto"/>
        <w:rPr/>
      </w:pPr>
      <w:r/>
    </w:p>
    <w:p>
      <w:pPr>
        <w:ind w:left="880"/>
        <w:spacing w:before="68" w:line="410" w:lineRule="exac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2"/>
          <w:position w:val="15"/>
        </w:rPr>
        <w:t>上周，证监会对3个对象进行立案调查，作出1份行政处罚事先告知书</w:t>
      </w:r>
      <w:r>
        <w:rPr>
          <w:rFonts w:ascii="SimHei" w:hAnsi="SimHei" w:eastAsia="SimHei" w:cs="SimHei"/>
          <w:sz w:val="21"/>
          <w:szCs w:val="21"/>
          <w:spacing w:val="11"/>
          <w:position w:val="15"/>
        </w:rPr>
        <w:t>；证监局作出2份行政处罚及市场禁入决</w:t>
      </w:r>
    </w:p>
    <w:p>
      <w:pPr>
        <w:ind w:left="429"/>
        <w:spacing w:before="1" w:line="21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0"/>
        </w:rPr>
        <w:t>定书，2份行政处罚决定事先告知书，15</w:t>
      </w:r>
      <w:r>
        <w:rPr>
          <w:rFonts w:ascii="SimHei" w:hAnsi="SimHei" w:eastAsia="SimHei" w:cs="SimHei"/>
          <w:sz w:val="21"/>
          <w:szCs w:val="21"/>
          <w:spacing w:val="9"/>
        </w:rPr>
        <w:t>份行政监管措施决定书。</w:t>
      </w:r>
    </w:p>
    <w:p>
      <w:pPr>
        <w:pStyle w:val="BodyText"/>
        <w:spacing w:line="327" w:lineRule="auto"/>
        <w:rPr/>
      </w:pPr>
      <w:r/>
    </w:p>
    <w:p>
      <w:pPr>
        <w:ind w:left="880"/>
        <w:spacing w:before="69" w:line="380" w:lineRule="exac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2"/>
          <w:position w:val="13"/>
        </w:rPr>
        <w:t>上周，上交所公司监管部门作出11份监管警示函，对3宗行为予以纪律处分。同时，加大</w:t>
      </w:r>
      <w:r>
        <w:rPr>
          <w:rFonts w:ascii="SimHei" w:hAnsi="SimHei" w:eastAsia="SimHei" w:cs="SimHei"/>
          <w:sz w:val="21"/>
          <w:szCs w:val="21"/>
          <w:spacing w:val="11"/>
          <w:position w:val="13"/>
        </w:rPr>
        <w:t>信息披露和股价异常</w:t>
      </w:r>
    </w:p>
    <w:p>
      <w:pPr>
        <w:ind w:left="429"/>
        <w:spacing w:before="1" w:line="21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9"/>
        </w:rPr>
        <w:t>的联动监管，针对公司披露敏感信息或股价发生明显异常的，提请启动内幕交易、异常交</w:t>
      </w:r>
      <w:r>
        <w:rPr>
          <w:rFonts w:ascii="SimHei" w:hAnsi="SimHei" w:eastAsia="SimHei" w:cs="SimHei"/>
          <w:sz w:val="21"/>
          <w:szCs w:val="21"/>
          <w:spacing w:val="8"/>
        </w:rPr>
        <w:t>易核查7单。</w:t>
      </w:r>
    </w:p>
    <w:p>
      <w:pPr>
        <w:pStyle w:val="BodyText"/>
        <w:spacing w:line="297" w:lineRule="auto"/>
        <w:rPr/>
      </w:pPr>
      <w:r/>
    </w:p>
    <w:p>
      <w:pPr>
        <w:ind w:left="880"/>
        <w:spacing w:before="69" w:line="213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9"/>
        </w:rPr>
        <w:t>上周，深交所发出5份监管函，对2宗行为予以纪律处分；共发出关注函7份。</w:t>
      </w:r>
    </w:p>
    <w:p>
      <w:pPr>
        <w:pStyle w:val="BodyText"/>
        <w:spacing w:line="347" w:lineRule="auto"/>
        <w:rPr/>
      </w:pPr>
      <w:r/>
    </w:p>
    <w:p>
      <w:pPr>
        <w:ind w:left="3365"/>
        <w:spacing w:before="117" w:line="221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7"/>
        </w:rPr>
        <w:t>上周监管机构监管数据统计(份)</w:t>
      </w:r>
    </w:p>
    <w:p>
      <w:pPr>
        <w:spacing w:before="37"/>
        <w:rPr/>
      </w:pPr>
      <w:r/>
    </w:p>
    <w:p>
      <w:pPr>
        <w:spacing w:before="37"/>
        <w:rPr/>
      </w:pPr>
      <w:r/>
    </w:p>
    <w:p>
      <w:pPr>
        <w:spacing w:before="37"/>
        <w:rPr/>
      </w:pPr>
      <w:r/>
    </w:p>
    <w:p>
      <w:pPr>
        <w:sectPr>
          <w:pgSz w:w="11910" w:h="16840"/>
          <w:pgMar w:top="400" w:right="50" w:bottom="0" w:left="0" w:header="0" w:footer="0" w:gutter="0"/>
          <w:cols w:equalWidth="0" w:num="1">
            <w:col w:w="11860" w:space="0"/>
          </w:cols>
        </w:sectPr>
        <w:rPr/>
      </w:pPr>
    </w:p>
    <w:p>
      <w:pPr>
        <w:ind w:left="2599"/>
        <w:spacing w:before="29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4"/>
        </w:rPr>
        <w:t>41-</w:t>
      </w:r>
    </w:p>
    <w:p>
      <w:pPr>
        <w:pStyle w:val="BodyText"/>
        <w:spacing w:line="251" w:lineRule="auto"/>
        <w:rPr/>
      </w:pPr>
      <w:r/>
    </w:p>
    <w:p>
      <w:pPr>
        <w:ind w:left="2599"/>
        <w:spacing w:before="68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31-</w:t>
      </w:r>
    </w:p>
    <w:p>
      <w:pPr>
        <w:pStyle w:val="BodyText"/>
        <w:spacing w:line="260" w:lineRule="auto"/>
        <w:rPr/>
      </w:pPr>
      <w:r/>
    </w:p>
    <w:p>
      <w:pPr>
        <w:ind w:left="2599"/>
        <w:spacing w:before="69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21-</w:t>
      </w:r>
    </w:p>
    <w:p>
      <w:pPr>
        <w:pStyle w:val="BodyText"/>
        <w:spacing w:line="250" w:lineRule="auto"/>
        <w:rPr/>
      </w:pPr>
      <w:r/>
    </w:p>
    <w:p>
      <w:pPr>
        <w:ind w:left="2599"/>
        <w:spacing w:before="69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8"/>
        </w:rPr>
        <w:t>11-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1680"/>
        <w:spacing w:before="68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6"/>
        </w:rPr>
        <w:t>19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spacing w:before="69" w:line="144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position w:val="-3"/>
        </w:rPr>
        <w:t>4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spacing w:before="69"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6"/>
        </w:rPr>
        <w:t>14</w:t>
      </w:r>
    </w:p>
    <w:p>
      <w:pPr>
        <w:ind w:left="1729"/>
        <w:spacing w:before="183" w:line="18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7</w:t>
      </w:r>
    </w:p>
    <w:p>
      <w:pPr>
        <w:spacing w:line="182" w:lineRule="auto"/>
        <w:sectPr>
          <w:type w:val="continuous"/>
          <w:pgSz w:w="11910" w:h="16840"/>
          <w:pgMar w:top="400" w:right="50" w:bottom="0" w:left="0" w:header="0" w:footer="0" w:gutter="0"/>
          <w:cols w:equalWidth="0" w:num="3">
            <w:col w:w="3600" w:space="100"/>
            <w:col w:w="3281" w:space="100"/>
            <w:col w:w="4780" w:space="0"/>
          </w:cols>
        </w:sectPr>
        <w:rPr>
          <w:rFonts w:ascii="SimSun" w:hAnsi="SimSun" w:eastAsia="SimSun" w:cs="SimSun"/>
          <w:sz w:val="21"/>
          <w:szCs w:val="21"/>
        </w:rPr>
      </w:pPr>
    </w:p>
    <w:p>
      <w:pPr>
        <w:spacing w:before="57"/>
        <w:rPr/>
      </w:pPr>
      <w:r/>
    </w:p>
    <w:tbl>
      <w:tblPr>
        <w:tblStyle w:val="TableNormal"/>
        <w:tblW w:w="7439" w:type="dxa"/>
        <w:tblInd w:w="228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64"/>
        <w:gridCol w:w="1688"/>
        <w:gridCol w:w="1698"/>
        <w:gridCol w:w="1687"/>
        <w:gridCol w:w="1702"/>
      </w:tblGrid>
      <w:tr>
        <w:trPr>
          <w:trHeight w:val="340" w:hRule="atLeast"/>
        </w:trPr>
        <w:tc>
          <w:tcPr>
            <w:tcW w:w="664" w:type="dxa"/>
            <w:vAlign w:val="top"/>
          </w:tcPr>
          <w:p>
            <w:pPr>
              <w:ind w:right="9"/>
              <w:spacing w:before="69" w:line="184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1688" w:type="dxa"/>
            <w:vAlign w:val="top"/>
          </w:tcPr>
          <w:p>
            <w:pPr>
              <w:ind w:left="500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证监会</w:t>
            </w:r>
          </w:p>
        </w:tc>
        <w:tc>
          <w:tcPr>
            <w:tcW w:w="1698" w:type="dxa"/>
            <w:vAlign w:val="top"/>
          </w:tcPr>
          <w:p>
            <w:pPr>
              <w:ind w:left="512"/>
              <w:spacing w:before="6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证监局</w:t>
            </w:r>
          </w:p>
        </w:tc>
        <w:tc>
          <w:tcPr>
            <w:tcW w:w="1687" w:type="dxa"/>
            <w:vAlign w:val="top"/>
          </w:tcPr>
          <w:p>
            <w:pPr>
              <w:ind w:left="504"/>
              <w:spacing w:before="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上交所</w:t>
            </w:r>
          </w:p>
        </w:tc>
        <w:tc>
          <w:tcPr>
            <w:tcW w:w="1702" w:type="dxa"/>
            <w:vAlign w:val="top"/>
          </w:tcPr>
          <w:p>
            <w:pPr>
              <w:ind w:left="517"/>
              <w:spacing w:before="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深交所</w:t>
            </w:r>
          </w:p>
        </w:tc>
      </w:tr>
      <w:tr>
        <w:trPr>
          <w:trHeight w:val="290" w:hRule="atLeast"/>
        </w:trPr>
        <w:tc>
          <w:tcPr>
            <w:tcW w:w="664" w:type="dxa"/>
            <w:vAlign w:val="top"/>
          </w:tcPr>
          <w:p>
            <w:pPr>
              <w:spacing w:before="44" w:line="198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■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份</w:t>
            </w: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数</w:t>
            </w:r>
          </w:p>
        </w:tc>
        <w:tc>
          <w:tcPr>
            <w:tcW w:w="1688" w:type="dxa"/>
            <w:vAlign w:val="top"/>
          </w:tcPr>
          <w:p>
            <w:pPr>
              <w:ind w:left="780"/>
              <w:spacing w:before="10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position w:val="-2"/>
              </w:rPr>
              <w:t>4</w:t>
            </w:r>
          </w:p>
        </w:tc>
        <w:tc>
          <w:tcPr>
            <w:tcW w:w="1698" w:type="dxa"/>
            <w:vAlign w:val="top"/>
          </w:tcPr>
          <w:p>
            <w:pPr>
              <w:ind w:left="732"/>
              <w:spacing w:before="9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19</w:t>
            </w:r>
          </w:p>
        </w:tc>
        <w:tc>
          <w:tcPr>
            <w:tcW w:w="1687" w:type="dxa"/>
            <w:vAlign w:val="top"/>
          </w:tcPr>
          <w:p>
            <w:pPr>
              <w:ind w:left="724"/>
              <w:spacing w:before="9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14</w:t>
            </w:r>
          </w:p>
        </w:tc>
        <w:tc>
          <w:tcPr>
            <w:tcW w:w="1702" w:type="dxa"/>
            <w:vAlign w:val="top"/>
          </w:tcPr>
          <w:p>
            <w:pPr>
              <w:ind w:left="787"/>
              <w:spacing w:before="10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position w:val="-2"/>
              </w:rPr>
              <w:t>7</w:t>
            </w:r>
          </w:p>
        </w:tc>
      </w:tr>
    </w:tbl>
    <w:p>
      <w:pPr>
        <w:ind w:firstLine="1889"/>
        <w:spacing w:before="205" w:line="4390" w:lineRule="exact"/>
        <w:rPr/>
      </w:pPr>
      <w:r>
        <w:rPr>
          <w:position w:val="-87"/>
        </w:rPr>
        <w:drawing>
          <wp:inline distT="0" distB="0" distL="0" distR="0">
            <wp:extent cx="5156200" cy="2787662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56200" cy="278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90" w:lineRule="exact"/>
        <w:sectPr>
          <w:type w:val="continuous"/>
          <w:pgSz w:w="11910" w:h="16840"/>
          <w:pgMar w:top="400" w:right="50" w:bottom="0" w:left="0" w:header="0" w:footer="0" w:gutter="0"/>
          <w:cols w:equalWidth="0" w:num="1">
            <w:col w:w="11860" w:space="0"/>
          </w:cols>
        </w:sectPr>
        <w:rPr/>
      </w:pPr>
    </w:p>
    <w:p>
      <w:pPr>
        <w:spacing w:before="19" w:line="810" w:lineRule="exact"/>
        <w:rPr/>
      </w:pPr>
      <w:r>
        <w:rPr>
          <w:position w:val="-16"/>
        </w:rPr>
        <w:pict>
          <v:group id="_x0000_s14" style="mso-position-vertical-relative:line;mso-position-horizontal-relative:char;width:189pt;height:40.55pt;" filled="false" stroked="false" coordsize="3780,810" coordorigin="0,0">
            <v:shape id="_x0000_s16" style="position:absolute;left:0;top:0;width:3780;height:810;" filled="false" stroked="false" type="#_x0000_t75">
              <v:imagedata o:title="" r:id="rId12"/>
            </v:shape>
            <v:shape id="_x0000_s18" style="position:absolute;left:-20;top:-20;width:3820;height:8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33"/>
                      <w:spacing w:before="255" w:line="222" w:lineRule="auto"/>
                      <w:rPr>
                        <w:rFonts w:ascii="SimHei" w:hAnsi="SimHei" w:eastAsia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hAnsi="SimHei" w:eastAsia="SimHei" w:cs="SimHei"/>
                        <w:sz w:val="29"/>
                        <w:szCs w:val="29"/>
                        <w:b/>
                        <w:bCs/>
                        <w:color w:val="FFFFFF"/>
                        <w:spacing w:val="-11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60" w:lineRule="auto"/>
        <w:rPr/>
      </w:pPr>
      <w:r/>
    </w:p>
    <w:p>
      <w:pPr>
        <w:ind w:left="389" w:firstLine="460"/>
        <w:spacing w:before="75" w:line="247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1"/>
        </w:rPr>
        <w:t>2024年1月15日-1月21日，证监会对3个对象进行立案调查，作出1份行政处罚事先告知书；证监局作出2份</w:t>
      </w:r>
      <w:r>
        <w:rPr>
          <w:rFonts w:ascii="SimHei" w:hAnsi="SimHei" w:eastAsia="SimHei" w:cs="SimHei"/>
          <w:sz w:val="23"/>
          <w:szCs w:val="23"/>
          <w:spacing w:val="9"/>
        </w:rPr>
        <w:t xml:space="preserve"> </w:t>
      </w:r>
      <w:r>
        <w:rPr>
          <w:rFonts w:ascii="SimHei" w:hAnsi="SimHei" w:eastAsia="SimHei" w:cs="SimHei"/>
          <w:sz w:val="23"/>
          <w:szCs w:val="23"/>
          <w:spacing w:val="-9"/>
        </w:rPr>
        <w:t>行政处罚及市场禁入决定书，2份行政处罚</w:t>
      </w:r>
      <w:r>
        <w:rPr>
          <w:rFonts w:ascii="SimHei" w:hAnsi="SimHei" w:eastAsia="SimHei" w:cs="SimHei"/>
          <w:sz w:val="23"/>
          <w:szCs w:val="23"/>
          <w:spacing w:val="-10"/>
        </w:rPr>
        <w:t>决定事先告知书，15份行政监管措施决定书。</w:t>
      </w:r>
    </w:p>
    <w:p>
      <w:pPr>
        <w:pStyle w:val="BodyText"/>
        <w:spacing w:line="315" w:lineRule="auto"/>
        <w:rPr/>
      </w:pPr>
      <w:r/>
    </w:p>
    <w:p>
      <w:pPr>
        <w:ind w:left="963"/>
        <w:spacing w:before="74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14"/>
        </w:rPr>
        <w:t>(1)行政处罚及市场禁入决定书</w:t>
      </w:r>
    </w:p>
    <w:p>
      <w:pPr>
        <w:spacing w:before="22"/>
        <w:rPr/>
      </w:pPr>
      <w:r/>
    </w:p>
    <w:tbl>
      <w:tblPr>
        <w:tblStyle w:val="TableNormal"/>
        <w:tblW w:w="8039" w:type="dxa"/>
        <w:tblInd w:w="186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13"/>
        <w:gridCol w:w="1338"/>
        <w:gridCol w:w="5488"/>
      </w:tblGrid>
      <w:tr>
        <w:trPr>
          <w:trHeight w:val="394" w:hRule="atLeast"/>
        </w:trPr>
        <w:tc>
          <w:tcPr>
            <w:shd w:val="clear" w:fill="4F81BD"/>
            <w:tcW w:w="2551" w:type="dxa"/>
            <w:vAlign w:val="top"/>
            <w:gridSpan w:val="2"/>
          </w:tcPr>
          <w:p>
            <w:pPr>
              <w:pStyle w:val="TableText"/>
              <w:ind w:left="177"/>
              <w:spacing w:before="1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color w:val="FFFFFF"/>
                <w:spacing w:val="-6"/>
              </w:rPr>
              <w:t>公司代码</w:t>
            </w:r>
            <w:r>
              <w:rPr>
                <w:sz w:val="21"/>
                <w:szCs w:val="21"/>
                <w:color w:val="FFFFFF"/>
                <w:spacing w:val="7"/>
              </w:rPr>
              <w:t xml:space="preserve">    </w:t>
            </w:r>
            <w:r>
              <w:rPr>
                <w:sz w:val="21"/>
                <w:szCs w:val="21"/>
                <w:b/>
                <w:bCs/>
                <w:color w:val="FFFFFF"/>
                <w:spacing w:val="-6"/>
              </w:rPr>
              <w:t>公司简称</w:t>
            </w:r>
          </w:p>
        </w:tc>
        <w:tc>
          <w:tcPr>
            <w:shd w:val="clear" w:fill="4F81BD"/>
            <w:tcW w:w="5488" w:type="dxa"/>
            <w:vAlign w:val="top"/>
          </w:tcPr>
          <w:p>
            <w:pPr>
              <w:pStyle w:val="TableText"/>
              <w:ind w:left="2317"/>
              <w:spacing w:before="9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color w:val="FFFFFF"/>
                <w:spacing w:val="-4"/>
              </w:rPr>
              <w:t>违规行为</w:t>
            </w:r>
          </w:p>
        </w:tc>
      </w:tr>
      <w:tr>
        <w:trPr>
          <w:trHeight w:val="719" w:hRule="atLeast"/>
        </w:trPr>
        <w:tc>
          <w:tcPr>
            <w:shd w:val="clear" w:fill="B8CCE4"/>
            <w:tcW w:w="121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5"/>
              <w:spacing w:before="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002712</w:t>
            </w:r>
          </w:p>
        </w:tc>
        <w:tc>
          <w:tcPr>
            <w:shd w:val="clear" w:fill="B8CCE4"/>
            <w:tcW w:w="1338" w:type="dxa"/>
            <w:vAlign w:val="top"/>
          </w:tcPr>
          <w:p>
            <w:pPr>
              <w:pStyle w:val="TableText"/>
              <w:ind w:left="242"/>
              <w:spacing w:before="2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思美传媒</w:t>
            </w:r>
          </w:p>
        </w:tc>
        <w:tc>
          <w:tcPr>
            <w:shd w:val="clear" w:fill="B7CBE3"/>
            <w:tcW w:w="5488" w:type="dxa"/>
            <w:vAlign w:val="top"/>
          </w:tcPr>
          <w:p>
            <w:pPr>
              <w:pStyle w:val="TableText"/>
              <w:ind w:left="103" w:right="122" w:firstLine="13"/>
              <w:spacing w:before="96" w:line="2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在互动易平台答复投资者相关提问</w:t>
            </w:r>
            <w:r>
              <w:rPr>
                <w:sz w:val="21"/>
                <w:szCs w:val="21"/>
                <w:spacing w:val="-2"/>
              </w:rPr>
              <w:t>信息披露不真实、不准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确、不完整。</w:t>
            </w:r>
          </w:p>
        </w:tc>
      </w:tr>
      <w:tr>
        <w:trPr>
          <w:trHeight w:val="1078" w:hRule="atLeast"/>
        </w:trPr>
        <w:tc>
          <w:tcPr>
            <w:tcW w:w="8039" w:type="dxa"/>
            <w:vAlign w:val="top"/>
            <w:gridSpan w:val="3"/>
          </w:tcPr>
          <w:p>
            <w:pPr>
              <w:pStyle w:val="TableText"/>
              <w:ind w:left="3"/>
              <w:spacing w:before="9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3"/>
              </w:rPr>
              <w:t>【行政处罚决定】</w:t>
            </w:r>
            <w:r>
              <w:rPr>
                <w:sz w:val="21"/>
                <w:szCs w:val="21"/>
                <w:spacing w:val="3"/>
              </w:rPr>
              <w:t>中国证券监督管理委员会浙江监管局</w:t>
            </w:r>
            <w:r>
              <w:rPr>
                <w:sz w:val="21"/>
                <w:szCs w:val="21"/>
                <w:spacing w:val="2"/>
              </w:rPr>
              <w:t>决定：</w:t>
            </w:r>
          </w:p>
          <w:p>
            <w:pPr>
              <w:pStyle w:val="TableText"/>
              <w:ind w:left="105" w:right="1519"/>
              <w:spacing w:before="93" w:line="2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(一)对思美传媒股份有限公司给予警告，并处以一百五十万元罚款；</w:t>
            </w:r>
            <w:r>
              <w:rPr>
                <w:sz w:val="21"/>
                <w:szCs w:val="21"/>
                <w:spacing w:val="10"/>
              </w:rPr>
              <w:t xml:space="preserve"> </w:t>
            </w:r>
            <w:r>
              <w:rPr>
                <w:sz w:val="21"/>
                <w:szCs w:val="21"/>
              </w:rPr>
              <w:t>(二)对时任董秘李某木给予警告，并处以一百万</w:t>
            </w:r>
            <w:r>
              <w:rPr>
                <w:sz w:val="21"/>
                <w:szCs w:val="21"/>
                <w:spacing w:val="-1"/>
              </w:rPr>
              <w:t>元罚款。</w:t>
            </w:r>
          </w:p>
        </w:tc>
      </w:tr>
      <w:tr>
        <w:trPr>
          <w:trHeight w:val="739" w:hRule="atLeast"/>
        </w:trPr>
        <w:tc>
          <w:tcPr>
            <w:shd w:val="clear" w:fill="B8CCE4"/>
            <w:tcW w:w="121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5"/>
              <w:spacing w:before="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002037</w:t>
            </w:r>
          </w:p>
        </w:tc>
        <w:tc>
          <w:tcPr>
            <w:shd w:val="clear" w:fill="B8CCE4"/>
            <w:tcW w:w="1338" w:type="dxa"/>
            <w:vAlign w:val="top"/>
          </w:tcPr>
          <w:p>
            <w:pPr>
              <w:pStyle w:val="TableText"/>
              <w:ind w:left="242"/>
              <w:spacing w:before="27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保利联合</w:t>
            </w:r>
          </w:p>
        </w:tc>
        <w:tc>
          <w:tcPr>
            <w:shd w:val="clear" w:fill="B7CBE3"/>
            <w:tcW w:w="5488" w:type="dxa"/>
            <w:vAlign w:val="top"/>
          </w:tcPr>
          <w:p>
            <w:pPr>
              <w:pStyle w:val="TableText"/>
              <w:ind w:left="93" w:right="121" w:firstLine="120"/>
              <w:spacing w:before="90" w:line="2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2019年公司</w:t>
            </w:r>
            <w:r>
              <w:rPr>
                <w:sz w:val="21"/>
                <w:szCs w:val="21"/>
                <w:b/>
                <w:bCs/>
                <w:spacing w:val="2"/>
              </w:rPr>
              <w:t>少计提坏账准备</w:t>
            </w:r>
            <w:r>
              <w:rPr>
                <w:sz w:val="21"/>
                <w:szCs w:val="21"/>
                <w:spacing w:val="2"/>
              </w:rPr>
              <w:t>；2020年</w:t>
            </w:r>
            <w:r>
              <w:rPr>
                <w:sz w:val="21"/>
                <w:szCs w:val="21"/>
                <w:b/>
                <w:bCs/>
                <w:spacing w:val="2"/>
              </w:rPr>
              <w:t>少计提坏账准备；</w:t>
            </w:r>
            <w:r>
              <w:rPr>
                <w:sz w:val="21"/>
                <w:szCs w:val="21"/>
                <w:spacing w:val="11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2021年</w:t>
            </w:r>
            <w:r>
              <w:rPr>
                <w:sz w:val="21"/>
                <w:szCs w:val="21"/>
                <w:b/>
                <w:bCs/>
                <w:spacing w:val="-1"/>
              </w:rPr>
              <w:t>少计提坏账准</w:t>
            </w:r>
            <w:r>
              <w:rPr>
                <w:sz w:val="21"/>
                <w:szCs w:val="21"/>
                <w:spacing w:val="-1"/>
              </w:rPr>
              <w:t>备，导致2021年度盈亏发生变化。</w:t>
            </w:r>
          </w:p>
        </w:tc>
      </w:tr>
      <w:tr>
        <w:trPr>
          <w:trHeight w:val="3249" w:hRule="atLeast"/>
        </w:trPr>
        <w:tc>
          <w:tcPr>
            <w:tcW w:w="8039" w:type="dxa"/>
            <w:vAlign w:val="top"/>
            <w:gridSpan w:val="3"/>
          </w:tcPr>
          <w:p>
            <w:pPr>
              <w:pStyle w:val="TableText"/>
              <w:ind w:left="105" w:right="1309" w:firstLine="7"/>
              <w:spacing w:before="110" w:line="2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2"/>
              </w:rPr>
              <w:t>【行政处罚决定】</w:t>
            </w:r>
            <w:r>
              <w:rPr>
                <w:sz w:val="21"/>
                <w:szCs w:val="21"/>
                <w:spacing w:val="2"/>
              </w:rPr>
              <w:t>中国证券监督管理委员会贵州监管局作出以下决定：</w:t>
            </w:r>
            <w:r>
              <w:rPr>
                <w:sz w:val="21"/>
                <w:szCs w:val="21"/>
                <w:spacing w:val="16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对保利联合给予警告，并处以300万元罚款；</w:t>
            </w:r>
          </w:p>
          <w:p>
            <w:pPr>
              <w:pStyle w:val="TableText"/>
              <w:ind w:left="105"/>
              <w:spacing w:before="11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对时任董事长安某杰给予警告，并处以120万元罚</w:t>
            </w:r>
            <w:r>
              <w:rPr>
                <w:sz w:val="21"/>
                <w:szCs w:val="21"/>
                <w:spacing w:val="3"/>
              </w:rPr>
              <w:t>款；</w:t>
            </w:r>
          </w:p>
          <w:p>
            <w:pPr>
              <w:pStyle w:val="TableText"/>
              <w:ind w:left="105"/>
              <w:spacing w:before="132" w:line="36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  <w:position w:val="11"/>
              </w:rPr>
              <w:t>对时任董事，时任总经理魏某给予警告，并</w:t>
            </w:r>
            <w:r>
              <w:rPr>
                <w:sz w:val="21"/>
                <w:szCs w:val="21"/>
                <w:spacing w:val="3"/>
                <w:position w:val="11"/>
              </w:rPr>
              <w:t>处以80万元罚款；</w:t>
            </w:r>
          </w:p>
          <w:p>
            <w:pPr>
              <w:pStyle w:val="TableText"/>
              <w:ind w:left="105"/>
              <w:spacing w:before="1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对时任董事，时任总经理张某给予警告，并</w:t>
            </w:r>
            <w:r>
              <w:rPr>
                <w:sz w:val="21"/>
                <w:szCs w:val="21"/>
                <w:spacing w:val="3"/>
              </w:rPr>
              <w:t>处以80万元罚款；</w:t>
            </w:r>
          </w:p>
          <w:p>
            <w:pPr>
              <w:pStyle w:val="TableText"/>
              <w:ind w:left="105"/>
              <w:spacing w:before="12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对时任高管袁某给予警告，并处以80万元罚款；</w:t>
            </w:r>
          </w:p>
          <w:p>
            <w:pPr>
              <w:pStyle w:val="TableText"/>
              <w:ind w:left="105"/>
              <w:spacing w:before="11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对时任高管刘某彬给予警告，并处以80万元罚款；</w:t>
            </w:r>
          </w:p>
          <w:p>
            <w:pPr>
              <w:pStyle w:val="TableText"/>
              <w:ind w:left="105"/>
              <w:spacing w:before="9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对时任董事，时任董秘王某春给予警告，并</w:t>
            </w:r>
            <w:r>
              <w:rPr>
                <w:sz w:val="21"/>
                <w:szCs w:val="21"/>
                <w:spacing w:val="3"/>
              </w:rPr>
              <w:t>处以65万元罚款；</w:t>
            </w:r>
          </w:p>
          <w:p>
            <w:pPr>
              <w:pStyle w:val="TableText"/>
              <w:ind w:left="105"/>
              <w:spacing w:before="132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对其他关系方胡某川、魏某、文某给予警告，并分别处以5</w:t>
            </w:r>
            <w:r>
              <w:rPr>
                <w:sz w:val="21"/>
                <w:szCs w:val="21"/>
                <w:spacing w:val="-1"/>
              </w:rPr>
              <w:t>0万元罚款。</w:t>
            </w:r>
          </w:p>
        </w:tc>
      </w:tr>
    </w:tbl>
    <w:p>
      <w:pPr>
        <w:pStyle w:val="BodyText"/>
        <w:spacing w:line="313" w:lineRule="auto"/>
        <w:rPr/>
      </w:pPr>
      <w:r/>
    </w:p>
    <w:p>
      <w:pPr>
        <w:pStyle w:val="BodyText"/>
        <w:spacing w:line="313" w:lineRule="auto"/>
        <w:rPr/>
      </w:pPr>
      <w:r/>
    </w:p>
    <w:p>
      <w:pPr>
        <w:pStyle w:val="BodyText"/>
        <w:spacing w:line="313" w:lineRule="auto"/>
        <w:rPr/>
      </w:pPr>
      <w:r/>
    </w:p>
    <w:p>
      <w:pPr>
        <w:ind w:left="1053"/>
        <w:spacing w:before="75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14"/>
        </w:rPr>
        <w:t>(2)行政处罚决定事先告知书</w:t>
      </w:r>
    </w:p>
    <w:p>
      <w:pPr>
        <w:spacing w:before="22"/>
        <w:rPr/>
      </w:pPr>
      <w:r/>
    </w:p>
    <w:tbl>
      <w:tblPr>
        <w:tblStyle w:val="TableNormal"/>
        <w:tblW w:w="8051" w:type="dxa"/>
        <w:tblInd w:w="185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04"/>
        <w:gridCol w:w="1348"/>
        <w:gridCol w:w="5499"/>
      </w:tblGrid>
      <w:tr>
        <w:trPr>
          <w:trHeight w:val="394" w:hRule="atLeast"/>
        </w:trPr>
        <w:tc>
          <w:tcPr>
            <w:shd w:val="clear" w:fill="4F81BD"/>
            <w:tcW w:w="2552" w:type="dxa"/>
            <w:vAlign w:val="top"/>
            <w:gridSpan w:val="2"/>
          </w:tcPr>
          <w:p>
            <w:pPr>
              <w:pStyle w:val="TableText"/>
              <w:ind w:left="188"/>
              <w:spacing w:before="130" w:line="213" w:lineRule="auto"/>
              <w:rPr/>
            </w:pPr>
            <w:r>
              <w:rPr>
                <w:b/>
                <w:bCs/>
                <w:color w:val="FFFFFF"/>
                <w:spacing w:val="-2"/>
              </w:rPr>
              <w:t>公司代码</w:t>
            </w:r>
            <w:r>
              <w:rPr>
                <w:color w:val="FFFFFF"/>
                <w:spacing w:val="17"/>
              </w:rPr>
              <w:t xml:space="preserve">   </w:t>
            </w:r>
            <w:r>
              <w:rPr>
                <w:b/>
                <w:bCs/>
                <w:color w:val="FFFFFF"/>
                <w:spacing w:val="-2"/>
              </w:rPr>
              <w:t>公司简称</w:t>
            </w:r>
          </w:p>
        </w:tc>
        <w:tc>
          <w:tcPr>
            <w:shd w:val="clear" w:fill="4F81BD"/>
            <w:tcW w:w="5499" w:type="dxa"/>
            <w:vAlign w:val="top"/>
          </w:tcPr>
          <w:p>
            <w:pPr>
              <w:pStyle w:val="TableText"/>
              <w:ind w:left="2296"/>
              <w:spacing w:before="91" w:line="220" w:lineRule="auto"/>
              <w:rPr/>
            </w:pPr>
            <w:r>
              <w:rPr>
                <w:b/>
                <w:bCs/>
                <w:color w:val="FFFFFF"/>
                <w:spacing w:val="-4"/>
              </w:rPr>
              <w:t>违规行为</w:t>
            </w:r>
          </w:p>
        </w:tc>
      </w:tr>
      <w:tr>
        <w:trPr>
          <w:trHeight w:val="1078" w:hRule="atLeast"/>
        </w:trPr>
        <w:tc>
          <w:tcPr>
            <w:shd w:val="clear" w:fill="B8CCE4"/>
            <w:tcW w:w="1204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5"/>
              <w:spacing w:before="72" w:line="184" w:lineRule="auto"/>
              <w:rPr/>
            </w:pPr>
            <w:r>
              <w:rPr>
                <w:spacing w:val="-2"/>
              </w:rPr>
              <w:t>605081</w:t>
            </w:r>
          </w:p>
        </w:tc>
        <w:tc>
          <w:tcPr>
            <w:shd w:val="clear" w:fill="B8CCE4"/>
            <w:tcW w:w="134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0"/>
              <w:spacing w:before="72" w:line="219" w:lineRule="auto"/>
              <w:rPr/>
            </w:pPr>
            <w:r>
              <w:rPr>
                <w:spacing w:val="-2"/>
              </w:rPr>
              <w:t>太和水</w:t>
            </w:r>
          </w:p>
        </w:tc>
        <w:tc>
          <w:tcPr>
            <w:shd w:val="clear" w:fill="B7CBE3"/>
            <w:tcW w:w="5499" w:type="dxa"/>
            <w:vAlign w:val="top"/>
          </w:tcPr>
          <w:p>
            <w:pPr>
              <w:pStyle w:val="TableText"/>
              <w:ind w:left="312"/>
              <w:spacing w:before="97" w:line="219" w:lineRule="auto"/>
              <w:rPr/>
            </w:pPr>
            <w:r>
              <w:rPr>
                <w:spacing w:val="-1"/>
              </w:rPr>
              <w:t>公司公开披露的</w:t>
            </w:r>
            <w:r>
              <w:rPr>
                <w:b/>
                <w:bCs/>
                <w:spacing w:val="-1"/>
              </w:rPr>
              <w:t>2018年、2019年</w:t>
            </w:r>
            <w:r>
              <w:rPr>
                <w:spacing w:val="-1"/>
              </w:rPr>
              <w:t>年度财务报表以及</w:t>
            </w:r>
          </w:p>
          <w:p>
            <w:pPr>
              <w:pStyle w:val="TableText"/>
              <w:ind w:left="102" w:right="345" w:firstLine="213"/>
              <w:spacing w:before="109" w:line="252" w:lineRule="auto"/>
              <w:rPr/>
            </w:pPr>
            <w:r>
              <w:rPr>
                <w:b/>
                <w:bCs/>
                <w:spacing w:val="-2"/>
              </w:rPr>
              <w:t>2020年、2021年、2022年</w:t>
            </w:r>
            <w:r>
              <w:rPr>
                <w:spacing w:val="-2"/>
              </w:rPr>
              <w:t>年度财务报告中的坏账准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备、利润总额不准确。</w:t>
            </w:r>
          </w:p>
        </w:tc>
      </w:tr>
      <w:tr>
        <w:trPr>
          <w:trHeight w:val="1807" w:hRule="atLeast"/>
        </w:trPr>
        <w:tc>
          <w:tcPr>
            <w:tcW w:w="8051" w:type="dxa"/>
            <w:vAlign w:val="top"/>
            <w:gridSpan w:val="3"/>
          </w:tcPr>
          <w:p>
            <w:pPr>
              <w:pStyle w:val="TableText"/>
              <w:ind w:left="118"/>
              <w:spacing w:before="107" w:line="219" w:lineRule="auto"/>
              <w:rPr/>
            </w:pPr>
            <w:r>
              <w:rPr>
                <w:b/>
                <w:bCs/>
                <w:spacing w:val="4"/>
              </w:rPr>
              <w:t>【行政处罚决定(拟)】</w:t>
            </w:r>
            <w:r>
              <w:rPr>
                <w:spacing w:val="4"/>
              </w:rPr>
              <w:t>上海证监局拟决定：</w:t>
            </w:r>
          </w:p>
          <w:p>
            <w:pPr>
              <w:pStyle w:val="TableText"/>
              <w:ind w:left="224" w:right="2" w:firstLine="20"/>
              <w:spacing w:before="81" w:line="258" w:lineRule="auto"/>
              <w:rPr/>
            </w:pPr>
            <w:r>
              <w:rPr>
                <w:spacing w:val="-3"/>
              </w:rPr>
              <w:t>(一)对上海太和水科技发展股份有限公司责</w:t>
            </w:r>
            <w:r>
              <w:rPr>
                <w:spacing w:val="-4"/>
              </w:rPr>
              <w:t>令改正，给予警告，并处以一百五十万</w:t>
            </w:r>
            <w:r>
              <w:rPr/>
              <w:t xml:space="preserve"> </w:t>
            </w:r>
            <w:r>
              <w:rPr>
                <w:spacing w:val="26"/>
              </w:rPr>
              <w:t>元罚款</w:t>
            </w:r>
            <w:r>
              <w:rPr>
                <w:spacing w:val="-53"/>
              </w:rPr>
              <w:t xml:space="preserve"> </w:t>
            </w:r>
            <w:r>
              <w:rPr>
                <w:spacing w:val="26"/>
              </w:rPr>
              <w:t>；</w:t>
            </w:r>
          </w:p>
          <w:p>
            <w:pPr>
              <w:pStyle w:val="TableText"/>
              <w:ind w:left="224" w:right="885"/>
              <w:spacing w:before="124" w:line="252" w:lineRule="auto"/>
              <w:rPr/>
            </w:pPr>
            <w:r>
              <w:rPr>
                <w:spacing w:val="3"/>
              </w:rPr>
              <w:t>(二)对董事长，法定代表人何某辉给予警告，并处以七十五万元罚款；</w:t>
            </w:r>
            <w:r>
              <w:rPr>
                <w:spacing w:val="13"/>
              </w:rPr>
              <w:t xml:space="preserve"> </w:t>
            </w:r>
            <w:r>
              <w:rPr/>
              <w:t>(三)对董事，总经理徐某娜给予警告，并处以五十万元罚款。</w:t>
            </w:r>
          </w:p>
        </w:tc>
      </w:tr>
      <w:tr>
        <w:trPr>
          <w:trHeight w:val="719" w:hRule="atLeast"/>
        </w:trPr>
        <w:tc>
          <w:tcPr>
            <w:shd w:val="clear" w:fill="B8CCE4"/>
            <w:tcW w:w="1204" w:type="dxa"/>
            <w:vAlign w:val="top"/>
          </w:tcPr>
          <w:p>
            <w:pPr>
              <w:pStyle w:val="TableText"/>
              <w:ind w:left="265"/>
              <w:spacing w:before="310" w:line="184" w:lineRule="auto"/>
              <w:rPr/>
            </w:pPr>
            <w:r>
              <w:rPr>
                <w:spacing w:val="-2"/>
              </w:rPr>
              <w:t>002310</w:t>
            </w:r>
          </w:p>
        </w:tc>
        <w:tc>
          <w:tcPr>
            <w:shd w:val="clear" w:fill="B8CCE4"/>
            <w:tcW w:w="1348" w:type="dxa"/>
            <w:vAlign w:val="top"/>
          </w:tcPr>
          <w:p>
            <w:pPr>
              <w:pStyle w:val="TableText"/>
              <w:ind w:left="221"/>
              <w:spacing w:before="255" w:line="219" w:lineRule="auto"/>
              <w:rPr/>
            </w:pPr>
            <w:r>
              <w:rPr>
                <w:spacing w:val="2"/>
              </w:rPr>
              <w:t>东方园林</w:t>
            </w:r>
          </w:p>
        </w:tc>
        <w:tc>
          <w:tcPr>
            <w:shd w:val="clear" w:fill="B7CBE3"/>
            <w:tcW w:w="5499" w:type="dxa"/>
            <w:vAlign w:val="top"/>
          </w:tcPr>
          <w:p>
            <w:pPr>
              <w:pStyle w:val="TableText"/>
              <w:ind w:left="96" w:right="238" w:firstLine="110"/>
              <w:spacing w:before="101" w:line="255" w:lineRule="auto"/>
              <w:rPr/>
            </w:pPr>
            <w:r>
              <w:rPr>
                <w:b/>
                <w:bCs/>
                <w:spacing w:val="-2"/>
              </w:rPr>
              <w:t>2019年至2022年</w:t>
            </w:r>
            <w:r>
              <w:rPr>
                <w:spacing w:val="-2"/>
              </w:rPr>
              <w:t>年度报告及“20东林G1”</w:t>
            </w:r>
            <w:r>
              <w:rPr>
                <w:b/>
                <w:bCs/>
                <w:spacing w:val="-2"/>
              </w:rPr>
              <w:t>公司债券募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2"/>
              </w:rPr>
              <w:t>集说明书</w:t>
            </w:r>
            <w:r>
              <w:rPr>
                <w:spacing w:val="-2"/>
              </w:rPr>
              <w:t>存在错报。</w:t>
            </w:r>
          </w:p>
        </w:tc>
      </w:tr>
      <w:tr>
        <w:trPr>
          <w:trHeight w:val="1452" w:hRule="atLeast"/>
        </w:trPr>
        <w:tc>
          <w:tcPr>
            <w:tcW w:w="8051" w:type="dxa"/>
            <w:vAlign w:val="top"/>
            <w:gridSpan w:val="3"/>
          </w:tcPr>
          <w:p>
            <w:pPr>
              <w:pStyle w:val="TableText"/>
              <w:ind w:left="118"/>
              <w:spacing w:before="101" w:line="219" w:lineRule="auto"/>
              <w:rPr/>
            </w:pPr>
            <w:r>
              <w:rPr>
                <w:b/>
                <w:bCs/>
                <w:spacing w:val="3"/>
              </w:rPr>
              <w:t>【行政处罚决定(拟)】</w:t>
            </w:r>
            <w:r>
              <w:rPr>
                <w:spacing w:val="3"/>
              </w:rPr>
              <w:t>中国证券监督管理委员会拟决定：</w:t>
            </w:r>
          </w:p>
          <w:p>
            <w:pPr>
              <w:pStyle w:val="TableText"/>
              <w:ind w:left="224" w:firstLine="19"/>
              <w:spacing w:before="122" w:line="250" w:lineRule="auto"/>
              <w:rPr/>
            </w:pPr>
            <w:r>
              <w:rPr/>
              <w:t>(一)对北京东方园林环境股份有限公司责令改正，</w:t>
            </w:r>
            <w:r>
              <w:rPr>
                <w:spacing w:val="-1"/>
              </w:rPr>
              <w:t>给予警告，并处以150万元的罚</w:t>
            </w:r>
            <w:r>
              <w:rPr/>
              <w:t xml:space="preserve"> </w:t>
            </w:r>
            <w:r>
              <w:rPr>
                <w:spacing w:val="-5"/>
              </w:rPr>
              <w:t>款</w:t>
            </w:r>
            <w:r>
              <w:rPr>
                <w:spacing w:val="60"/>
              </w:rPr>
              <w:t xml:space="preserve"> </w:t>
            </w:r>
            <w:r>
              <w:rPr>
                <w:spacing w:val="-5"/>
              </w:rPr>
              <w:t>；</w:t>
            </w:r>
          </w:p>
          <w:p>
            <w:pPr>
              <w:pStyle w:val="TableText"/>
              <w:ind w:left="224"/>
              <w:spacing w:before="103" w:line="216" w:lineRule="auto"/>
              <w:rPr/>
            </w:pPr>
            <w:r>
              <w:rPr>
                <w:spacing w:val="4"/>
              </w:rPr>
              <w:t>(二)对时任董事长慕某杰给予警告，并处以70万元的</w:t>
            </w:r>
            <w:r>
              <w:rPr>
                <w:spacing w:val="3"/>
              </w:rPr>
              <w:t>罚款；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472" w:bottom="0" w:left="50" w:header="0" w:footer="0" w:gutter="0"/>
        </w:sectPr>
        <w:rPr/>
      </w:pPr>
    </w:p>
    <w:tbl>
      <w:tblPr>
        <w:tblStyle w:val="TableNormal"/>
        <w:tblW w:w="8053" w:type="dxa"/>
        <w:tblInd w:w="999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2" w:hRule="atLeast"/>
        </w:trPr>
        <w:tc>
          <w:tcPr>
            <w:tcW w:w="8053" w:type="dxa"/>
            <w:vAlign w:val="top"/>
            <w:gridSpan w:val="3"/>
            <w:tcBorders>
              <w:top w:val="single" w:color="4F81BD" w:sz="2" w:space="0"/>
            </w:tcBorders>
          </w:tcPr>
          <w:p>
            <w:pPr>
              <w:ind w:left="138"/>
              <w:spacing w:before="63" w:line="21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（三）对时任董事,时任总经理刘某杰给予警告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，并处以70万元的罚款。</w:t>
            </w:r>
          </w:p>
        </w:tc>
      </w:tr>
      <w:tr>
        <w:trPr>
          <w:trHeight w:val="72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77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600679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5"/>
              <w:spacing w:before="262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上海凤凰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101" w:right="104" w:hanging="2"/>
              <w:spacing w:before="82" w:line="22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2019年、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2020年、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2021年、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2022年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年度报告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关于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商誉的财务数据不准确。</w:t>
            </w:r>
          </w:p>
        </w:tc>
      </w:tr>
      <w:tr>
        <w:trPr>
          <w:trHeight w:val="1447" w:hRule="atLeast"/>
        </w:trPr>
        <w:tc>
          <w:tcPr>
            <w:tcW w:w="8053" w:type="dxa"/>
            <w:vAlign w:val="top"/>
            <w:gridSpan w:val="3"/>
          </w:tcPr>
          <w:p>
            <w:pPr>
              <w:ind w:left="122"/>
              <w:spacing w:before="43" w:line="23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【行政处罚决定（拟）】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上海证监局拟决定:</w:t>
            </w:r>
          </w:p>
          <w:p>
            <w:pPr>
              <w:ind w:left="138" w:right="630"/>
              <w:spacing w:before="32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（一）对上海凤凰企业（集团）股份有限公司给予警告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，并处以两百万元罚款；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（二）对郭某新给予警告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，并处以七十五万元罚款；</w:t>
            </w:r>
          </w:p>
          <w:p>
            <w:pPr>
              <w:ind w:left="138"/>
              <w:spacing w:before="32" w:line="21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（三）对曹某春给予警告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，并处以七十五万元罚款。</w:t>
            </w:r>
          </w:p>
        </w:tc>
      </w:tr>
    </w:tbl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（3）行政监管措施</w:t>
      </w:r>
    </w:p>
    <w:p>
      <w:pPr>
        <w:spacing w:line="219" w:lineRule="exact"/>
        <w:rPr/>
      </w:pPr>
      <w:r/>
    </w:p>
    <w:tbl>
      <w:tblPr>
        <w:tblStyle w:val="TableNormal"/>
        <w:tblW w:w="8053" w:type="dxa"/>
        <w:tblInd w:w="999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4F81BD" w:sz="2" w:space="0"/>
            </w:tcBorders>
          </w:tcPr>
          <w:p>
            <w:pPr>
              <w:ind w:left="181"/>
              <w:spacing w:before="109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4F81BD" w:sz="2" w:space="0"/>
            </w:tcBorders>
          </w:tcPr>
          <w:p>
            <w:pPr>
              <w:ind w:left="243"/>
              <w:spacing w:before="109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4F81BD" w:sz="2" w:space="0"/>
            </w:tcBorders>
          </w:tcPr>
          <w:p>
            <w:pPr>
              <w:ind w:left="2320"/>
              <w:spacing w:before="109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90" w:hRule="atLeast"/>
        </w:trPr>
        <w:tc>
          <w:tcPr>
            <w:shd w:val="clear" w:fill="B8CCE4"/>
            <w:tcW w:w="1214" w:type="dxa"/>
            <w:vAlign w:val="top"/>
            <w:tcBorders>
              <w:top w:val="single" w:color="4F81BD" w:sz="2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239"/>
              <w:spacing w:before="8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605056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4F81BD" w:sz="2" w:space="0"/>
            </w:tcBorders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85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咸亨国际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4F81BD" w:sz="2" w:space="0"/>
            </w:tcBorders>
          </w:tcPr>
          <w:p>
            <w:pPr>
              <w:ind w:left="98" w:right="104"/>
              <w:spacing w:before="86" w:line="23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0"/>
              </w:rPr>
              <w:t>募集资金暂时补充流动资金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后未严格监管用于主营业务；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募集资金专户之间存在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部分资金混用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于不同募投项目的情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况；公司自有资金现金管理金额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超出董事会授权额度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40" w:line="241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中国证券监督管理委员会浙江监管局决定对咸亨国际科技股份有限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公司、董事长王某兴、总经理夏某剑、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时任董秘,时任财务总监邹某、董事会秘书叶某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波分别采取出具警示函的监督管理措施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，并记入证券期货市场诚信档案。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42"/>
              <w:spacing w:before="276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300108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341"/>
              <w:spacing w:before="263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吉药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248"/>
              <w:spacing w:before="81" w:line="22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注册会计师执业的吉药控股集团股份有限公司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2022年年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报审计项目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存在问题。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6"/>
              <w:spacing w:before="41" w:line="23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中国证券监督管理委员会吉林监管局决定对注册会计师采取出具警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示函的监督管理措施。</w:t>
            </w:r>
          </w:p>
        </w:tc>
      </w:tr>
      <w:tr>
        <w:trPr>
          <w:trHeight w:val="144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86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300108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341"/>
              <w:spacing w:before="86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吉药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4" w:firstLine="14"/>
              <w:spacing w:before="44" w:line="243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中准会计师事务所（特殊普通合伙） 内部治理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、质量控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制、独立性及吉药控股集团股份有限公司2022年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5"/>
              </w:rPr>
              <w:t>年报审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7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5"/>
              </w:rPr>
              <w:t>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、通化葡萄酒股份有限公司2022年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5"/>
              </w:rPr>
              <w:t>年报审计项目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存在问题。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44" w:line="23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中国证券监督管理委员会吉林监管局决定对中准会计师事务所（特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殊普通合伙）采取出具警示函的监督管理措施。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82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600365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341"/>
              <w:spacing w:before="269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通葡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106" w:right="104" w:hanging="7"/>
              <w:spacing w:before="88" w:line="21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注册会计师执业的通化葡萄酒股份有限公司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4"/>
              </w:rPr>
              <w:t>2022年年报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审计项目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存在问题。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6"/>
              <w:spacing w:before="44" w:line="23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中国证券监督管理委员会吉林监管局决定对注册会计师采取出具警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示函的监督管理措施。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6"/>
              <w:spacing w:before="283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002671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1"/>
              <w:spacing w:before="270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龙泉股份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3"/>
              <w:spacing w:before="91" w:line="21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5"/>
              </w:rPr>
              <w:t>注册会计师执行的山东龙泉管业股份有限公司2022年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5"/>
              </w:rPr>
              <w:t>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报审计项目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存在问题。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6"/>
              <w:spacing w:before="47" w:line="23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中国证券监督管理委员会山东监管局决定对注册会计师采取出具警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示函的监督管理措施并记入证券期货市场诚信档案数据库。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6"/>
              <w:spacing w:before="286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002435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5"/>
              <w:spacing w:before="271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长江健康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100" w:right="274" w:hanging="1"/>
              <w:spacing w:before="94" w:line="21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注册会计师执行的长江润发健康产业股份有限公司2022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年报审计项目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存在问题。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6"/>
              <w:spacing w:before="50" w:line="23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中国证券监督管理委员会山东监管局决定对注册会计师采取出具警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示函的监督管理措施并记入证券期货市场诚信档案数据库。</w:t>
            </w:r>
          </w:p>
        </w:tc>
      </w:tr>
      <w:tr>
        <w:trPr>
          <w:trHeight w:val="109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236"/>
              <w:spacing w:before="8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002435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86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长江健康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8" w:right="135"/>
              <w:spacing w:before="56" w:line="239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和信会计师事务所（特殊普通合伙）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内部管理、质量管理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体系、独立性进行了现场检查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，执行的长江润发健康产业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股份有限公司、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山东龙泉管业股份有限公司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2022年年报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917" w:header="0" w:footer="0" w:gutter="0"/>
        </w:sectPr>
        <w:rPr/>
      </w:pPr>
    </w:p>
    <w:tbl>
      <w:tblPr>
        <w:tblStyle w:val="TableNormal"/>
        <w:tblW w:w="8053" w:type="dxa"/>
        <w:tblInd w:w="13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shd w:val="clear" w:fill="B8CCE4"/>
            <w:tcW w:w="1214" w:type="dxa"/>
            <w:vAlign w:val="top"/>
            <w:tcBorders>
              <w:top w:val="single" w:color="4F81B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4F81B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4F81BD" w:sz="2" w:space="0"/>
            </w:tcBorders>
          </w:tcPr>
          <w:p>
            <w:pPr>
              <w:ind w:left="107"/>
              <w:spacing w:before="102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审计项目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存在问题。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40" w:line="23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中国证券监督管理委员会山东监管局决定对和信会计师事务所（特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殊普通合伙）采取出具警示函的监督管理措施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并记入证券期货市场诚信档案数据库。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76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600388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1"/>
              <w:spacing w:before="262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龙净环保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4" w:hanging="1"/>
              <w:spacing w:before="82" w:line="22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龙岩市国有资产投资经营有限公司未在增持龙净环保股份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达到1%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的次日通知龙净环保并予公告。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07" w:right="104" w:firstLine="15"/>
              <w:spacing w:before="40" w:line="23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中国证券监督管理委员会福建监管局决定对龙岩市国有资产投资经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营有限公司采取出具警示函的监督管理措施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，并记入证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券期货市场诚信档案数据库。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77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605001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2"/>
              <w:spacing w:before="263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威奥股份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4"/>
              <w:spacing w:before="39" w:line="23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公司持股5%以上股东在持股变动比例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达到1%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时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，未按规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定及时履行信息披露义务。</w:t>
            </w:r>
          </w:p>
        </w:tc>
      </w:tr>
      <w:tr>
        <w:trPr>
          <w:trHeight w:val="1085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6"/>
              <w:spacing w:before="41" w:line="241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中国证券监督管理委员会青岛监管局决定对唐山锐泽股权投资管理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中心（有限合伙）合伙企业采取出具警示函的监管措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，并记入证券期货市场诚信档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2"/>
              </w:rPr>
              <w:t>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80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600446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1"/>
              <w:spacing w:before="267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金证股份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30"/>
              <w:spacing w:before="41" w:line="23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公司持股5%以上股东在持股变动比例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达到1%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时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，未按规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定及时履行信息披露义务。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17" w:right="104" w:firstLine="4"/>
              <w:spacing w:before="45" w:line="23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中国证券监督管理委员会深圳监管局决定对股东赵某采取出具警示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函的行政监管措施。</w:t>
            </w:r>
          </w:p>
        </w:tc>
      </w:tr>
      <w:tr>
        <w:trPr>
          <w:trHeight w:val="144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239"/>
              <w:spacing w:before="8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603779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86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威龙股份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8" w:right="104" w:firstLine="15"/>
              <w:spacing w:before="84" w:line="236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中世邦将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权益变动情况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告知威龙股份时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，未包含2022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年7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6"/>
              </w:rPr>
              <w:t>月20日的变动情况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6"/>
              </w:rPr>
              <w:t>，导致披露的《威龙葡萄酒股份有限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公司关于股东权益变动的提示性公告》中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变动比例披露不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准确。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45" w:line="23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中国证券监督管理委员会山东监管局决定对深圳市中世邦投资有限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公司采取出具警示函的监督管理措施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，并记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入证券期货市场诚信档案数据库。</w:t>
            </w:r>
          </w:p>
        </w:tc>
      </w:tr>
      <w:tr>
        <w:trPr>
          <w:trHeight w:val="144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239"/>
              <w:spacing w:before="86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603598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254"/>
              <w:spacing w:before="86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5"/>
              </w:rPr>
              <w:t>引力传媒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8" w:right="231" w:firstLine="1"/>
              <w:spacing w:before="50" w:line="242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3"/>
              </w:rPr>
              <w:t>公司在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AIGC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3"/>
              </w:rPr>
              <w:t>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ChatGPT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3"/>
              </w:rPr>
              <w:t>等相关技术产品处于当前市场高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度关注的热点时期,将签署战略合作协议的事项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通过非法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定渠道先行对外发布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,且未充分揭示风险,相关信息披露不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完整、不公平。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06" w:right="104" w:firstLine="15"/>
              <w:spacing w:before="45" w:line="23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0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中国证券监督管理委员会北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京监管局决定对公司及时任董事长,时任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董秘罗某记采取出具警示函的行政监管措施,并记入证券期货市场诚信档案。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87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600775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5"/>
              <w:spacing w:before="272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南京熊猫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4"/>
              <w:spacing w:before="48" w:line="23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公司持股5%以上股东在持股变动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比例达到1%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时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，未按规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定及时履行信息披露义务。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ind w:left="104" w:right="104" w:firstLine="17"/>
              <w:spacing w:before="47" w:line="23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中国证券监督管理委员会江苏监管局决定对中国华融资产管理股份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有限公司采取出具警示函的行政监管措施,并记入证券期货市场诚信档案。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288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603358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4"/>
              <w:spacing w:before="274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华达科技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99" w:right="103"/>
              <w:spacing w:before="50" w:line="23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公司持股5%以上的股东在自身持股比例变动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0"/>
              </w:rPr>
              <w:t>达到1%后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0"/>
              </w:rPr>
              <w:t>未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及时通知公司并及时公告。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51" w:line="23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中国证券监督管理委员会江苏监管局决定对华达汽车科技股份有限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公司、股东陈某宏、董秘齐某采取出具警示函的行政监管措施。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ind w:left="239"/>
              <w:spacing w:before="110" w:line="17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603667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ind w:left="243"/>
              <w:spacing w:before="96" w:line="18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五洲新春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ind w:left="100"/>
              <w:spacing w:before="94" w:line="18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高管减持数量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超出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预披露的减持计划。</w:t>
            </w:r>
          </w:p>
        </w:tc>
      </w:tr>
      <w:tr>
        <w:trPr>
          <w:trHeight w:val="735" w:hRule="atLeast"/>
        </w:trPr>
        <w:tc>
          <w:tcPr>
            <w:tcW w:w="8053" w:type="dxa"/>
            <w:vAlign w:val="top"/>
            <w:gridSpan w:val="3"/>
          </w:tcPr>
          <w:p>
            <w:pPr>
              <w:ind w:left="105" w:right="104" w:firstLine="17"/>
              <w:spacing w:before="52" w:line="23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1"/>
              </w:rPr>
              <w:t>【行政监管措施】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1"/>
              </w:rPr>
              <w:t>中国证券监督管理委员会浙江监管局决定对高管张某雷采取责令改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正的监督管理措施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，并记入证券期货市场诚信档案。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spacing w:before="47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（4）立案调查</w:t>
      </w:r>
    </w:p>
    <w:p>
      <w:pPr>
        <w:spacing w:line="218" w:lineRule="exact"/>
        <w:rPr/>
      </w:pPr>
      <w:r/>
    </w:p>
    <w:tbl>
      <w:tblPr>
        <w:tblStyle w:val="TableNormal"/>
        <w:tblW w:w="8053" w:type="dxa"/>
        <w:tblInd w:w="999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6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4F81BD" w:sz="2" w:space="0"/>
            </w:tcBorders>
          </w:tcPr>
          <w:p>
            <w:pPr>
              <w:ind w:left="181"/>
              <w:spacing w:before="108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4F81BD" w:sz="2" w:space="0"/>
            </w:tcBorders>
          </w:tcPr>
          <w:p>
            <w:pPr>
              <w:ind w:left="243"/>
              <w:spacing w:before="108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4F81BD" w:sz="2" w:space="0"/>
            </w:tcBorders>
          </w:tcPr>
          <w:p>
            <w:pPr>
              <w:ind w:left="2320"/>
              <w:spacing w:before="108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6" w:hRule="atLeast"/>
        </w:trPr>
        <w:tc>
          <w:tcPr>
            <w:tcW w:w="1214" w:type="dxa"/>
            <w:vAlign w:val="top"/>
            <w:tcBorders>
              <w:top w:val="single" w:color="4F81BD" w:sz="2" w:space="0"/>
            </w:tcBorders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ind w:left="239"/>
              <w:spacing w:before="8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600753</w:t>
            </w:r>
          </w:p>
        </w:tc>
        <w:tc>
          <w:tcPr>
            <w:tcW w:w="1343" w:type="dxa"/>
            <w:vAlign w:val="top"/>
            <w:tcBorders>
              <w:top w:val="single" w:color="4F81BD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86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庚星股份</w:t>
            </w:r>
          </w:p>
        </w:tc>
        <w:tc>
          <w:tcPr>
            <w:tcW w:w="5496" w:type="dxa"/>
            <w:vAlign w:val="top"/>
            <w:tcBorders>
              <w:top w:val="single" w:color="4F81BD" w:sz="2" w:space="0"/>
            </w:tcBorders>
          </w:tcPr>
          <w:p>
            <w:pPr>
              <w:ind w:left="99" w:right="135" w:firstLine="14"/>
              <w:spacing w:before="46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因公司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涉嫌信息披露违法违规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，根据《中华人民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共和国证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券法》《中华人民共和国行政处罚法》等法律法规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中国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证监会决定对公司立案。</w:t>
            </w:r>
          </w:p>
        </w:tc>
      </w:tr>
      <w:tr>
        <w:trPr>
          <w:trHeight w:val="1082" w:hRule="atLeast"/>
        </w:trPr>
        <w:tc>
          <w:tcPr>
            <w:shd w:val="clear" w:fill="C7DAF1"/>
            <w:tcW w:w="121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239"/>
              <w:spacing w:before="86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600112</w:t>
            </w:r>
          </w:p>
        </w:tc>
        <w:tc>
          <w:tcPr>
            <w:shd w:val="clear" w:fill="C7DAF1"/>
            <w:tcW w:w="1343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341"/>
              <w:spacing w:before="86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天成</w:t>
            </w:r>
          </w:p>
        </w:tc>
        <w:tc>
          <w:tcPr>
            <w:shd w:val="clear" w:fill="C7DAF1"/>
            <w:tcW w:w="5496" w:type="dxa"/>
            <w:vAlign w:val="top"/>
          </w:tcPr>
          <w:p>
            <w:pPr>
              <w:ind w:left="99" w:right="135" w:firstLine="14"/>
              <w:spacing w:before="46" w:line="23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因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涉嫌信息披露违法违规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，根据《中华人民共和国证券   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法》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、《中华人民共和国行政处罚法》等法律法规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中国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证监会决定对公司立案。</w:t>
            </w:r>
          </w:p>
        </w:tc>
      </w:tr>
      <w:tr>
        <w:trPr>
          <w:trHeight w:val="1450" w:hRule="atLeast"/>
        </w:trPr>
        <w:tc>
          <w:tcPr>
            <w:tcW w:w="12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86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300392</w:t>
            </w:r>
          </w:p>
        </w:tc>
        <w:tc>
          <w:tcPr>
            <w:tcW w:w="134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85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腾信退</w:t>
            </w:r>
          </w:p>
        </w:tc>
        <w:tc>
          <w:tcPr>
            <w:tcW w:w="5496" w:type="dxa"/>
            <w:vAlign w:val="top"/>
          </w:tcPr>
          <w:p>
            <w:pPr>
              <w:ind w:left="99" w:right="135" w:firstLine="14"/>
              <w:spacing w:before="90" w:line="236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因北京腾信创新网络营销技术股份有限公司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涉嫌信息披露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违法违规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，根据《中华人民共和国证券法》《中华人民共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和国行政处罚法》等法律法规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中国证监会决定对北京腾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信创新网络营销技术股份有限公司立案。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917" w:header="0" w:footer="0" w:gutter="0"/>
        </w:sectPr>
        <w:rPr/>
      </w:pPr>
    </w:p>
    <w:p>
      <w:pPr>
        <w:spacing w:before="10" w:line="819" w:lineRule="exact"/>
        <w:rPr/>
      </w:pPr>
      <w:r>
        <w:rPr>
          <w:position w:val="-16"/>
        </w:rPr>
        <w:pict>
          <v:group id="_x0000_s20" style="mso-position-vertical-relative:line;mso-position-horizontal-relative:char;width:134pt;height:41pt;" filled="false" stroked="false" coordsize="2680,820" coordorigin="0,0">
            <v:shape id="_x0000_s22" style="position:absolute;left:0;top:0;width:2680;height:820;" filled="false" stroked="false" type="#_x0000_t75">
              <v:imagedata o:title="" r:id="rId13"/>
            </v:shape>
            <v:shape id="_x0000_s24" style="position:absolute;left:-20;top:-20;width:2720;height:8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00"/>
                      <w:spacing w:before="299" w:line="222" w:lineRule="auto"/>
                      <w:rPr>
                        <w:rFonts w:ascii="SimHei" w:hAnsi="SimHei" w:eastAsia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hAnsi="SimHei" w:eastAsia="SimHei" w:cs="SimHei"/>
                        <w:sz w:val="28"/>
                        <w:szCs w:val="28"/>
                        <w:color w:val="FFFFFF"/>
                        <w:spacing w:val="-2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31" w:lineRule="auto"/>
        <w:rPr/>
      </w:pPr>
      <w:r/>
    </w:p>
    <w:p>
      <w:pPr>
        <w:ind w:left="743"/>
        <w:spacing w:before="82" w:line="222" w:lineRule="auto"/>
        <w:outlineLvl w:val="0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5"/>
        </w:rPr>
        <w:t>1、上市公司监管动态</w:t>
      </w:r>
    </w:p>
    <w:p>
      <w:pPr>
        <w:pStyle w:val="BodyText"/>
        <w:spacing w:line="307" w:lineRule="auto"/>
        <w:rPr/>
      </w:pPr>
      <w:r/>
    </w:p>
    <w:p>
      <w:pPr>
        <w:ind w:left="209" w:firstLine="480"/>
        <w:spacing w:before="72" w:line="285" w:lineRule="auto"/>
        <w:jc w:val="both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spacing w:val="8"/>
        </w:rPr>
        <w:t>2024年1月15日-1月21日，上交所公司监管部门作出11份监管警示函，对3宗行为予以纪律处分。同时，加</w:t>
      </w:r>
      <w:r>
        <w:rPr>
          <w:rFonts w:ascii="SimHei" w:hAnsi="SimHei" w:eastAsia="SimHei" w:cs="SimHei"/>
          <w:sz w:val="22"/>
          <w:szCs w:val="22"/>
          <w:spacing w:val="9"/>
        </w:rPr>
        <w:t xml:space="preserve"> </w:t>
      </w:r>
      <w:r>
        <w:rPr>
          <w:rFonts w:ascii="SimHei" w:hAnsi="SimHei" w:eastAsia="SimHei" w:cs="SimHei"/>
          <w:sz w:val="22"/>
          <w:szCs w:val="22"/>
          <w:spacing w:val="1"/>
        </w:rPr>
        <w:t>大信息披露和股价异常的联动监管，针对公司披露敏感信息或股价发生明显异</w:t>
      </w:r>
      <w:r>
        <w:rPr>
          <w:rFonts w:ascii="SimHei" w:hAnsi="SimHei" w:eastAsia="SimHei" w:cs="SimHei"/>
          <w:sz w:val="22"/>
          <w:szCs w:val="22"/>
        </w:rPr>
        <w:t>常的，提请启动内幕交易、异常交易</w:t>
      </w:r>
      <w:r>
        <w:rPr>
          <w:rFonts w:ascii="SimHei" w:hAnsi="SimHei" w:eastAsia="SimHei" w:cs="SimHei"/>
          <w:sz w:val="22"/>
          <w:szCs w:val="22"/>
        </w:rPr>
        <w:t xml:space="preserve"> </w:t>
      </w:r>
      <w:r>
        <w:rPr>
          <w:rFonts w:ascii="SimHei" w:hAnsi="SimHei" w:eastAsia="SimHei" w:cs="SimHei"/>
          <w:sz w:val="22"/>
          <w:szCs w:val="22"/>
          <w:spacing w:val="-6"/>
        </w:rPr>
        <w:t>核查7单。</w:t>
      </w:r>
    </w:p>
    <w:p>
      <w:pPr>
        <w:spacing w:before="121"/>
        <w:rPr/>
      </w:pPr>
      <w:r/>
    </w:p>
    <w:p>
      <w:pPr>
        <w:sectPr>
          <w:pgSz w:w="11910" w:h="16840"/>
          <w:pgMar w:top="400" w:right="464" w:bottom="0" w:left="199" w:header="0" w:footer="0" w:gutter="0"/>
          <w:cols w:equalWidth="0" w:num="1">
            <w:col w:w="11246" w:space="0"/>
          </w:cols>
        </w:sectPr>
        <w:rPr/>
      </w:pPr>
    </w:p>
    <w:p>
      <w:pPr>
        <w:pStyle w:val="BodyText"/>
        <w:spacing w:line="330" w:lineRule="auto"/>
        <w:rPr/>
      </w:pPr>
      <w:r/>
    </w:p>
    <w:p>
      <w:pPr>
        <w:pStyle w:val="BodyText"/>
        <w:spacing w:line="330" w:lineRule="auto"/>
        <w:rPr/>
      </w:pPr>
      <w:r/>
    </w:p>
    <w:p>
      <w:pPr>
        <w:ind w:left="2520"/>
        <w:spacing w:before="72" w:line="18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1"/>
        </w:rPr>
        <w:t>12-</w:t>
      </w:r>
    </w:p>
    <w:p>
      <w:pPr>
        <w:ind w:left="2530"/>
        <w:spacing w:before="50" w:line="18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4"/>
        </w:rPr>
        <w:t>10-</w:t>
      </w:r>
    </w:p>
    <w:p>
      <w:pPr>
        <w:ind w:left="2610"/>
        <w:spacing w:before="62" w:line="18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5"/>
        </w:rPr>
        <w:t>8-</w:t>
      </w:r>
    </w:p>
    <w:p>
      <w:pPr>
        <w:ind w:left="2610"/>
        <w:spacing w:before="62" w:line="18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6-</w:t>
      </w:r>
    </w:p>
    <w:p>
      <w:pPr>
        <w:ind w:left="2610"/>
        <w:spacing w:before="62" w:line="18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4-</w:t>
      </w:r>
    </w:p>
    <w:p>
      <w:pPr>
        <w:ind w:left="2610"/>
        <w:spacing w:before="91" w:line="102" w:lineRule="exact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4"/>
          <w:position w:val="-2"/>
        </w:rPr>
        <w:t>2-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5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6"/>
        </w:rPr>
        <w:t>上周上交所发出的函件统计(份)</w:t>
      </w:r>
    </w:p>
    <w:p>
      <w:pPr>
        <w:ind w:left="26"/>
        <w:spacing w:before="244" w:line="18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7"/>
        </w:rPr>
        <w:t>11</w:t>
      </w: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2106"/>
        <w:spacing w:before="71" w:line="183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3</w:t>
      </w:r>
    </w:p>
    <w:p>
      <w:pPr>
        <w:ind w:left="4166"/>
        <w:spacing w:before="41" w:line="18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1</w:t>
      </w:r>
    </w:p>
    <w:p>
      <w:pPr>
        <w:spacing w:line="184" w:lineRule="auto"/>
        <w:sectPr>
          <w:type w:val="continuous"/>
          <w:pgSz w:w="11910" w:h="16840"/>
          <w:pgMar w:top="400" w:right="464" w:bottom="0" w:left="199" w:header="0" w:footer="0" w:gutter="0"/>
          <w:cols w:equalWidth="0" w:num="2">
            <w:col w:w="3644" w:space="100"/>
            <w:col w:w="7502" w:space="0"/>
          </w:cols>
        </w:sectPr>
        <w:rPr>
          <w:rFonts w:ascii="SimSun" w:hAnsi="SimSun" w:eastAsia="SimSun" w:cs="SimSun"/>
          <w:sz w:val="22"/>
          <w:szCs w:val="22"/>
        </w:rPr>
      </w:pPr>
    </w:p>
    <w:p>
      <w:pPr>
        <w:spacing w:line="198" w:lineRule="exact"/>
        <w:rPr/>
      </w:pPr>
      <w:r/>
    </w:p>
    <w:tbl>
      <w:tblPr>
        <w:tblStyle w:val="TableNormal"/>
        <w:tblW w:w="6800" w:type="dxa"/>
        <w:tblInd w:w="220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64"/>
        <w:gridCol w:w="2037"/>
        <w:gridCol w:w="2047"/>
        <w:gridCol w:w="2052"/>
      </w:tblGrid>
      <w:tr>
        <w:trPr>
          <w:trHeight w:val="320" w:hRule="atLeast"/>
        </w:trPr>
        <w:tc>
          <w:tcPr>
            <w:tcW w:w="664" w:type="dxa"/>
            <w:vAlign w:val="top"/>
          </w:tcPr>
          <w:p>
            <w:pPr>
              <w:pStyle w:val="TableText"/>
              <w:ind w:right="8"/>
              <w:spacing w:before="67" w:line="183" w:lineRule="auto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0-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ind w:left="59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ind w:left="59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纪律处分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70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问询函</w:t>
            </w:r>
          </w:p>
        </w:tc>
      </w:tr>
      <w:tr>
        <w:trPr>
          <w:trHeight w:val="310" w:hRule="atLeast"/>
        </w:trPr>
        <w:tc>
          <w:tcPr>
            <w:tcW w:w="664" w:type="dxa"/>
            <w:vAlign w:val="top"/>
          </w:tcPr>
          <w:p>
            <w:pPr>
              <w:pStyle w:val="TableText"/>
              <w:spacing w:before="53" w:line="217" w:lineRule="auto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■份数</w:t>
            </w:r>
          </w:p>
        </w:tc>
        <w:tc>
          <w:tcPr>
            <w:tcW w:w="2037" w:type="dxa"/>
            <w:vAlign w:val="top"/>
          </w:tcPr>
          <w:p>
            <w:pPr>
              <w:pStyle w:val="TableText"/>
              <w:ind w:left="900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ind w:left="96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967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</w:tbl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823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spacing w:val="23"/>
        </w:rPr>
        <w:t>(1)监管措施统计</w:t>
      </w:r>
    </w:p>
    <w:p>
      <w:pPr>
        <w:spacing w:before="46"/>
        <w:rPr/>
      </w:pPr>
      <w:r/>
    </w:p>
    <w:tbl>
      <w:tblPr>
        <w:tblStyle w:val="TableNormal"/>
        <w:tblW w:w="8820" w:type="dxa"/>
        <w:tblInd w:w="13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84"/>
        <w:gridCol w:w="1209"/>
        <w:gridCol w:w="1318"/>
        <w:gridCol w:w="5009"/>
      </w:tblGrid>
      <w:tr>
        <w:trPr>
          <w:trHeight w:val="374" w:hRule="atLeast"/>
        </w:trPr>
        <w:tc>
          <w:tcPr>
            <w:shd w:val="clear" w:fill="C0504D"/>
            <w:tcW w:w="3811" w:type="dxa"/>
            <w:vAlign w:val="top"/>
            <w:gridSpan w:val="3"/>
          </w:tcPr>
          <w:p>
            <w:pPr>
              <w:pStyle w:val="TableText"/>
              <w:ind w:left="218"/>
              <w:spacing w:before="89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color w:val="FFFFFF"/>
                <w:spacing w:val="-4"/>
                <w:position w:val="-2"/>
              </w:rPr>
              <w:t>公司代码</w:t>
            </w:r>
            <w:r>
              <w:rPr>
                <w:sz w:val="21"/>
                <w:szCs w:val="21"/>
                <w:color w:val="FFFFFF"/>
                <w:spacing w:val="34"/>
                <w:position w:val="-2"/>
              </w:rPr>
              <w:t xml:space="preserve">   </w:t>
            </w:r>
            <w:r>
              <w:rPr>
                <w:sz w:val="21"/>
                <w:szCs w:val="21"/>
                <w:b/>
                <w:bCs/>
                <w:color w:val="FFFFFF"/>
                <w:spacing w:val="-4"/>
                <w:position w:val="1"/>
              </w:rPr>
              <w:t>公司简称</w:t>
            </w:r>
            <w:r>
              <w:rPr>
                <w:sz w:val="21"/>
                <w:szCs w:val="21"/>
                <w:color w:val="FFFFFF"/>
                <w:spacing w:val="6"/>
                <w:position w:val="1"/>
              </w:rPr>
              <w:t xml:space="preserve">    </w:t>
            </w:r>
            <w:r>
              <w:rPr>
                <w:sz w:val="21"/>
                <w:szCs w:val="21"/>
                <w:b/>
                <w:bCs/>
                <w:color w:val="FFFFFF"/>
                <w:spacing w:val="-4"/>
              </w:rPr>
              <w:t>函件类别</w:t>
            </w:r>
          </w:p>
        </w:tc>
        <w:tc>
          <w:tcPr>
            <w:shd w:val="clear" w:fill="C0504D"/>
            <w:tcW w:w="5009" w:type="dxa"/>
            <w:vAlign w:val="top"/>
          </w:tcPr>
          <w:p>
            <w:pPr>
              <w:pStyle w:val="TableText"/>
              <w:ind w:left="2087"/>
              <w:spacing w:before="8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color w:val="FFFFFF"/>
                <w:spacing w:val="-4"/>
              </w:rPr>
              <w:t>违规类型</w:t>
            </w:r>
          </w:p>
        </w:tc>
      </w:tr>
      <w:tr>
        <w:trPr>
          <w:trHeight w:val="74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315"/>
              <w:spacing w:before="17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603358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71"/>
              <w:spacing w:before="1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华达科技</w:t>
            </w:r>
          </w:p>
        </w:tc>
        <w:tc>
          <w:tcPr>
            <w:tcW w:w="1318" w:type="dxa"/>
            <w:vAlign w:val="top"/>
          </w:tcPr>
          <w:p>
            <w:pPr>
              <w:pStyle w:val="TableText"/>
              <w:ind w:left="232"/>
              <w:spacing w:before="1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tcW w:w="5009" w:type="dxa"/>
            <w:vAlign w:val="top"/>
          </w:tcPr>
          <w:p>
            <w:pPr>
              <w:pStyle w:val="TableText"/>
              <w:ind w:left="34" w:right="127" w:hanging="10"/>
              <w:spacing w:before="129" w:line="2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公司持股5%以上的股东及时任董事长在自身持股比例</w:t>
            </w:r>
            <w:r>
              <w:rPr>
                <w:sz w:val="21"/>
                <w:szCs w:val="21"/>
                <w:spacing w:val="16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变动</w:t>
            </w:r>
            <w:r>
              <w:rPr>
                <w:sz w:val="21"/>
                <w:szCs w:val="21"/>
                <w:b/>
                <w:bCs/>
                <w:spacing w:val="-1"/>
              </w:rPr>
              <w:t>达到1%后</w:t>
            </w:r>
            <w:r>
              <w:rPr>
                <w:sz w:val="21"/>
                <w:szCs w:val="21"/>
                <w:spacing w:val="-1"/>
              </w:rPr>
              <w:t>未及时通知公司并督促及时公告。</w:t>
            </w:r>
          </w:p>
        </w:tc>
      </w:tr>
      <w:tr>
        <w:trPr>
          <w:trHeight w:val="719" w:hRule="atLeast"/>
        </w:trPr>
        <w:tc>
          <w:tcPr>
            <w:shd w:val="clear" w:fill="F1DCDB"/>
            <w:tcW w:w="1284" w:type="dxa"/>
            <w:vAlign w:val="top"/>
          </w:tcPr>
          <w:p>
            <w:pPr>
              <w:pStyle w:val="TableText"/>
              <w:ind w:left="315"/>
              <w:spacing w:before="15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600775</w:t>
            </w:r>
          </w:p>
        </w:tc>
        <w:tc>
          <w:tcPr>
            <w:shd w:val="clear" w:fill="F1DBDB"/>
            <w:tcW w:w="1209" w:type="dxa"/>
            <w:vAlign w:val="top"/>
          </w:tcPr>
          <w:p>
            <w:pPr>
              <w:pStyle w:val="TableText"/>
              <w:ind w:left="171"/>
              <w:spacing w:before="1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南京熊猫</w:t>
            </w:r>
          </w:p>
        </w:tc>
        <w:tc>
          <w:tcPr>
            <w:shd w:val="clear" w:fill="F1DBDB"/>
            <w:tcW w:w="1318" w:type="dxa"/>
            <w:vAlign w:val="top"/>
          </w:tcPr>
          <w:p>
            <w:pPr>
              <w:pStyle w:val="TableText"/>
              <w:ind w:left="232"/>
              <w:spacing w:before="1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shd w:val="clear" w:fill="F1DBDB"/>
            <w:tcW w:w="5009" w:type="dxa"/>
            <w:vAlign w:val="top"/>
          </w:tcPr>
          <w:p>
            <w:pPr>
              <w:pStyle w:val="TableText"/>
              <w:ind w:left="34"/>
              <w:spacing w:before="78" w:line="39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  <w:position w:val="13"/>
              </w:rPr>
              <w:t>公司持股5%以上股东在持股变动</w:t>
            </w:r>
            <w:r>
              <w:rPr>
                <w:sz w:val="21"/>
                <w:szCs w:val="21"/>
                <w:b/>
                <w:bCs/>
                <w:spacing w:val="-1"/>
                <w:position w:val="13"/>
              </w:rPr>
              <w:t>比例达到1</w:t>
            </w:r>
            <w:r>
              <w:rPr>
                <w:sz w:val="21"/>
                <w:szCs w:val="21"/>
                <w:spacing w:val="-1"/>
                <w:position w:val="13"/>
              </w:rPr>
              <w:t>%时，未</w:t>
            </w:r>
          </w:p>
          <w:p>
            <w:pPr>
              <w:pStyle w:val="TableText"/>
              <w:ind w:left="34"/>
              <w:spacing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按规定及时履行信息披露义务。</w:t>
            </w:r>
          </w:p>
        </w:tc>
      </w:tr>
      <w:tr>
        <w:trPr>
          <w:trHeight w:val="72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315"/>
              <w:spacing w:before="1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600446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71"/>
              <w:spacing w:before="1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金证股份</w:t>
            </w:r>
          </w:p>
        </w:tc>
        <w:tc>
          <w:tcPr>
            <w:tcW w:w="1318" w:type="dxa"/>
            <w:vAlign w:val="top"/>
          </w:tcPr>
          <w:p>
            <w:pPr>
              <w:pStyle w:val="TableText"/>
              <w:ind w:left="232"/>
              <w:spacing w:before="1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tcW w:w="5009" w:type="dxa"/>
            <w:vAlign w:val="top"/>
          </w:tcPr>
          <w:p>
            <w:pPr>
              <w:pStyle w:val="TableText"/>
              <w:ind w:left="34" w:right="352"/>
              <w:spacing w:before="109" w:line="2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公司持股5%以上股东在持股变动比例</w:t>
            </w:r>
            <w:r>
              <w:rPr>
                <w:sz w:val="21"/>
                <w:szCs w:val="21"/>
                <w:b/>
                <w:bCs/>
                <w:spacing w:val="-1"/>
              </w:rPr>
              <w:t>达到1</w:t>
            </w:r>
            <w:r>
              <w:rPr>
                <w:sz w:val="21"/>
                <w:szCs w:val="21"/>
                <w:spacing w:val="-1"/>
              </w:rPr>
              <w:t>%时，未</w:t>
            </w:r>
            <w:r>
              <w:rPr>
                <w:sz w:val="21"/>
                <w:szCs w:val="21"/>
                <w:spacing w:val="8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按规定及时履行信息披露义务。</w:t>
            </w:r>
          </w:p>
        </w:tc>
      </w:tr>
      <w:tr>
        <w:trPr>
          <w:trHeight w:val="739" w:hRule="atLeast"/>
        </w:trPr>
        <w:tc>
          <w:tcPr>
            <w:shd w:val="clear" w:fill="F1DCDB"/>
            <w:tcW w:w="1284" w:type="dxa"/>
            <w:vAlign w:val="top"/>
          </w:tcPr>
          <w:p>
            <w:pPr>
              <w:pStyle w:val="TableText"/>
              <w:ind w:left="315"/>
              <w:spacing w:before="1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603880</w:t>
            </w:r>
          </w:p>
        </w:tc>
        <w:tc>
          <w:tcPr>
            <w:shd w:val="clear" w:fill="F1DBDB"/>
            <w:tcW w:w="1209" w:type="dxa"/>
            <w:vAlign w:val="top"/>
          </w:tcPr>
          <w:p>
            <w:pPr>
              <w:pStyle w:val="TableText"/>
              <w:ind w:left="281"/>
              <w:spacing w:before="1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ST南卫</w:t>
            </w:r>
          </w:p>
        </w:tc>
        <w:tc>
          <w:tcPr>
            <w:shd w:val="clear" w:fill="F1DBDB"/>
            <w:tcW w:w="1318" w:type="dxa"/>
            <w:vAlign w:val="top"/>
          </w:tcPr>
          <w:p>
            <w:pPr>
              <w:pStyle w:val="TableText"/>
              <w:ind w:left="232"/>
              <w:spacing w:before="1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通报批评</w:t>
            </w:r>
          </w:p>
        </w:tc>
        <w:tc>
          <w:tcPr>
            <w:shd w:val="clear" w:fill="F1DBDB"/>
            <w:tcW w:w="5009" w:type="dxa"/>
            <w:vAlign w:val="top"/>
          </w:tcPr>
          <w:p>
            <w:pPr>
              <w:pStyle w:val="TableText"/>
              <w:ind w:left="34" w:right="134"/>
              <w:spacing w:before="99" w:line="2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公司股东在中国证监会</w:t>
            </w:r>
            <w:r>
              <w:rPr>
                <w:sz w:val="21"/>
                <w:szCs w:val="21"/>
                <w:b/>
                <w:bCs/>
                <w:spacing w:val="-1"/>
              </w:rPr>
              <w:t>立案调查期间</w:t>
            </w:r>
            <w:r>
              <w:rPr>
                <w:sz w:val="21"/>
                <w:szCs w:val="21"/>
                <w:spacing w:val="-1"/>
              </w:rPr>
              <w:t>，违规减持公司</w:t>
            </w:r>
            <w:r>
              <w:rPr>
                <w:sz w:val="21"/>
                <w:szCs w:val="21"/>
                <w:spacing w:val="8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股份。</w:t>
            </w:r>
          </w:p>
        </w:tc>
      </w:tr>
      <w:tr>
        <w:trPr>
          <w:trHeight w:val="71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315"/>
              <w:spacing w:before="15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605001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71"/>
              <w:spacing w:before="9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威奥股份</w:t>
            </w:r>
          </w:p>
        </w:tc>
        <w:tc>
          <w:tcPr>
            <w:tcW w:w="1318" w:type="dxa"/>
            <w:vAlign w:val="top"/>
          </w:tcPr>
          <w:p>
            <w:pPr>
              <w:pStyle w:val="TableText"/>
              <w:ind w:left="232"/>
              <w:spacing w:before="1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tcW w:w="5009" w:type="dxa"/>
            <w:vAlign w:val="top"/>
          </w:tcPr>
          <w:p>
            <w:pPr>
              <w:pStyle w:val="TableText"/>
              <w:ind w:left="34" w:right="352"/>
              <w:spacing w:before="101" w:line="2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公司持股5%以上股东在持股变动比例</w:t>
            </w:r>
            <w:r>
              <w:rPr>
                <w:sz w:val="21"/>
                <w:szCs w:val="21"/>
                <w:b/>
                <w:bCs/>
                <w:spacing w:val="-1"/>
              </w:rPr>
              <w:t>达到1</w:t>
            </w:r>
            <w:r>
              <w:rPr>
                <w:sz w:val="21"/>
                <w:szCs w:val="21"/>
                <w:spacing w:val="-1"/>
              </w:rPr>
              <w:t>%时，未</w:t>
            </w:r>
            <w:r>
              <w:rPr>
                <w:sz w:val="21"/>
                <w:szCs w:val="21"/>
                <w:spacing w:val="8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按规定及时履行信息披露义务。</w:t>
            </w:r>
          </w:p>
        </w:tc>
      </w:tr>
      <w:tr>
        <w:trPr>
          <w:trHeight w:val="1448" w:hRule="atLeast"/>
        </w:trPr>
        <w:tc>
          <w:tcPr>
            <w:shd w:val="clear" w:fill="F1DBDB"/>
            <w:tcW w:w="1284" w:type="dxa"/>
            <w:vAlign w:val="top"/>
          </w:tcPr>
          <w:p>
            <w:pPr>
              <w:pStyle w:val="TableText"/>
              <w:ind w:left="315"/>
              <w:spacing w:before="1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603779</w:t>
            </w:r>
          </w:p>
        </w:tc>
        <w:tc>
          <w:tcPr>
            <w:shd w:val="clear" w:fill="F1DBDB"/>
            <w:tcW w:w="1209" w:type="dxa"/>
            <w:vAlign w:val="top"/>
          </w:tcPr>
          <w:p>
            <w:pPr>
              <w:pStyle w:val="TableText"/>
              <w:ind w:left="171"/>
              <w:spacing w:before="1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威龙股份</w:t>
            </w:r>
          </w:p>
        </w:tc>
        <w:tc>
          <w:tcPr>
            <w:shd w:val="clear" w:fill="F1DBDB"/>
            <w:tcW w:w="1318" w:type="dxa"/>
            <w:vAlign w:val="top"/>
          </w:tcPr>
          <w:p>
            <w:pPr>
              <w:pStyle w:val="TableText"/>
              <w:ind w:left="232"/>
              <w:spacing w:before="1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shd w:val="clear" w:fill="F1DBDB"/>
            <w:tcW w:w="5009" w:type="dxa"/>
            <w:vAlign w:val="top"/>
          </w:tcPr>
          <w:p>
            <w:pPr>
              <w:pStyle w:val="TableText"/>
              <w:ind w:left="34" w:right="131" w:hanging="10"/>
              <w:spacing w:before="123" w:line="28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中世邦将</w:t>
            </w:r>
            <w:r>
              <w:rPr>
                <w:sz w:val="21"/>
                <w:szCs w:val="21"/>
                <w:b/>
                <w:bCs/>
              </w:rPr>
              <w:t>权益变动情况</w:t>
            </w:r>
            <w:r>
              <w:rPr>
                <w:sz w:val="21"/>
                <w:szCs w:val="21"/>
              </w:rPr>
              <w:t>告知威龙股份时，未包含20</w:t>
            </w:r>
            <w:r>
              <w:rPr>
                <w:sz w:val="21"/>
                <w:szCs w:val="21"/>
                <w:spacing w:val="-1"/>
              </w:rPr>
              <w:t>22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年7月20日的变动情况，导致披露的《威龙葡萄酒股</w:t>
            </w:r>
            <w:r>
              <w:rPr>
                <w:sz w:val="21"/>
                <w:szCs w:val="21"/>
                <w:spacing w:val="6"/>
              </w:rPr>
              <w:t xml:space="preserve">  </w:t>
            </w:r>
            <w:r>
              <w:rPr>
                <w:sz w:val="21"/>
                <w:szCs w:val="21"/>
                <w:spacing w:val="-1"/>
              </w:rPr>
              <w:t>份有限公司关于股东权益变动的提示性公告》中</w:t>
            </w:r>
            <w:r>
              <w:rPr>
                <w:sz w:val="21"/>
                <w:szCs w:val="21"/>
                <w:b/>
                <w:bCs/>
                <w:spacing w:val="-1"/>
              </w:rPr>
              <w:t>变动</w:t>
            </w:r>
            <w:r>
              <w:rPr>
                <w:sz w:val="21"/>
                <w:szCs w:val="21"/>
                <w:spacing w:val="12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比例披露不准确。</w:t>
            </w:r>
          </w:p>
        </w:tc>
      </w:tr>
      <w:tr>
        <w:trPr>
          <w:trHeight w:val="1458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315"/>
              <w:spacing w:before="1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600818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71"/>
              <w:spacing w:before="1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中路股份</w:t>
            </w:r>
          </w:p>
        </w:tc>
        <w:tc>
          <w:tcPr>
            <w:tcW w:w="1318" w:type="dxa"/>
            <w:vAlign w:val="top"/>
          </w:tcPr>
          <w:p>
            <w:pPr>
              <w:pStyle w:val="TableText"/>
              <w:ind w:left="22"/>
              <w:spacing w:before="96" w:line="38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  <w:position w:val="12"/>
              </w:rPr>
              <w:t>通报批评、公</w:t>
            </w:r>
          </w:p>
          <w:p>
            <w:pPr>
              <w:pStyle w:val="TableText"/>
              <w:ind w:left="332"/>
              <w:spacing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开谴责</w:t>
            </w:r>
          </w:p>
        </w:tc>
        <w:tc>
          <w:tcPr>
            <w:tcW w:w="5009" w:type="dxa"/>
            <w:vAlign w:val="top"/>
          </w:tcPr>
          <w:p>
            <w:pPr>
              <w:pStyle w:val="TableText"/>
              <w:ind w:left="34" w:right="141"/>
              <w:spacing w:before="94" w:line="325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9"/>
              </w:rPr>
              <w:t>实际控制人未履行</w:t>
            </w:r>
            <w:r>
              <w:rPr>
                <w:sz w:val="21"/>
                <w:szCs w:val="21"/>
                <w:b/>
                <w:bCs/>
                <w:spacing w:val="-9"/>
              </w:rPr>
              <w:t>承</w:t>
            </w:r>
            <w:r>
              <w:rPr>
                <w:sz w:val="21"/>
                <w:szCs w:val="21"/>
                <w:spacing w:val="-9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9"/>
              </w:rPr>
              <w:t>诺</w:t>
            </w:r>
            <w:r>
              <w:rPr>
                <w:sz w:val="21"/>
                <w:szCs w:val="21"/>
                <w:spacing w:val="-15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9"/>
              </w:rPr>
              <w:t>，</w:t>
            </w:r>
            <w:r>
              <w:rPr>
                <w:sz w:val="21"/>
                <w:szCs w:val="21"/>
                <w:spacing w:val="-9"/>
              </w:rPr>
              <w:t>公司信息披露不真实；</w:t>
            </w:r>
            <w:r>
              <w:rPr>
                <w:sz w:val="21"/>
                <w:szCs w:val="21"/>
                <w:b/>
                <w:bCs/>
                <w:spacing w:val="-9"/>
              </w:rPr>
              <w:t>关联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1"/>
              </w:rPr>
              <w:t>交易</w:t>
            </w:r>
            <w:r>
              <w:rPr>
                <w:sz w:val="21"/>
                <w:szCs w:val="21"/>
                <w:spacing w:val="-1"/>
              </w:rPr>
              <w:t>信息披露不完整；</w:t>
            </w:r>
            <w:r>
              <w:rPr>
                <w:sz w:val="21"/>
                <w:szCs w:val="21"/>
                <w:b/>
                <w:bCs/>
                <w:spacing w:val="-1"/>
              </w:rPr>
              <w:t>大股东出资</w:t>
            </w:r>
            <w:r>
              <w:rPr>
                <w:sz w:val="21"/>
                <w:szCs w:val="21"/>
                <w:spacing w:val="-1"/>
              </w:rPr>
              <w:t>情况信息披</w:t>
            </w:r>
            <w:r>
              <w:rPr>
                <w:sz w:val="21"/>
                <w:szCs w:val="21"/>
                <w:spacing w:val="-2"/>
              </w:rPr>
              <w:t>露不完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整；控股股东</w:t>
            </w:r>
            <w:r>
              <w:rPr>
                <w:sz w:val="21"/>
                <w:szCs w:val="21"/>
                <w:b/>
                <w:bCs/>
                <w:spacing w:val="-1"/>
              </w:rPr>
              <w:t>司法拍卖</w:t>
            </w:r>
            <w:r>
              <w:rPr>
                <w:sz w:val="21"/>
                <w:szCs w:val="21"/>
                <w:spacing w:val="-1"/>
              </w:rPr>
              <w:t>事项未及时披露；</w:t>
            </w:r>
            <w:r>
              <w:rPr>
                <w:sz w:val="21"/>
                <w:szCs w:val="21"/>
                <w:b/>
                <w:bCs/>
                <w:spacing w:val="-1"/>
              </w:rPr>
              <w:t>重</w:t>
            </w:r>
            <w:r>
              <w:rPr>
                <w:sz w:val="21"/>
                <w:szCs w:val="21"/>
                <w:b/>
                <w:bCs/>
                <w:spacing w:val="-2"/>
              </w:rPr>
              <w:t>大仲裁披</w:t>
            </w:r>
          </w:p>
          <w:p>
            <w:pPr>
              <w:pStyle w:val="TableText"/>
              <w:ind w:left="34"/>
              <w:spacing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露不及时；</w:t>
            </w:r>
            <w:r>
              <w:rPr>
                <w:sz w:val="21"/>
                <w:szCs w:val="21"/>
                <w:b/>
                <w:bCs/>
                <w:spacing w:val="-1"/>
              </w:rPr>
              <w:t>表决权受托方</w:t>
            </w:r>
            <w:r>
              <w:rPr>
                <w:sz w:val="21"/>
                <w:szCs w:val="21"/>
                <w:spacing w:val="-1"/>
              </w:rPr>
              <w:t>未披露权益变动报告书。</w:t>
            </w:r>
          </w:p>
        </w:tc>
      </w:tr>
      <w:tr>
        <w:trPr>
          <w:trHeight w:val="370" w:hRule="atLeast"/>
        </w:trPr>
        <w:tc>
          <w:tcPr>
            <w:shd w:val="clear" w:fill="F2DCDC"/>
            <w:tcW w:w="1284" w:type="dxa"/>
            <w:vAlign w:val="top"/>
          </w:tcPr>
          <w:p>
            <w:pPr>
              <w:pStyle w:val="TableText"/>
              <w:ind w:left="315"/>
              <w:spacing w:before="14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600973</w:t>
            </w:r>
          </w:p>
        </w:tc>
        <w:tc>
          <w:tcPr>
            <w:shd w:val="clear" w:fill="F2DCDC"/>
            <w:tcW w:w="1209" w:type="dxa"/>
            <w:vAlign w:val="top"/>
          </w:tcPr>
          <w:p>
            <w:pPr>
              <w:pStyle w:val="TableText"/>
              <w:ind w:left="171"/>
              <w:spacing w:before="8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宝胜股份</w:t>
            </w:r>
          </w:p>
        </w:tc>
        <w:tc>
          <w:tcPr>
            <w:shd w:val="clear" w:fill="F2DCDC"/>
            <w:tcW w:w="1318" w:type="dxa"/>
            <w:vAlign w:val="top"/>
          </w:tcPr>
          <w:p>
            <w:pPr>
              <w:pStyle w:val="TableText"/>
              <w:ind w:left="232"/>
              <w:spacing w:before="8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shd w:val="clear" w:fill="F1DBDB"/>
            <w:tcW w:w="5009" w:type="dxa"/>
            <w:vAlign w:val="top"/>
          </w:tcPr>
          <w:p>
            <w:pPr>
              <w:pStyle w:val="TableText"/>
              <w:ind w:left="34"/>
              <w:spacing w:before="86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重大</w:t>
            </w:r>
            <w:r>
              <w:rPr>
                <w:sz w:val="21"/>
                <w:szCs w:val="21"/>
                <w:b/>
                <w:bCs/>
                <w:spacing w:val="-2"/>
              </w:rPr>
              <w:t>诉讼及进展</w:t>
            </w:r>
            <w:r>
              <w:rPr>
                <w:sz w:val="21"/>
                <w:szCs w:val="21"/>
                <w:spacing w:val="-2"/>
              </w:rPr>
              <w:t>披露不及时。</w:t>
            </w:r>
          </w:p>
        </w:tc>
      </w:tr>
      <w:tr>
        <w:trPr>
          <w:trHeight w:val="729" w:hRule="atLeast"/>
        </w:trPr>
        <w:tc>
          <w:tcPr>
            <w:tcW w:w="1284" w:type="dxa"/>
            <w:vAlign w:val="top"/>
          </w:tcPr>
          <w:p>
            <w:pPr>
              <w:pStyle w:val="TableText"/>
              <w:ind w:left="315"/>
              <w:spacing w:before="1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600359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171"/>
              <w:spacing w:before="9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新农开发</w:t>
            </w:r>
          </w:p>
        </w:tc>
        <w:tc>
          <w:tcPr>
            <w:tcW w:w="1318" w:type="dxa"/>
            <w:vAlign w:val="top"/>
          </w:tcPr>
          <w:p>
            <w:pPr>
              <w:pStyle w:val="TableText"/>
              <w:ind w:left="232"/>
              <w:spacing w:before="9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tcW w:w="5009" w:type="dxa"/>
            <w:vAlign w:val="top"/>
          </w:tcPr>
          <w:p>
            <w:pPr>
              <w:pStyle w:val="TableText"/>
              <w:ind w:left="34"/>
              <w:spacing w:before="106" w:line="37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position w:val="12"/>
              </w:rPr>
              <w:t>公司发生</w:t>
            </w:r>
            <w:r>
              <w:rPr>
                <w:sz w:val="21"/>
                <w:szCs w:val="21"/>
                <w:b/>
                <w:bCs/>
                <w:position w:val="12"/>
              </w:rPr>
              <w:t>日常关联交</w:t>
            </w:r>
            <w:r>
              <w:rPr>
                <w:sz w:val="21"/>
                <w:szCs w:val="21"/>
                <w:position w:val="12"/>
              </w:rPr>
              <w:t>易，未按规定履行相应审议程序</w:t>
            </w:r>
          </w:p>
          <w:p>
            <w:pPr>
              <w:pStyle w:val="TableText"/>
              <w:ind w:left="34"/>
              <w:spacing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和信息披露义务。</w:t>
            </w:r>
          </w:p>
        </w:tc>
      </w:tr>
      <w:tr>
        <w:trPr>
          <w:trHeight w:val="364" w:hRule="atLeast"/>
        </w:trPr>
        <w:tc>
          <w:tcPr>
            <w:shd w:val="clear" w:fill="F2DCDC"/>
            <w:tcW w:w="1284" w:type="dxa"/>
            <w:vAlign w:val="top"/>
          </w:tcPr>
          <w:p>
            <w:pPr>
              <w:pStyle w:val="TableText"/>
              <w:ind w:left="315"/>
              <w:spacing w:before="14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600793</w:t>
            </w:r>
          </w:p>
        </w:tc>
        <w:tc>
          <w:tcPr>
            <w:shd w:val="clear" w:fill="F1DCDC"/>
            <w:tcW w:w="1209" w:type="dxa"/>
            <w:vAlign w:val="top"/>
          </w:tcPr>
          <w:p>
            <w:pPr>
              <w:pStyle w:val="TableText"/>
              <w:ind w:left="171"/>
              <w:spacing w:before="9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宜宾纸业</w:t>
            </w:r>
          </w:p>
        </w:tc>
        <w:tc>
          <w:tcPr>
            <w:shd w:val="clear" w:fill="F2DCDB"/>
            <w:tcW w:w="1318" w:type="dxa"/>
            <w:vAlign w:val="top"/>
          </w:tcPr>
          <w:p>
            <w:pPr>
              <w:pStyle w:val="TableText"/>
              <w:ind w:left="232"/>
              <w:spacing w:before="8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监管警示</w:t>
            </w:r>
          </w:p>
        </w:tc>
        <w:tc>
          <w:tcPr>
            <w:shd w:val="clear" w:fill="F1DBDB"/>
            <w:tcW w:w="5009" w:type="dxa"/>
            <w:vAlign w:val="top"/>
          </w:tcPr>
          <w:p>
            <w:pPr>
              <w:pStyle w:val="TableText"/>
              <w:ind w:left="34"/>
              <w:spacing w:before="8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公司发生</w:t>
            </w:r>
            <w:r>
              <w:rPr>
                <w:sz w:val="21"/>
                <w:szCs w:val="21"/>
                <w:b/>
                <w:bCs/>
                <w:spacing w:val="-1"/>
              </w:rPr>
              <w:t>日常关联交</w:t>
            </w:r>
            <w:r>
              <w:rPr>
                <w:sz w:val="21"/>
                <w:szCs w:val="21"/>
                <w:spacing w:val="-1"/>
              </w:rPr>
              <w:t>易，未及时履行股东大会审议程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910" w:h="16840"/>
          <w:pgMar w:top="400" w:right="464" w:bottom="0" w:left="199" w:header="0" w:footer="0" w:gutter="0"/>
          <w:cols w:equalWidth="0" w:num="1">
            <w:col w:w="11246" w:space="0"/>
          </w:cols>
        </w:sectPr>
        <w:rPr>
          <w:sz w:val="2"/>
          <w:szCs w:val="2"/>
        </w:rPr>
      </w:pPr>
    </w:p>
    <w:tbl>
      <w:tblPr>
        <w:tblStyle w:val="TableNormal"/>
        <w:tblW w:w="8819" w:type="dxa"/>
        <w:tblInd w:w="1103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83" w:hRule="atLeast"/>
        </w:trPr>
        <w:tc>
          <w:tcPr>
            <w:shd w:val="clear" w:fill="F2DCDC"/>
            <w:tcW w:w="1276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1215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1324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5004" w:type="dxa"/>
            <w:vAlign w:val="top"/>
            <w:tcBorders>
              <w:top w:val="single" w:color="C0504D" w:sz="2" w:space="0"/>
            </w:tcBorders>
          </w:tcPr>
          <w:p>
            <w:pPr>
              <w:ind w:left="3"/>
              <w:spacing w:before="101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序及相应信息披露义务。</w:t>
            </w:r>
          </w:p>
        </w:tc>
      </w:tr>
      <w:tr>
        <w:trPr>
          <w:trHeight w:val="724" w:hRule="atLeast"/>
        </w:trPr>
        <w:tc>
          <w:tcPr>
            <w:tcW w:w="1276" w:type="dxa"/>
            <w:vAlign w:val="top"/>
          </w:tcPr>
          <w:p>
            <w:pPr>
              <w:ind w:left="271"/>
              <w:spacing w:before="98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600360</w:t>
            </w:r>
          </w:p>
        </w:tc>
        <w:tc>
          <w:tcPr>
            <w:tcW w:w="1215" w:type="dxa"/>
            <w:vAlign w:val="top"/>
          </w:tcPr>
          <w:p>
            <w:pPr>
              <w:ind w:left="180"/>
              <w:spacing w:before="83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华微电子</w:t>
            </w:r>
          </w:p>
        </w:tc>
        <w:tc>
          <w:tcPr>
            <w:tcW w:w="1324" w:type="dxa"/>
            <w:vAlign w:val="top"/>
          </w:tcPr>
          <w:p>
            <w:pPr>
              <w:ind w:left="237"/>
              <w:spacing w:before="83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ind w:left="3" w:right="158"/>
              <w:spacing w:before="82" w:line="22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公司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未及时回复监管函件并履行信息披露义务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，也未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按监管要求及公司公告承诺的时限提供相关文件。</w:t>
            </w:r>
          </w:p>
        </w:tc>
      </w:tr>
      <w:tr>
        <w:trPr>
          <w:trHeight w:val="1441" w:hRule="atLeast"/>
        </w:trPr>
        <w:tc>
          <w:tcPr>
            <w:shd w:val="clear" w:fill="F2DCDC"/>
            <w:tcW w:w="1276" w:type="dxa"/>
            <w:vAlign w:val="top"/>
          </w:tcPr>
          <w:p>
            <w:pPr>
              <w:ind w:left="271"/>
              <w:spacing w:before="98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600375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ind w:left="179"/>
              <w:spacing w:before="85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汉马科技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ind w:left="237"/>
              <w:spacing w:before="84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ind w:left="2" w:right="158" w:firstLine="1"/>
              <w:spacing w:before="81" w:line="236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公司披露拟收购标的南充发展从事新能源整车制造业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1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务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1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，但在前期多次相关公告中均未提及资质要求及获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取情况等重要信息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，且未进行相关风险提示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迟至公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告终止重组时方才补充披露。</w:t>
            </w:r>
          </w:p>
        </w:tc>
      </w:tr>
      <w:tr>
        <w:trPr>
          <w:trHeight w:val="1082" w:hRule="atLeast"/>
        </w:trPr>
        <w:tc>
          <w:tcPr>
            <w:tcW w:w="1276" w:type="dxa"/>
            <w:vAlign w:val="top"/>
          </w:tcPr>
          <w:p>
            <w:pPr>
              <w:ind w:left="271"/>
              <w:spacing w:before="104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600290</w:t>
            </w:r>
          </w:p>
        </w:tc>
        <w:tc>
          <w:tcPr>
            <w:tcW w:w="1215" w:type="dxa"/>
            <w:vAlign w:val="top"/>
          </w:tcPr>
          <w:p>
            <w:pPr>
              <w:ind w:left="225"/>
              <w:spacing w:before="89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*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华仪</w:t>
            </w:r>
          </w:p>
        </w:tc>
        <w:tc>
          <w:tcPr>
            <w:tcW w:w="1324" w:type="dxa"/>
            <w:vAlign w:val="top"/>
          </w:tcPr>
          <w:p>
            <w:pPr>
              <w:ind w:left="237"/>
              <w:spacing w:before="89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ind w:left="5" w:right="48"/>
              <w:spacing w:before="87" w:line="22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华仪电气2017年年度报告、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2018年年度报告、  2019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2020年年度报告、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2021年年度报告、</w:t>
            </w:r>
          </w:p>
          <w:p>
            <w:pPr>
              <w:ind w:left="13"/>
              <w:spacing w:before="89" w:line="18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2022年年度报告存在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虚假记载。</w:t>
            </w:r>
          </w:p>
        </w:tc>
      </w:tr>
      <w:tr>
        <w:trPr>
          <w:trHeight w:val="1092" w:hRule="atLeast"/>
        </w:trPr>
        <w:tc>
          <w:tcPr>
            <w:shd w:val="clear" w:fill="F2DCDC"/>
            <w:tcW w:w="1276" w:type="dxa"/>
            <w:vAlign w:val="top"/>
          </w:tcPr>
          <w:p>
            <w:pPr>
              <w:ind w:left="271"/>
              <w:spacing w:before="109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600290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ind w:left="225"/>
              <w:spacing w:before="94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*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华仪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ind w:left="235"/>
              <w:spacing w:before="97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公开谴责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ind w:left="5" w:right="48"/>
              <w:spacing w:before="92" w:line="22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华仪电气2017年年度报告、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2018年年度报告、  2019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2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2020年年度报告、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2021年年度报告、</w:t>
            </w:r>
          </w:p>
          <w:p>
            <w:pPr>
              <w:ind w:left="13"/>
              <w:spacing w:before="88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7"/>
              </w:rPr>
              <w:t>2022年年度报告存在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虚假记载。</w:t>
            </w:r>
          </w:p>
        </w:tc>
      </w:tr>
    </w:tbl>
    <w:p>
      <w:pPr>
        <w:pStyle w:val="BodyText"/>
        <w:spacing w:line="292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ind w:left="476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（2）函件统计</w:t>
      </w:r>
    </w:p>
    <w:p>
      <w:pPr>
        <w:ind w:left="452"/>
        <w:spacing w:before="305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2024年1月15日-1月21日</w:t>
      </w:r>
      <w:r>
        <w:rPr>
          <w:rFonts w:ascii="Microsoft YaHei" w:hAnsi="Microsoft YaHei" w:eastAsia="Microsoft YaHei" w:cs="Microsoft YaHei"/>
          <w:sz w:val="22"/>
          <w:szCs w:val="22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，上交所发出1份监管问询函。</w:t>
      </w:r>
    </w:p>
    <w:p>
      <w:pPr>
        <w:spacing w:before="25"/>
        <w:rPr/>
      </w:pPr>
      <w:r/>
    </w:p>
    <w:tbl>
      <w:tblPr>
        <w:tblStyle w:val="TableNormal"/>
        <w:tblW w:w="8797" w:type="dxa"/>
        <w:tblInd w:w="1114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06"/>
      </w:tblGrid>
      <w:tr>
        <w:trPr>
          <w:trHeight w:val="372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C0504D" w:sz="10" w:space="0"/>
            </w:tcBorders>
          </w:tcPr>
          <w:p>
            <w:pPr>
              <w:ind w:left="211"/>
              <w:spacing w:before="93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C0504D" w:sz="10" w:space="0"/>
            </w:tcBorders>
          </w:tcPr>
          <w:p>
            <w:pPr>
              <w:ind w:left="179"/>
              <w:spacing w:before="93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6306" w:type="dxa"/>
            <w:vAlign w:val="top"/>
            <w:tcBorders>
              <w:bottom w:val="single" w:color="C0504D" w:sz="10" w:space="0"/>
            </w:tcBorders>
          </w:tcPr>
          <w:p>
            <w:pPr>
              <w:ind w:left="2737"/>
              <w:spacing w:before="94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color w:val="FFFFFF"/>
                <w:spacing w:val="5"/>
              </w:rPr>
              <w:t>函件类别</w:t>
            </w:r>
          </w:p>
        </w:tc>
      </w:tr>
      <w:tr>
        <w:trPr>
          <w:trHeight w:val="362" w:hRule="atLeast"/>
        </w:trPr>
        <w:tc>
          <w:tcPr>
            <w:tcW w:w="1276" w:type="dxa"/>
            <w:vAlign w:val="top"/>
            <w:tcBorders>
              <w:top w:val="single" w:color="C0504D" w:sz="10" w:space="0"/>
            </w:tcBorders>
          </w:tcPr>
          <w:p>
            <w:pPr>
              <w:ind w:left="272"/>
              <w:spacing w:before="98" w:line="17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688337</w:t>
            </w:r>
          </w:p>
        </w:tc>
        <w:tc>
          <w:tcPr>
            <w:tcW w:w="1215" w:type="dxa"/>
            <w:vAlign w:val="top"/>
            <w:tcBorders>
              <w:top w:val="single" w:color="C0504D" w:sz="10" w:space="0"/>
            </w:tcBorders>
          </w:tcPr>
          <w:p>
            <w:pPr>
              <w:ind w:left="179"/>
              <w:spacing w:before="83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普源精电</w:t>
            </w:r>
          </w:p>
        </w:tc>
        <w:tc>
          <w:tcPr>
            <w:tcW w:w="6306" w:type="dxa"/>
            <w:vAlign w:val="top"/>
            <w:tcBorders>
              <w:top w:val="single" w:color="C0504D" w:sz="10" w:space="0"/>
            </w:tcBorders>
          </w:tcPr>
          <w:p>
            <w:pPr>
              <w:ind w:left="2840"/>
              <w:spacing w:before="84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4"/>
              </w:rPr>
              <w:t>问询函</w:t>
            </w:r>
          </w:p>
        </w:tc>
      </w:tr>
    </w:tbl>
    <w:p>
      <w:pPr>
        <w:pStyle w:val="BodyText"/>
        <w:spacing w:line="410" w:lineRule="auto"/>
        <w:rPr/>
      </w:pPr>
      <w:r/>
    </w:p>
    <w:p>
      <w:pPr>
        <w:ind w:left="452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</w:t>
      </w:r>
    </w:p>
    <w:p>
      <w:pPr>
        <w:ind w:firstLine="452"/>
        <w:spacing w:before="329" w:line="212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2"/>
        </w:rPr>
        <w:t>2024年1月15日-1月21日</w:t>
      </w:r>
      <w:r>
        <w:rPr>
          <w:rFonts w:ascii="Microsoft YaHei" w:hAnsi="Microsoft YaHei" w:eastAsia="Microsoft YaHei" w:cs="Microsoft YaHei"/>
          <w:sz w:val="22"/>
          <w:szCs w:val="22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>，上交所对39</w:t>
      </w:r>
      <w:r>
        <w:rPr>
          <w:rFonts w:ascii="Microsoft YaHei" w:hAnsi="Microsoft YaHei" w:eastAsia="Microsoft YaHei" w:cs="Microsoft YaHei"/>
          <w:sz w:val="22"/>
          <w:szCs w:val="22"/>
          <w:spacing w:val="1"/>
        </w:rPr>
        <w:t>起拉抬打压、虚假申报等证券异常交易行为采取了书面警示等监管措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施</w:t>
      </w:r>
      <w:r>
        <w:rPr>
          <w:rFonts w:ascii="Microsoft YaHei" w:hAnsi="Microsoft YaHei" w:eastAsia="Microsoft YaHei" w:cs="Microsoft YaHei"/>
          <w:sz w:val="22"/>
          <w:szCs w:val="22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，对13起上市公司重大事项等进行专项核查。</w:t>
      </w:r>
    </w:p>
    <w:p>
      <w:pPr>
        <w:spacing w:line="212" w:lineRule="auto"/>
        <w:sectPr>
          <w:pgSz w:w="11910" w:h="16840"/>
          <w:pgMar w:top="400" w:right="459" w:bottom="0" w:left="441" w:header="0" w:footer="0" w:gutter="0"/>
        </w:sectPr>
        <w:rPr>
          <w:rFonts w:ascii="Microsoft YaHei" w:hAnsi="Microsoft YaHei" w:eastAsia="Microsoft YaHei" w:cs="Microsoft YaHei"/>
          <w:sz w:val="22"/>
          <w:szCs w:val="22"/>
        </w:rPr>
      </w:pPr>
    </w:p>
    <w:p>
      <w:pPr>
        <w:spacing w:before="10" w:line="819" w:lineRule="exact"/>
        <w:rPr/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1193796</wp:posOffset>
            </wp:positionH>
            <wp:positionV relativeFrom="page">
              <wp:posOffset>5213333</wp:posOffset>
            </wp:positionV>
            <wp:extent cx="5435572" cy="635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3557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</w:rPr>
        <w:pict>
          <v:group id="_x0000_s26" style="mso-position-vertical-relative:line;mso-position-horizontal-relative:char;width:135.05pt;height:41pt;" filled="false" stroked="false" coordsize="2701,820" coordorigin="0,0">
            <v:shape id="_x0000_s28" style="position:absolute;left:0;top:0;width:2701;height:820;" filled="false" stroked="false" type="#_x0000_t75">
              <v:imagedata o:title="" r:id="rId15"/>
            </v:shape>
            <v:shape id="_x0000_s30" style="position:absolute;left:-20;top:-20;width:2741;height:8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33"/>
                      <w:spacing w:before="305" w:line="222" w:lineRule="auto"/>
                      <w:rPr>
                        <w:rFonts w:ascii="SimHei" w:hAnsi="SimHei" w:eastAsia="SimHei" w:cs="SimHei"/>
                        <w:sz w:val="26"/>
                        <w:szCs w:val="26"/>
                      </w:rPr>
                    </w:pPr>
                    <w:r>
                      <w:rPr>
                        <w:rFonts w:ascii="SimHei" w:hAnsi="SimHei" w:eastAsia="SimHei" w:cs="SimHei"/>
                        <w:sz w:val="26"/>
                        <w:szCs w:val="26"/>
                        <w:b/>
                        <w:bCs/>
                        <w:color w:val="FFFFFF"/>
                        <w:spacing w:val="16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38" w:lineRule="auto"/>
        <w:rPr/>
      </w:pPr>
      <w:r/>
    </w:p>
    <w:p>
      <w:pPr>
        <w:ind w:left="783"/>
        <w:spacing w:before="85" w:line="222" w:lineRule="auto"/>
        <w:outlineLvl w:val="0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23"/>
        </w:rPr>
        <w:t>1、上市公司监管动态</w:t>
      </w:r>
    </w:p>
    <w:p>
      <w:pPr>
        <w:pStyle w:val="BodyText"/>
        <w:spacing w:line="299" w:lineRule="auto"/>
        <w:rPr/>
      </w:pPr>
      <w:r/>
    </w:p>
    <w:p>
      <w:pPr>
        <w:ind w:left="750"/>
        <w:spacing w:before="69" w:line="213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12"/>
        </w:rPr>
        <w:t>2024年1月15日-1月21日，深交所发出5份监管函，对2宗行为予以</w:t>
      </w:r>
      <w:r>
        <w:rPr>
          <w:rFonts w:ascii="SimHei" w:hAnsi="SimHei" w:eastAsia="SimHei" w:cs="SimHei"/>
          <w:sz w:val="21"/>
          <w:szCs w:val="21"/>
          <w:spacing w:val="11"/>
        </w:rPr>
        <w:t>纪律处分；共发出关注函7份。</w:t>
      </w:r>
    </w:p>
    <w:p>
      <w:pPr>
        <w:pStyle w:val="BodyText"/>
        <w:spacing w:line="366" w:lineRule="auto"/>
        <w:rPr/>
      </w:pPr>
      <w:r/>
    </w:p>
    <w:p>
      <w:pPr>
        <w:ind w:left="3824"/>
        <w:spacing w:before="107" w:line="221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"/>
        </w:rPr>
        <w:t>上周深交所发出函件统计(份)</w:t>
      </w:r>
    </w:p>
    <w:p>
      <w:pPr>
        <w:ind w:left="5200"/>
        <w:spacing w:before="115"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0A55AB"/>
          <w:spacing w:val="-11"/>
        </w:rPr>
        <w:t>■</w:t>
      </w:r>
      <w:r>
        <w:rPr>
          <w:rFonts w:ascii="SimHei" w:hAnsi="SimHei" w:eastAsia="SimHei" w:cs="SimHei"/>
          <w:sz w:val="21"/>
          <w:szCs w:val="21"/>
          <w:spacing w:val="-11"/>
        </w:rPr>
        <w:t>主板</w:t>
      </w:r>
      <w:r>
        <w:rPr>
          <w:rFonts w:ascii="SimHei" w:hAnsi="SimHei" w:eastAsia="SimHei" w:cs="SimHei"/>
          <w:sz w:val="21"/>
          <w:szCs w:val="21"/>
        </w:rPr>
        <w:t xml:space="preserve">    </w:t>
      </w:r>
      <w:r>
        <w:rPr>
          <w:rFonts w:ascii="SimHei" w:hAnsi="SimHei" w:eastAsia="SimHei" w:cs="SimHei"/>
          <w:sz w:val="21"/>
          <w:szCs w:val="21"/>
          <w:color w:val="C7221C"/>
          <w:spacing w:val="-11"/>
        </w:rPr>
        <w:t>■</w:t>
      </w:r>
      <w:r>
        <w:rPr>
          <w:rFonts w:ascii="SimHei" w:hAnsi="SimHei" w:eastAsia="SimHei" w:cs="SimHei"/>
          <w:sz w:val="21"/>
          <w:szCs w:val="21"/>
          <w:color w:val="C7221C"/>
          <w:spacing w:val="-50"/>
        </w:rPr>
        <w:t xml:space="preserve"> </w:t>
      </w:r>
      <w:r>
        <w:rPr>
          <w:rFonts w:ascii="SimHei" w:hAnsi="SimHei" w:eastAsia="SimHei" w:cs="SimHei"/>
          <w:sz w:val="21"/>
          <w:szCs w:val="21"/>
          <w:spacing w:val="-11"/>
        </w:rPr>
        <w:t>创业板</w:t>
      </w:r>
    </w:p>
    <w:p>
      <w:pPr>
        <w:spacing w:before="52"/>
        <w:rPr/>
      </w:pPr>
      <w:r/>
    </w:p>
    <w:p>
      <w:pPr>
        <w:sectPr>
          <w:pgSz w:w="11910" w:h="16840"/>
          <w:pgMar w:top="400" w:right="1465" w:bottom="0" w:left="139" w:header="0" w:footer="0" w:gutter="0"/>
          <w:cols w:equalWidth="0" w:num="1">
            <w:col w:w="10306" w:space="0"/>
          </w:cols>
        </w:sectPr>
        <w:rPr/>
      </w:pPr>
    </w:p>
    <w:p>
      <w:pPr>
        <w:ind w:left="2900"/>
        <w:spacing w:before="36" w:line="219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7"/>
          <w:w w:val="91"/>
          <w:position w:val="-3"/>
        </w:rPr>
        <w:t>8-</w:t>
      </w:r>
    </w:p>
    <w:p>
      <w:pPr>
        <w:ind w:left="2900" w:right="505"/>
        <w:spacing w:before="6" w:line="213" w:lineRule="auto"/>
        <w:jc w:val="both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6"/>
          <w:szCs w:val="26"/>
          <w:spacing w:val="-75"/>
          <w:w w:val="82"/>
        </w:rPr>
        <w:t>7 ·</w:t>
      </w:r>
      <w:r>
        <w:rPr>
          <w:rFonts w:ascii="SimSun" w:hAnsi="SimSun" w:eastAsia="SimSun" w:cs="SimSun"/>
          <w:sz w:val="26"/>
          <w:szCs w:val="26"/>
          <w:spacing w:val="2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4"/>
          <w:w w:val="70"/>
        </w:rPr>
        <w:t>6-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7"/>
          <w:w w:val="90"/>
        </w:rPr>
        <w:t>5-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14"/>
          <w:w w:val="82"/>
        </w:rPr>
        <w:t>4-</w:t>
      </w:r>
      <w:r>
        <w:rPr>
          <w:rFonts w:ascii="SimSun" w:hAnsi="SimSun" w:eastAsia="SimSun" w:cs="SimSun"/>
          <w:sz w:val="26"/>
          <w:szCs w:val="2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17"/>
          <w:w w:val="90"/>
        </w:rPr>
        <w:t>3-</w:t>
      </w:r>
      <w:r>
        <w:rPr>
          <w:rFonts w:ascii="SimSun" w:hAnsi="SimSun" w:eastAsia="SimSun" w:cs="SimSun"/>
          <w:sz w:val="21"/>
          <w:szCs w:val="21"/>
        </w:rPr>
        <w:t xml:space="preserve"> </w:t>
      </w:r>
      <w:r>
        <w:rPr>
          <w:rFonts w:ascii="SimSun" w:hAnsi="SimSun" w:eastAsia="SimSun" w:cs="SimSun"/>
          <w:sz w:val="21"/>
          <w:szCs w:val="21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3479"/>
        <w:spacing w:before="101" w:line="18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7</w:t>
      </w:r>
    </w:p>
    <w:p>
      <w:pPr>
        <w:pStyle w:val="BodyText"/>
        <w:spacing w:line="282" w:lineRule="auto"/>
        <w:rPr/>
      </w:pPr>
      <w:r/>
    </w:p>
    <w:p>
      <w:pPr>
        <w:spacing w:before="69" w:line="18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5</w:t>
      </w:r>
    </w:p>
    <w:p>
      <w:pPr>
        <w:pStyle w:val="BodyText"/>
        <w:spacing w:line="317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ind w:left="1769"/>
        <w:spacing w:before="20" w:line="41" w:lineRule="exact"/>
        <w:rPr>
          <w:rFonts w:ascii="SimSun" w:hAnsi="SimSun" w:eastAsia="SimSun" w:cs="SimSun"/>
          <w:sz w:val="6"/>
          <w:szCs w:val="6"/>
        </w:rPr>
      </w:pPr>
      <w:r>
        <w:rPr>
          <w:rFonts w:ascii="SimSun" w:hAnsi="SimSun" w:eastAsia="SimSun" w:cs="SimSun"/>
          <w:sz w:val="6"/>
          <w:szCs w:val="6"/>
          <w:position w:val="-1"/>
        </w:rPr>
        <w:t>1</w:t>
      </w:r>
    </w:p>
    <w:p>
      <w:pPr>
        <w:spacing w:line="41" w:lineRule="exact"/>
        <w:sectPr>
          <w:type w:val="continuous"/>
          <w:pgSz w:w="11910" w:h="16840"/>
          <w:pgMar w:top="400" w:right="1465" w:bottom="0" w:left="139" w:header="0" w:footer="0" w:gutter="0"/>
          <w:cols w:equalWidth="0" w:num="2">
            <w:col w:w="3611" w:space="100"/>
            <w:col w:w="6595" w:space="0"/>
          </w:cols>
        </w:sectPr>
        <w:rPr>
          <w:rFonts w:ascii="SimSun" w:hAnsi="SimSun" w:eastAsia="SimSun" w:cs="SimSun"/>
          <w:sz w:val="6"/>
          <w:szCs w:val="6"/>
        </w:rPr>
      </w:pPr>
    </w:p>
    <w:p>
      <w:pPr>
        <w:spacing w:line="67" w:lineRule="exact"/>
        <w:rPr/>
      </w:pPr>
      <w:r/>
    </w:p>
    <w:p>
      <w:pPr>
        <w:spacing w:line="67" w:lineRule="exact"/>
        <w:sectPr>
          <w:type w:val="continuous"/>
          <w:pgSz w:w="11910" w:h="16840"/>
          <w:pgMar w:top="400" w:right="1465" w:bottom="0" w:left="139" w:header="0" w:footer="0" w:gutter="0"/>
          <w:cols w:equalWidth="0" w:num="1">
            <w:col w:w="10306" w:space="0"/>
          </w:cols>
        </w:sectPr>
        <w:rPr/>
      </w:pPr>
    </w:p>
    <w:p>
      <w:pPr>
        <w:ind w:left="2900"/>
        <w:spacing w:before="36" w:line="177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9"/>
        </w:rPr>
        <w:t>1-</w:t>
      </w:r>
    </w:p>
    <w:p>
      <w:pPr>
        <w:ind w:left="2910"/>
        <w:spacing w:line="125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position w:val="-3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5" w:line="183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5" w:line="183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0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7"/>
        </w:rPr>
        <w:t>0</w:t>
      </w:r>
      <w:r>
        <w:rPr>
          <w:rFonts w:ascii="SimSun" w:hAnsi="SimSun" w:eastAsia="SimSun" w:cs="SimSun"/>
          <w:sz w:val="26"/>
          <w:szCs w:val="26"/>
          <w:spacing w:val="51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7"/>
        </w:rPr>
        <w:t>0</w:t>
      </w:r>
    </w:p>
    <w:p>
      <w:pPr>
        <w:spacing w:line="183" w:lineRule="auto"/>
        <w:sectPr>
          <w:type w:val="continuous"/>
          <w:pgSz w:w="11910" w:h="16840"/>
          <w:pgMar w:top="400" w:right="1465" w:bottom="0" w:left="139" w:header="0" w:footer="0" w:gutter="0"/>
          <w:cols w:equalWidth="0" w:num="4">
            <w:col w:w="4111" w:space="100"/>
            <w:col w:w="3370" w:space="100"/>
            <w:col w:w="1160" w:space="100"/>
            <w:col w:w="1366" w:space="0"/>
          </w:cols>
        </w:sectPr>
        <w:rPr>
          <w:rFonts w:ascii="SimSun" w:hAnsi="SimSun" w:eastAsia="SimSun" w:cs="SimSun"/>
          <w:sz w:val="26"/>
          <w:szCs w:val="26"/>
        </w:rPr>
      </w:pPr>
    </w:p>
    <w:p>
      <w:pPr>
        <w:spacing w:line="70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809" w:type="dxa"/>
        <w:tblInd w:w="230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64"/>
        <w:gridCol w:w="1737"/>
        <w:gridCol w:w="1738"/>
        <w:gridCol w:w="1738"/>
        <w:gridCol w:w="1732"/>
      </w:tblGrid>
      <w:tr>
        <w:trPr>
          <w:trHeight w:val="341" w:hRule="atLeast"/>
        </w:trPr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7" w:type="dxa"/>
            <w:vAlign w:val="top"/>
          </w:tcPr>
          <w:p>
            <w:pPr>
              <w:pStyle w:val="TableText"/>
              <w:ind w:left="561"/>
              <w:spacing w:before="73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6"/>
              </w:rPr>
              <w:t>监管函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464"/>
              <w:spacing w:before="73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2"/>
              </w:rPr>
              <w:t>纪律处分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566"/>
              <w:spacing w:before="73" w:line="22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7"/>
              </w:rPr>
              <w:t>关注函</w:t>
            </w:r>
          </w:p>
        </w:tc>
        <w:tc>
          <w:tcPr>
            <w:tcW w:w="1732" w:type="dxa"/>
            <w:vAlign w:val="top"/>
          </w:tcPr>
          <w:p>
            <w:pPr>
              <w:pStyle w:val="TableText"/>
              <w:ind w:left="158"/>
              <w:spacing w:before="73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2"/>
              </w:rPr>
              <w:t>并购重组问询函</w:t>
            </w:r>
          </w:p>
        </w:tc>
      </w:tr>
      <w:tr>
        <w:trPr>
          <w:trHeight w:val="297" w:hRule="atLeast"/>
        </w:trPr>
        <w:tc>
          <w:tcPr>
            <w:tcW w:w="864" w:type="dxa"/>
            <w:vAlign w:val="top"/>
          </w:tcPr>
          <w:p>
            <w:pPr>
              <w:pStyle w:val="TableText"/>
              <w:ind w:left="65"/>
              <w:spacing w:before="51" w:line="21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3"/>
              </w:rPr>
              <w:t>■主板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811"/>
              <w:spacing w:before="105" w:line="16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</w:tcPr>
          <w:p>
            <w:pPr>
              <w:pStyle w:val="TableText"/>
              <w:ind w:left="816"/>
              <w:spacing w:before="105" w:line="16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32" w:type="dxa"/>
            <w:vAlign w:val="top"/>
          </w:tcPr>
          <w:p>
            <w:pPr>
              <w:pStyle w:val="TableText"/>
              <w:ind w:left="808"/>
              <w:spacing w:before="103" w:line="16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864" w:type="dxa"/>
            <w:vAlign w:val="top"/>
          </w:tcPr>
          <w:p>
            <w:pPr>
              <w:pStyle w:val="TableText"/>
              <w:ind w:right="10"/>
              <w:spacing w:before="54" w:line="21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6"/>
              </w:rPr>
              <w:t>■创业板</w:t>
            </w:r>
          </w:p>
        </w:tc>
        <w:tc>
          <w:tcPr>
            <w:tcW w:w="1737" w:type="dxa"/>
            <w:vAlign w:val="top"/>
          </w:tcPr>
          <w:p>
            <w:pPr>
              <w:pStyle w:val="TableText"/>
              <w:ind w:left="811"/>
              <w:spacing w:before="106" w:line="1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813"/>
              <w:spacing w:before="106" w:line="1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816"/>
              <w:spacing w:before="106" w:line="1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32" w:type="dxa"/>
            <w:vAlign w:val="top"/>
          </w:tcPr>
          <w:p>
            <w:pPr>
              <w:pStyle w:val="TableText"/>
              <w:ind w:left="808"/>
              <w:spacing w:before="106" w:line="162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903"/>
        <w:spacing w:before="84" w:line="222" w:lineRule="auto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13"/>
        </w:rPr>
        <w:t>(1)纪律处分及监管措施</w:t>
      </w:r>
    </w:p>
    <w:p>
      <w:pPr>
        <w:spacing w:before="4"/>
        <w:rPr/>
      </w:pPr>
      <w:r/>
    </w:p>
    <w:tbl>
      <w:tblPr>
        <w:tblStyle w:val="TableNormal"/>
        <w:tblW w:w="9019" w:type="dxa"/>
        <w:tblInd w:w="128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73"/>
        <w:gridCol w:w="1488"/>
        <w:gridCol w:w="1488"/>
        <w:gridCol w:w="4570"/>
      </w:tblGrid>
      <w:tr>
        <w:trPr>
          <w:trHeight w:val="644" w:hRule="atLeast"/>
        </w:trPr>
        <w:tc>
          <w:tcPr>
            <w:shd w:val="clear" w:fill="4BACC6"/>
            <w:tcW w:w="1473" w:type="dxa"/>
            <w:vAlign w:val="top"/>
          </w:tcPr>
          <w:p>
            <w:pPr>
              <w:pStyle w:val="TableText"/>
              <w:ind w:left="305"/>
              <w:spacing w:before="9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color w:val="FFFFFF"/>
                <w:spacing w:val="2"/>
              </w:rPr>
              <w:t>公司代码</w:t>
            </w:r>
          </w:p>
        </w:tc>
        <w:tc>
          <w:tcPr>
            <w:shd w:val="clear" w:fill="4BACC6"/>
            <w:tcW w:w="1488" w:type="dxa"/>
            <w:vAlign w:val="top"/>
          </w:tcPr>
          <w:p>
            <w:pPr>
              <w:pStyle w:val="TableText"/>
              <w:ind w:left="311"/>
              <w:spacing w:before="1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color w:val="FFFFFF"/>
                <w:spacing w:val="2"/>
              </w:rPr>
              <w:t>公司简称</w:t>
            </w:r>
          </w:p>
        </w:tc>
        <w:tc>
          <w:tcPr>
            <w:shd w:val="clear" w:fill="4BACC6"/>
            <w:tcW w:w="1488" w:type="dxa"/>
            <w:vAlign w:val="top"/>
          </w:tcPr>
          <w:p>
            <w:pPr>
              <w:pStyle w:val="TableText"/>
              <w:ind w:left="314"/>
              <w:spacing w:before="1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color w:val="FFFFFF"/>
                <w:spacing w:val="3"/>
              </w:rPr>
              <w:t>监管类型</w:t>
            </w:r>
          </w:p>
        </w:tc>
        <w:tc>
          <w:tcPr>
            <w:shd w:val="clear" w:fill="4BACC6"/>
            <w:tcW w:w="4570" w:type="dxa"/>
            <w:vAlign w:val="top"/>
          </w:tcPr>
          <w:p>
            <w:pPr>
              <w:pStyle w:val="TableText"/>
              <w:ind w:left="1848"/>
              <w:spacing w:before="1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color w:val="FFFFFF"/>
                <w:spacing w:val="2"/>
              </w:rPr>
              <w:t>处理事由</w:t>
            </w:r>
          </w:p>
        </w:tc>
      </w:tr>
      <w:tr>
        <w:trPr>
          <w:trHeight w:val="609" w:hRule="atLeast"/>
        </w:trPr>
        <w:tc>
          <w:tcPr>
            <w:tcW w:w="1473" w:type="dxa"/>
            <w:vAlign w:val="top"/>
          </w:tcPr>
          <w:p>
            <w:pPr>
              <w:pStyle w:val="TableText"/>
              <w:ind w:left="414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002848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311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高斯贝尔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423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监管函</w:t>
            </w:r>
          </w:p>
        </w:tc>
        <w:tc>
          <w:tcPr>
            <w:tcW w:w="4570" w:type="dxa"/>
            <w:vAlign w:val="top"/>
          </w:tcPr>
          <w:p>
            <w:pPr>
              <w:pStyle w:val="TableText"/>
              <w:ind w:left="115"/>
              <w:spacing w:before="19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承诺方未按照公开披露的信息</w:t>
            </w:r>
            <w:r>
              <w:rPr>
                <w:sz w:val="21"/>
                <w:szCs w:val="21"/>
                <w:b/>
                <w:bCs/>
                <w:spacing w:val="-2"/>
              </w:rPr>
              <w:t>履行补偿。</w:t>
            </w:r>
          </w:p>
        </w:tc>
      </w:tr>
      <w:tr>
        <w:trPr>
          <w:trHeight w:val="1428" w:hRule="atLeast"/>
        </w:trPr>
        <w:tc>
          <w:tcPr>
            <w:shd w:val="clear" w:fill="B8CCE4"/>
            <w:tcW w:w="147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002037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6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保利联合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3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监管函</w:t>
            </w:r>
          </w:p>
        </w:tc>
        <w:tc>
          <w:tcPr>
            <w:shd w:val="clear" w:fill="B7CBE3"/>
            <w:tcW w:w="4570" w:type="dxa"/>
            <w:vAlign w:val="top"/>
          </w:tcPr>
          <w:p>
            <w:pPr>
              <w:pStyle w:val="TableText"/>
              <w:ind w:left="135"/>
              <w:spacing w:before="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立信会计师事务所(特殊普通合伙)、注册会</w:t>
            </w:r>
          </w:p>
          <w:p>
            <w:pPr>
              <w:pStyle w:val="TableText"/>
              <w:ind w:left="118" w:right="215" w:hanging="3"/>
              <w:spacing w:before="131" w:line="2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计师在对保利联合化工控股集团股份有限公司</w:t>
            </w:r>
            <w:r>
              <w:rPr>
                <w:sz w:val="21"/>
                <w:szCs w:val="21"/>
                <w:spacing w:val="7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2"/>
              </w:rPr>
              <w:t>2019年至2021年年报审计</w:t>
            </w:r>
            <w:r>
              <w:rPr>
                <w:sz w:val="21"/>
                <w:szCs w:val="21"/>
                <w:spacing w:val="-2"/>
              </w:rPr>
              <w:t>过程中存在违规行</w:t>
            </w:r>
          </w:p>
          <w:p>
            <w:pPr>
              <w:pStyle w:val="TableText"/>
              <w:ind w:left="115"/>
              <w:spacing w:before="9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为。</w:t>
            </w:r>
          </w:p>
        </w:tc>
      </w:tr>
      <w:tr>
        <w:trPr>
          <w:trHeight w:val="1088" w:hRule="atLeast"/>
        </w:trPr>
        <w:tc>
          <w:tcPr>
            <w:tcW w:w="1473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002037</w:t>
            </w:r>
          </w:p>
        </w:tc>
        <w:tc>
          <w:tcPr>
            <w:tcW w:w="1488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6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保利联合</w:t>
            </w:r>
          </w:p>
        </w:tc>
        <w:tc>
          <w:tcPr>
            <w:tcW w:w="1488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3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监管函</w:t>
            </w:r>
          </w:p>
        </w:tc>
        <w:tc>
          <w:tcPr>
            <w:tcW w:w="4570" w:type="dxa"/>
            <w:vAlign w:val="top"/>
          </w:tcPr>
          <w:p>
            <w:pPr>
              <w:pStyle w:val="TableText"/>
              <w:ind w:left="118" w:right="460" w:hanging="3"/>
              <w:spacing w:before="120" w:line="2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2019年公司</w:t>
            </w:r>
            <w:r>
              <w:rPr>
                <w:sz w:val="21"/>
                <w:szCs w:val="21"/>
                <w:b/>
                <w:bCs/>
                <w:spacing w:val="-2"/>
              </w:rPr>
              <w:t>少计提坏账准备；</w:t>
            </w:r>
            <w:r>
              <w:rPr>
                <w:sz w:val="21"/>
                <w:szCs w:val="21"/>
                <w:spacing w:val="-2"/>
              </w:rPr>
              <w:t>2020年</w:t>
            </w:r>
            <w:r>
              <w:rPr>
                <w:sz w:val="21"/>
                <w:szCs w:val="21"/>
                <w:b/>
                <w:bCs/>
                <w:spacing w:val="-2"/>
              </w:rPr>
              <w:t>少计提</w:t>
            </w:r>
            <w:r>
              <w:rPr>
                <w:sz w:val="21"/>
                <w:szCs w:val="21"/>
                <w:spacing w:val="14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2"/>
              </w:rPr>
              <w:t>坏账准备；</w:t>
            </w:r>
            <w:r>
              <w:rPr>
                <w:sz w:val="21"/>
                <w:szCs w:val="21"/>
                <w:spacing w:val="-2"/>
              </w:rPr>
              <w:t>2021年</w:t>
            </w:r>
            <w:r>
              <w:rPr>
                <w:sz w:val="21"/>
                <w:szCs w:val="21"/>
                <w:b/>
                <w:bCs/>
                <w:spacing w:val="-2"/>
              </w:rPr>
              <w:t>少计提坏账准备</w:t>
            </w:r>
            <w:r>
              <w:rPr>
                <w:sz w:val="21"/>
                <w:szCs w:val="21"/>
                <w:spacing w:val="-2"/>
              </w:rPr>
              <w:t>，导致</w:t>
            </w:r>
          </w:p>
          <w:p>
            <w:pPr>
              <w:pStyle w:val="TableText"/>
              <w:ind w:left="115"/>
              <w:spacing w:before="112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2021年度盈亏发生变化。</w:t>
            </w:r>
          </w:p>
        </w:tc>
      </w:tr>
      <w:tr>
        <w:trPr>
          <w:trHeight w:val="1078" w:hRule="atLeast"/>
        </w:trPr>
        <w:tc>
          <w:tcPr>
            <w:shd w:val="clear" w:fill="B8CCE4"/>
            <w:tcW w:w="1473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002291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遥望科技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3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监管函</w:t>
            </w:r>
          </w:p>
        </w:tc>
        <w:tc>
          <w:tcPr>
            <w:shd w:val="clear" w:fill="B7CBE3"/>
            <w:tcW w:w="4570" w:type="dxa"/>
            <w:vAlign w:val="top"/>
          </w:tcPr>
          <w:p>
            <w:pPr>
              <w:pStyle w:val="TableText"/>
              <w:ind w:left="115"/>
              <w:spacing w:before="1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大华会计师事务所(特殊普通合伙)、注册会</w:t>
            </w:r>
          </w:p>
          <w:p>
            <w:pPr>
              <w:pStyle w:val="TableText"/>
              <w:ind w:left="117" w:right="260" w:hanging="12"/>
              <w:spacing w:before="128" w:line="2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计师在佛山遥望科技股份有限公司2021年</w:t>
            </w:r>
            <w:r>
              <w:rPr>
                <w:sz w:val="21"/>
                <w:szCs w:val="21"/>
                <w:b/>
                <w:bCs/>
                <w:spacing w:val="-1"/>
              </w:rPr>
              <w:t>年报</w:t>
            </w:r>
            <w:r>
              <w:rPr>
                <w:sz w:val="21"/>
                <w:szCs w:val="21"/>
                <w:spacing w:val="10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2"/>
              </w:rPr>
              <w:t>审计执业中</w:t>
            </w:r>
            <w:r>
              <w:rPr>
                <w:sz w:val="21"/>
                <w:szCs w:val="21"/>
                <w:spacing w:val="-2"/>
              </w:rPr>
              <w:t>存在问题。</w:t>
            </w:r>
          </w:p>
        </w:tc>
      </w:tr>
      <w:tr>
        <w:trPr>
          <w:trHeight w:val="359" w:hRule="atLeast"/>
        </w:trPr>
        <w:tc>
          <w:tcPr>
            <w:tcW w:w="1473" w:type="dxa"/>
            <w:vAlign w:val="top"/>
          </w:tcPr>
          <w:p>
            <w:pPr>
              <w:pStyle w:val="TableText"/>
              <w:ind w:left="414"/>
              <w:spacing w:before="13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002231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311"/>
              <w:spacing w:before="84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奥维通信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423"/>
              <w:spacing w:before="8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监管函</w:t>
            </w:r>
          </w:p>
        </w:tc>
        <w:tc>
          <w:tcPr>
            <w:tcW w:w="4570" w:type="dxa"/>
            <w:vAlign w:val="top"/>
          </w:tcPr>
          <w:p>
            <w:pPr>
              <w:pStyle w:val="TableText"/>
              <w:ind w:left="118"/>
              <w:spacing w:before="8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日常关联交易</w:t>
            </w:r>
            <w:r>
              <w:rPr>
                <w:sz w:val="21"/>
                <w:szCs w:val="21"/>
                <w:spacing w:val="-2"/>
              </w:rPr>
              <w:t>没有及时履行信息披露义务。</w:t>
            </w:r>
          </w:p>
        </w:tc>
      </w:tr>
      <w:tr>
        <w:trPr>
          <w:trHeight w:val="719" w:hRule="atLeast"/>
        </w:trPr>
        <w:tc>
          <w:tcPr>
            <w:shd w:val="clear" w:fill="B8CCE4"/>
            <w:tcW w:w="147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300175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pStyle w:val="TableText"/>
              <w:ind w:left="311"/>
              <w:spacing w:before="26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朗源股份</w:t>
            </w:r>
          </w:p>
        </w:tc>
        <w:tc>
          <w:tcPr>
            <w:shd w:val="clear" w:fill="B8CCE4"/>
            <w:tcW w:w="1488" w:type="dxa"/>
            <w:vAlign w:val="top"/>
          </w:tcPr>
          <w:p>
            <w:pPr>
              <w:pStyle w:val="TableText"/>
              <w:ind w:left="314"/>
              <w:spacing w:before="26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通报批评</w:t>
            </w:r>
          </w:p>
        </w:tc>
        <w:tc>
          <w:tcPr>
            <w:shd w:val="clear" w:fill="B7CBE3"/>
            <w:tcW w:w="4570" w:type="dxa"/>
            <w:vAlign w:val="top"/>
          </w:tcPr>
          <w:p>
            <w:pPr>
              <w:pStyle w:val="TableText"/>
              <w:ind w:left="115" w:right="438"/>
              <w:spacing w:before="122" w:line="2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朗源股份</w:t>
            </w:r>
            <w:r>
              <w:rPr>
                <w:sz w:val="21"/>
                <w:szCs w:val="21"/>
                <w:b/>
                <w:bCs/>
                <w:spacing w:val="-1"/>
              </w:rPr>
              <w:t>2018年至2021年定期报告</w:t>
            </w:r>
            <w:r>
              <w:rPr>
                <w:sz w:val="21"/>
                <w:szCs w:val="21"/>
                <w:spacing w:val="-1"/>
              </w:rPr>
              <w:t>财务信息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3"/>
              </w:rPr>
              <w:t>披露不准确</w:t>
            </w:r>
          </w:p>
        </w:tc>
      </w:tr>
      <w:tr>
        <w:trPr>
          <w:trHeight w:val="1083" w:hRule="atLeast"/>
        </w:trPr>
        <w:tc>
          <w:tcPr>
            <w:tcW w:w="1473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4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002037</w:t>
            </w:r>
          </w:p>
        </w:tc>
        <w:tc>
          <w:tcPr>
            <w:tcW w:w="1488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6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保利联合</w:t>
            </w:r>
          </w:p>
        </w:tc>
        <w:tc>
          <w:tcPr>
            <w:tcW w:w="1488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4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通报批评</w:t>
            </w:r>
          </w:p>
        </w:tc>
        <w:tc>
          <w:tcPr>
            <w:tcW w:w="4570" w:type="dxa"/>
            <w:vAlign w:val="top"/>
          </w:tcPr>
          <w:p>
            <w:pPr>
              <w:pStyle w:val="TableText"/>
              <w:ind w:left="118" w:right="460" w:hanging="3"/>
              <w:spacing w:before="126" w:line="2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2019年公司</w:t>
            </w:r>
            <w:r>
              <w:rPr>
                <w:sz w:val="21"/>
                <w:szCs w:val="21"/>
                <w:b/>
                <w:bCs/>
                <w:spacing w:val="-2"/>
              </w:rPr>
              <w:t>少计提坏账准备</w:t>
            </w:r>
            <w:r>
              <w:rPr>
                <w:sz w:val="21"/>
                <w:szCs w:val="21"/>
                <w:spacing w:val="-2"/>
              </w:rPr>
              <w:t>；2020年</w:t>
            </w:r>
            <w:r>
              <w:rPr>
                <w:sz w:val="21"/>
                <w:szCs w:val="21"/>
                <w:b/>
                <w:bCs/>
                <w:spacing w:val="-2"/>
              </w:rPr>
              <w:t>少计提</w:t>
            </w:r>
            <w:r>
              <w:rPr>
                <w:sz w:val="21"/>
                <w:szCs w:val="21"/>
                <w:spacing w:val="16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2"/>
              </w:rPr>
              <w:t>坏账准备；</w:t>
            </w:r>
            <w:r>
              <w:rPr>
                <w:sz w:val="21"/>
                <w:szCs w:val="21"/>
                <w:spacing w:val="-2"/>
              </w:rPr>
              <w:t>2021年</w:t>
            </w:r>
            <w:r>
              <w:rPr>
                <w:sz w:val="21"/>
                <w:szCs w:val="21"/>
                <w:b/>
                <w:bCs/>
                <w:spacing w:val="-2"/>
              </w:rPr>
              <w:t>少计提坏账准备</w:t>
            </w:r>
            <w:r>
              <w:rPr>
                <w:sz w:val="21"/>
                <w:szCs w:val="21"/>
                <w:spacing w:val="-2"/>
              </w:rPr>
              <w:t>，导致</w:t>
            </w:r>
          </w:p>
          <w:p>
            <w:pPr>
              <w:pStyle w:val="TableText"/>
              <w:ind w:left="115"/>
              <w:spacing w:before="102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2021年度盈亏发生变化。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910" w:h="16840"/>
          <w:pgMar w:top="400" w:right="1465" w:bottom="0" w:left="139" w:header="0" w:footer="0" w:gutter="0"/>
          <w:cols w:equalWidth="0" w:num="1">
            <w:col w:w="10306" w:space="0"/>
          </w:cols>
        </w:sectPr>
        <w:rPr>
          <w:sz w:val="2"/>
          <w:szCs w:val="2"/>
        </w:rPr>
      </w:pPr>
    </w:p>
    <w:p>
      <w:pPr>
        <w:pStyle w:val="BodyText"/>
        <w:spacing w:line="295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ind w:left="477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6"/>
        </w:rPr>
        <w:t>（2）函件统计</w:t>
      </w:r>
    </w:p>
    <w:p>
      <w:pPr>
        <w:spacing w:line="218" w:lineRule="exact"/>
        <w:rPr/>
      </w:pPr>
      <w:r/>
    </w:p>
    <w:tbl>
      <w:tblPr>
        <w:tblStyle w:val="TableNormal"/>
        <w:tblW w:w="9003" w:type="dxa"/>
        <w:tblInd w:w="1002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05"/>
        <w:gridCol w:w="1274"/>
        <w:gridCol w:w="6624"/>
      </w:tblGrid>
      <w:tr>
        <w:trPr>
          <w:trHeight w:val="608" w:hRule="atLeast"/>
        </w:trPr>
        <w:tc>
          <w:tcPr>
            <w:shd w:val="clear" w:fill="4BACC6"/>
            <w:tcW w:w="1105" w:type="dxa"/>
            <w:vAlign w:val="top"/>
            <w:tcBorders>
              <w:left w:val="nil"/>
              <w:top w:val="nil"/>
              <w:right w:val="single" w:color="92CDDC" w:sz="2" w:space="0"/>
            </w:tcBorders>
          </w:tcPr>
          <w:p>
            <w:pPr>
              <w:ind w:left="116"/>
              <w:spacing w:before="88" w:line="183" w:lineRule="auto"/>
              <w:rPr>
                <w:rFonts w:ascii="Microsoft YaHei" w:hAnsi="Microsoft YaHei" w:eastAsia="Microsoft YaHei" w:cs="Microsoft YaHei"/>
                <w:sz w:val="22"/>
                <w:szCs w:val="22"/>
              </w:rPr>
            </w:pPr>
            <w:r>
              <w:rPr>
                <w:rFonts w:ascii="Microsoft YaHei" w:hAnsi="Microsoft YaHei" w:eastAsia="Microsoft YaHei" w:cs="Microsoft YaHei"/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274" w:type="dxa"/>
            <w:vAlign w:val="top"/>
            <w:tcBorders>
              <w:top w:val="nil"/>
              <w:left w:val="single" w:color="92CDDC" w:sz="2" w:space="0"/>
              <w:bottom w:val="single" w:color="92CDDC" w:sz="2" w:space="0"/>
              <w:right w:val="single" w:color="92CDDC" w:sz="2" w:space="0"/>
            </w:tcBorders>
          </w:tcPr>
          <w:p>
            <w:pPr>
              <w:ind w:left="197"/>
              <w:spacing w:before="88" w:line="183" w:lineRule="auto"/>
              <w:rPr>
                <w:rFonts w:ascii="Microsoft YaHei" w:hAnsi="Microsoft YaHei" w:eastAsia="Microsoft YaHei" w:cs="Microsoft YaHei"/>
                <w:sz w:val="22"/>
                <w:szCs w:val="22"/>
              </w:rPr>
            </w:pPr>
            <w:r>
              <w:rPr>
                <w:rFonts w:ascii="Microsoft YaHei" w:hAnsi="Microsoft YaHei" w:eastAsia="Microsoft YaHei" w:cs="Microsoft YaHei"/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6624" w:type="dxa"/>
            <w:vAlign w:val="top"/>
            <w:tcBorders>
              <w:right w:val="nil"/>
              <w:top w:val="nil"/>
              <w:left w:val="single" w:color="92CDDC" w:sz="2" w:space="0"/>
            </w:tcBorders>
          </w:tcPr>
          <w:p>
            <w:pPr>
              <w:ind w:left="2879"/>
              <w:spacing w:before="87" w:line="184" w:lineRule="auto"/>
              <w:rPr>
                <w:rFonts w:ascii="Microsoft YaHei" w:hAnsi="Microsoft YaHei" w:eastAsia="Microsoft YaHei" w:cs="Microsoft YaHei"/>
                <w:sz w:val="22"/>
                <w:szCs w:val="22"/>
              </w:rPr>
            </w:pPr>
            <w:r>
              <w:rPr>
                <w:rFonts w:ascii="Microsoft YaHei" w:hAnsi="Microsoft YaHei" w:eastAsia="Microsoft YaHei" w:cs="Microsoft YaHei"/>
                <w:sz w:val="22"/>
                <w:szCs w:val="22"/>
                <w:b/>
                <w:bCs/>
                <w:color w:val="FFFFFF"/>
                <w:spacing w:val="-3"/>
              </w:rPr>
              <w:t>问询类型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ind w:left="188"/>
              <w:spacing w:before="150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000909</w:t>
            </w:r>
          </w:p>
        </w:tc>
        <w:tc>
          <w:tcPr>
            <w:tcW w:w="1274" w:type="dxa"/>
            <w:vAlign w:val="top"/>
          </w:tcPr>
          <w:p>
            <w:pPr>
              <w:ind w:left="314"/>
              <w:spacing w:before="137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数源</w:t>
            </w:r>
          </w:p>
        </w:tc>
        <w:tc>
          <w:tcPr>
            <w:tcW w:w="6624" w:type="dxa"/>
            <w:vAlign w:val="top"/>
          </w:tcPr>
          <w:p>
            <w:pPr>
              <w:ind w:left="2996"/>
              <w:spacing w:before="135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ind w:left="188"/>
              <w:spacing w:before="152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002575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ind w:left="213"/>
              <w:spacing w:before="138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9"/>
              </w:rPr>
              <w:t>群兴玩具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ind w:left="2996"/>
              <w:spacing w:before="138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ind w:left="188"/>
              <w:spacing w:before="151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000017</w:t>
            </w:r>
          </w:p>
        </w:tc>
        <w:tc>
          <w:tcPr>
            <w:tcW w:w="1274" w:type="dxa"/>
            <w:vAlign w:val="top"/>
          </w:tcPr>
          <w:p>
            <w:pPr>
              <w:ind w:left="246"/>
              <w:spacing w:before="138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深中华A</w:t>
            </w:r>
          </w:p>
        </w:tc>
        <w:tc>
          <w:tcPr>
            <w:tcW w:w="6624" w:type="dxa"/>
            <w:vAlign w:val="top"/>
          </w:tcPr>
          <w:p>
            <w:pPr>
              <w:ind w:left="2996"/>
              <w:spacing w:before="138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ind w:left="188"/>
              <w:spacing w:before="15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002699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ind w:left="263"/>
              <w:spacing w:before="139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*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美盛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ind w:left="2996"/>
              <w:spacing w:before="140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ind w:left="188"/>
              <w:spacing w:before="154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000637</w:t>
            </w:r>
          </w:p>
        </w:tc>
        <w:tc>
          <w:tcPr>
            <w:tcW w:w="1274" w:type="dxa"/>
            <w:vAlign w:val="top"/>
          </w:tcPr>
          <w:p>
            <w:pPr>
              <w:ind w:left="314"/>
              <w:spacing w:before="139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实华</w:t>
            </w:r>
          </w:p>
        </w:tc>
        <w:tc>
          <w:tcPr>
            <w:tcW w:w="6624" w:type="dxa"/>
            <w:vAlign w:val="top"/>
          </w:tcPr>
          <w:p>
            <w:pPr>
              <w:ind w:left="2996"/>
              <w:spacing w:before="139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ind w:left="188"/>
              <w:spacing w:before="154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002699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ind w:left="263"/>
              <w:spacing w:before="138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*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</w:rPr>
              <w:t>ST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美盛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ind w:left="2996"/>
              <w:spacing w:before="139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  <w:tr>
        <w:trPr>
          <w:trHeight w:val="468" w:hRule="atLeast"/>
        </w:trPr>
        <w:tc>
          <w:tcPr>
            <w:tcW w:w="1105" w:type="dxa"/>
            <w:vAlign w:val="top"/>
          </w:tcPr>
          <w:p>
            <w:pPr>
              <w:ind w:left="188"/>
              <w:spacing w:before="155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3"/>
              </w:rPr>
              <w:t>000782</w:t>
            </w:r>
          </w:p>
        </w:tc>
        <w:tc>
          <w:tcPr>
            <w:tcW w:w="1274" w:type="dxa"/>
            <w:vAlign w:val="top"/>
          </w:tcPr>
          <w:p>
            <w:pPr>
              <w:ind w:left="215"/>
              <w:spacing w:before="139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美达股份</w:t>
            </w:r>
          </w:p>
        </w:tc>
        <w:tc>
          <w:tcPr>
            <w:tcW w:w="6624" w:type="dxa"/>
            <w:vAlign w:val="top"/>
          </w:tcPr>
          <w:p>
            <w:pPr>
              <w:ind w:left="2996"/>
              <w:spacing w:before="140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8"/>
              </w:rPr>
              <w:t>关注函</w:t>
            </w:r>
          </w:p>
        </w:tc>
      </w:tr>
    </w:tbl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left="491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2、市场交易监管动态</w:t>
      </w:r>
    </w:p>
    <w:p>
      <w:pPr>
        <w:ind w:firstLine="453"/>
        <w:spacing w:before="328" w:line="221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3"/>
        </w:rPr>
        <w:t>2024年1月15日-1月21日</w:t>
      </w:r>
      <w:r>
        <w:rPr>
          <w:rFonts w:ascii="Microsoft YaHei" w:hAnsi="Microsoft YaHei" w:eastAsia="Microsoft YaHei" w:cs="Microsoft YaHei"/>
          <w:sz w:val="22"/>
          <w:szCs w:val="22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3"/>
        </w:rPr>
        <w:t>，深交所共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>对106起证券异常交易行为采取了自律监管措施</w:t>
      </w:r>
      <w:r>
        <w:rPr>
          <w:rFonts w:ascii="Microsoft YaHei" w:hAnsi="Microsoft YaHei" w:eastAsia="Microsoft YaHei" w:cs="Microsoft YaHei"/>
          <w:sz w:val="22"/>
          <w:szCs w:val="22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>，涉及盘中拉抬打压、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</w:rPr>
        <w:t>虚假申报等异常交易情形；对“深中华A”“*ST左江”进行重点监控；共对4起上市公司重大事项进行核查</w:t>
      </w:r>
      <w:r>
        <w:rPr>
          <w:rFonts w:ascii="Microsoft YaHei" w:hAnsi="Microsoft YaHei" w:eastAsia="Microsoft YaHei" w:cs="Microsoft YaHei"/>
          <w:sz w:val="22"/>
          <w:szCs w:val="22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</w:rPr>
        <w:t>，并上 </w:t>
      </w:r>
      <w:r>
        <w:rPr>
          <w:rFonts w:ascii="Microsoft YaHei" w:hAnsi="Microsoft YaHei" w:eastAsia="Microsoft YaHei" w:cs="Microsoft YaHei"/>
          <w:sz w:val="22"/>
          <w:szCs w:val="22"/>
        </w:rPr>
        <w:t>报证监会4起涉嫌违法违规案件线索。</w:t>
      </w:r>
    </w:p>
    <w:sectPr>
      <w:pgSz w:w="11910" w:h="16840"/>
      <w:pgMar w:top="400" w:right="459" w:bottom="0" w:left="4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header" Target="header2.xml"/><Relationship Id="rId2" Type="http://schemas.openxmlformats.org/officeDocument/2006/relationships/image" Target="media/image1.jpeg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2024-02-01T17:19:51Z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2024-02-01T17:19:53</vt:filetime>
  </property>
  <property fmtid="{D5CDD505-2E9C-101B-9397-08002B2CF9AE}" pid="4" name="UsrData">
    <vt:lpwstr>65bb6234a507ba001f7012d7wl</vt:lpwstr>
  </property>
</Properties>
</file>