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9" w:lineRule="auto"/>
        <w:rPr/>
      </w:pPr>
      <w:r/>
    </w:p>
    <w:p>
      <w:pPr>
        <w:pStyle w:val="BodyText"/>
        <w:spacing w:line="259" w:lineRule="auto"/>
        <w:rPr/>
      </w:pPr>
      <w:r/>
    </w:p>
    <w:p>
      <w:pPr>
        <w:pStyle w:val="BodyText"/>
        <w:spacing w:line="259" w:lineRule="auto"/>
        <w:rPr/>
      </w:pPr>
      <w:r/>
    </w:p>
    <w:p>
      <w:pPr>
        <w:pStyle w:val="BodyText"/>
        <w:spacing w:line="259" w:lineRule="auto"/>
        <w:rPr/>
      </w:pPr>
      <w:r/>
    </w:p>
    <w:p>
      <w:pPr>
        <w:pStyle w:val="BodyText"/>
        <w:spacing w:line="259" w:lineRule="auto"/>
        <w:rPr/>
      </w:pPr>
      <w:r/>
    </w:p>
    <w:p>
      <w:pPr>
        <w:pStyle w:val="BodyText"/>
        <w:spacing w:line="260" w:lineRule="auto"/>
        <w:rPr/>
      </w:pPr>
      <w:r/>
    </w:p>
    <w:p>
      <w:pPr>
        <w:pStyle w:val="BodyText"/>
        <w:spacing w:line="260" w:lineRule="auto"/>
        <w:rPr/>
      </w:pPr>
      <w:r/>
    </w:p>
    <w:p>
      <w:pPr>
        <w:pStyle w:val="BodyText"/>
        <w:spacing w:line="260" w:lineRule="auto"/>
        <w:rPr/>
      </w:pPr>
      <w:r/>
    </w:p>
    <w:p>
      <w:pPr>
        <w:pStyle w:val="BodyText"/>
        <w:spacing w:line="260" w:lineRule="auto"/>
        <w:rPr/>
      </w:pPr>
      <w:r/>
    </w:p>
    <w:p>
      <w:pPr>
        <w:ind w:left="2571"/>
        <w:spacing w:before="264" w:line="217" w:lineRule="auto"/>
        <w:outlineLvl w:val="0"/>
        <w:rPr>
          <w:rFonts w:ascii="SimHei" w:hAnsi="SimHei" w:eastAsia="SimHei" w:cs="SimHei"/>
          <w:sz w:val="81"/>
          <w:szCs w:val="81"/>
        </w:rPr>
      </w:pPr>
      <w:r>
        <w:drawing>
          <wp:anchor distT="0" distB="0" distL="0" distR="0" simplePos="0" relativeHeight="251658240" behindDoc="1" locked="0" layoutInCell="1" allowOverlap="1">
            <wp:simplePos x="0" y="0"/>
            <wp:positionH relativeFrom="column">
              <wp:posOffset>0</wp:posOffset>
            </wp:positionH>
            <wp:positionV relativeFrom="paragraph">
              <wp:posOffset>-1747204</wp:posOffset>
            </wp:positionV>
            <wp:extent cx="7562850" cy="10693400"/>
            <wp:effectExtent l="0" t="0" r="0" b="0"/>
            <wp:wrapNone/>
            <wp:docPr id="2" name="IM 2"/>
            <wp:cNvGraphicFramePr/>
            <a:graphic>
              <a:graphicData uri="http://schemas.openxmlformats.org/drawingml/2006/picture">
                <pic:pic>
                  <pic:nvPicPr>
                    <pic:cNvPr id="2" name="IM 2"/>
                    <pic:cNvPicPr/>
                  </pic:nvPicPr>
                  <pic:blipFill>
                    <a:blip r:embed="rId2"/>
                    <a:stretch>
                      <a:fillRect/>
                    </a:stretch>
                  </pic:blipFill>
                  <pic:spPr>
                    <a:xfrm rot="0">
                      <a:off x="0" y="0"/>
                      <a:ext cx="7562850" cy="10693400"/>
                    </a:xfrm>
                    <a:prstGeom prst="rect">
                      <a:avLst/>
                    </a:prstGeom>
                  </pic:spPr>
                </pic:pic>
              </a:graphicData>
            </a:graphic>
          </wp:anchor>
        </w:drawing>
      </w:r>
      <w:r>
        <w:rPr>
          <w:rFonts w:ascii="SimHei" w:hAnsi="SimHei" w:eastAsia="SimHei" w:cs="SimHei"/>
          <w:sz w:val="81"/>
          <w:szCs w:val="81"/>
          <w:b/>
          <w:bCs/>
          <w:color w:val="FFFFFF"/>
          <w:spacing w:val="9"/>
        </w:rPr>
        <w:t>一周法规速递|监管动态</w:t>
      </w:r>
    </w:p>
    <w:p>
      <w:pPr>
        <w:ind w:left="5554"/>
        <w:spacing w:before="73" w:line="223" w:lineRule="auto"/>
        <w:rPr>
          <w:rFonts w:ascii="SimHei" w:hAnsi="SimHei" w:eastAsia="SimHei" w:cs="SimHei"/>
          <w:sz w:val="30"/>
          <w:szCs w:val="30"/>
        </w:rPr>
      </w:pPr>
      <w:r>
        <w:rPr>
          <w:rFonts w:ascii="SimHei" w:hAnsi="SimHei" w:eastAsia="SimHei" w:cs="SimHei"/>
          <w:sz w:val="30"/>
          <w:szCs w:val="30"/>
          <w:b/>
          <w:bCs/>
          <w:color w:val="FFFFFF"/>
          <w:spacing w:val="12"/>
        </w:rPr>
        <w:t>2024年1月8日-2024年1月14日</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3699"/>
        <w:spacing w:before="97" w:line="506" w:lineRule="exact"/>
        <w:rPr>
          <w:rFonts w:ascii="SimHei" w:hAnsi="SimHei" w:eastAsia="SimHei" w:cs="SimHei"/>
          <w:sz w:val="30"/>
          <w:szCs w:val="30"/>
        </w:rPr>
      </w:pPr>
      <w:r>
        <w:rPr>
          <w:rFonts w:ascii="SimHei" w:hAnsi="SimHei" w:eastAsia="SimHei" w:cs="SimHei"/>
          <w:sz w:val="30"/>
          <w:szCs w:val="30"/>
          <w:spacing w:val="18"/>
          <w:position w:val="15"/>
        </w:rPr>
        <w:t>深圳价值在线咨询顾问有限公司</w:t>
      </w:r>
    </w:p>
    <w:p>
      <w:pPr>
        <w:ind w:left="4579"/>
        <w:spacing w:line="223" w:lineRule="auto"/>
        <w:rPr>
          <w:rFonts w:ascii="SimHei" w:hAnsi="SimHei" w:eastAsia="SimHei" w:cs="SimHei"/>
          <w:sz w:val="30"/>
          <w:szCs w:val="30"/>
        </w:rPr>
      </w:pPr>
      <w:r>
        <w:rPr>
          <w:rFonts w:ascii="SimHei" w:hAnsi="SimHei" w:eastAsia="SimHei" w:cs="SimHei"/>
          <w:sz w:val="30"/>
          <w:szCs w:val="30"/>
          <w:spacing w:val="38"/>
        </w:rPr>
        <w:t>2024年1月15日</w:t>
      </w:r>
    </w:p>
    <w:p>
      <w:pPr>
        <w:spacing w:line="223" w:lineRule="auto"/>
        <w:sectPr>
          <w:headerReference w:type="default" r:id="rId1"/>
          <w:pgSz w:w="11910" w:h="16840"/>
          <w:pgMar w:top="400" w:right="0" w:bottom="0" w:left="0" w:header="0" w:footer="0" w:gutter="0"/>
        </w:sectPr>
        <w:rPr>
          <w:rFonts w:ascii="SimHei" w:hAnsi="SimHei" w:eastAsia="SimHei" w:cs="SimHei"/>
          <w:sz w:val="30"/>
          <w:szCs w:val="30"/>
        </w:rPr>
      </w:pPr>
    </w:p>
    <w:p>
      <w:pPr>
        <w:rPr>
          <w:rFonts w:ascii="SimHei" w:hAnsi="SimHei" w:eastAsia="SimHei" w:cs="SimHei"/>
          <w:sz w:val="44"/>
          <w:szCs w:val="44"/>
        </w:rPr>
      </w:pPr>
      <w:r>
        <w:pict>
          <v:rect id="_x0000_s2" style="position:absolute;margin-left:0pt;margin-top:50.4947pt;mso-position-vertical-relative:text;mso-position-horizontal-relative:text;width:589pt;height:1.05pt;z-index:251659264;" fillcolor="#FF0000" filled="true" stroked="false"/>
        </w:pict>
      </w:r>
      <w:r>
        <w:rPr>
          <w:rFonts w:ascii="SimHei" w:hAnsi="SimHei" w:eastAsia="SimHei" w:cs="SimHei"/>
          <w:sz w:val="44"/>
          <w:szCs w:val="44"/>
          <w:position w:val="-38"/>
        </w:rPr>
        <w:drawing>
          <wp:inline distT="0" distB="0" distL="0" distR="0">
            <wp:extent cx="831837" cy="692077"/>
            <wp:effectExtent l="0" t="0" r="0" b="0"/>
            <wp:docPr id="4" name="IM 4"/>
            <wp:cNvGraphicFramePr/>
            <a:graphic>
              <a:graphicData uri="http://schemas.openxmlformats.org/drawingml/2006/picture">
                <pic:pic>
                  <pic:nvPicPr>
                    <pic:cNvPr id="4" name="IM 4"/>
                    <pic:cNvPicPr/>
                  </pic:nvPicPr>
                  <pic:blipFill>
                    <a:blip r:embed="rId4"/>
                    <a:stretch>
                      <a:fillRect/>
                    </a:stretch>
                  </pic:blipFill>
                  <pic:spPr>
                    <a:xfrm rot="0">
                      <a:off x="0" y="0"/>
                      <a:ext cx="831837" cy="692077"/>
                    </a:xfrm>
                    <a:prstGeom prst="rect">
                      <a:avLst/>
                    </a:prstGeom>
                  </pic:spPr>
                </pic:pic>
              </a:graphicData>
            </a:graphic>
          </wp:inline>
        </w:drawing>
      </w:r>
      <w:r>
        <w:rPr>
          <w:rFonts w:ascii="SimHei" w:hAnsi="SimHei" w:eastAsia="SimHei" w:cs="SimHei"/>
          <w:sz w:val="44"/>
          <w:szCs w:val="44"/>
          <w:spacing w:val="167"/>
        </w:rPr>
        <w:t xml:space="preserve"> </w:t>
      </w:r>
      <w:r>
        <w:rPr>
          <w:rFonts w:ascii="SimHei" w:hAnsi="SimHei" w:eastAsia="SimHei" w:cs="SimHei"/>
          <w:sz w:val="44"/>
          <w:szCs w:val="44"/>
          <w:b/>
          <w:bCs/>
          <w:spacing w:val="-9"/>
        </w:rPr>
        <w:t>法规速递</w:t>
      </w:r>
    </w:p>
    <w:p>
      <w:pPr>
        <w:pStyle w:val="BodyText"/>
        <w:spacing w:line="258" w:lineRule="auto"/>
        <w:rPr/>
      </w:pPr>
      <w:r/>
    </w:p>
    <w:p>
      <w:pPr>
        <w:ind w:left="943"/>
        <w:spacing w:before="75" w:line="222" w:lineRule="auto"/>
        <w:outlineLvl w:val="0"/>
        <w:rPr>
          <w:rFonts w:ascii="SimHei" w:hAnsi="SimHei" w:eastAsia="SimHei" w:cs="SimHei"/>
          <w:sz w:val="23"/>
          <w:szCs w:val="23"/>
        </w:rPr>
      </w:pPr>
      <w:r>
        <w:rPr>
          <w:rFonts w:ascii="SimHei" w:hAnsi="SimHei" w:eastAsia="SimHei" w:cs="SimHei"/>
          <w:sz w:val="23"/>
          <w:szCs w:val="23"/>
          <w:b/>
          <w:bCs/>
          <w:spacing w:val="13"/>
        </w:rPr>
        <w:t>1、</w:t>
      </w:r>
      <w:r>
        <w:rPr>
          <w:rFonts w:ascii="SimHei" w:hAnsi="SimHei" w:eastAsia="SimHei" w:cs="SimHei"/>
          <w:sz w:val="23"/>
          <w:szCs w:val="23"/>
          <w:spacing w:val="-51"/>
        </w:rPr>
        <w:t xml:space="preserve"> </w:t>
      </w:r>
      <w:r>
        <w:rPr>
          <w:rFonts w:ascii="SimHei" w:hAnsi="SimHei" w:eastAsia="SimHei" w:cs="SimHei"/>
          <w:sz w:val="23"/>
          <w:szCs w:val="23"/>
          <w:b/>
          <w:bCs/>
          <w:spacing w:val="13"/>
        </w:rPr>
        <w:t>深圳证券交易所上市公司自律监管指引第12号——纪律处分实施标准(2024年修订)</w:t>
      </w:r>
    </w:p>
    <w:p>
      <w:pPr>
        <w:pStyle w:val="BodyText"/>
        <w:spacing w:line="251" w:lineRule="auto"/>
        <w:rPr/>
      </w:pPr>
      <w:r/>
    </w:p>
    <w:p>
      <w:pPr>
        <w:ind w:left="429" w:right="342" w:firstLine="470"/>
        <w:spacing w:before="75" w:line="274" w:lineRule="auto"/>
        <w:jc w:val="both"/>
        <w:rPr>
          <w:rFonts w:ascii="SimHei" w:hAnsi="SimHei" w:eastAsia="SimHei" w:cs="SimHei"/>
          <w:sz w:val="23"/>
          <w:szCs w:val="23"/>
        </w:rPr>
      </w:pPr>
      <w:r>
        <w:rPr>
          <w:rFonts w:ascii="SimHei" w:hAnsi="SimHei" w:eastAsia="SimHei" w:cs="SimHei"/>
          <w:sz w:val="23"/>
          <w:szCs w:val="23"/>
          <w:spacing w:val="-11"/>
        </w:rPr>
        <w:t>为贯彻落实中央金融工作会议精神，全面加强金融监管，切实提升一线监管质效，营造上市公司高质量发展的</w:t>
      </w:r>
      <w:r>
        <w:rPr>
          <w:rFonts w:ascii="SimHei" w:hAnsi="SimHei" w:eastAsia="SimHei" w:cs="SimHei"/>
          <w:sz w:val="23"/>
          <w:szCs w:val="23"/>
          <w:spacing w:val="15"/>
        </w:rPr>
        <w:t xml:space="preserve"> </w:t>
      </w:r>
      <w:r>
        <w:rPr>
          <w:rFonts w:ascii="SimHei" w:hAnsi="SimHei" w:eastAsia="SimHei" w:cs="SimHei"/>
          <w:sz w:val="23"/>
          <w:szCs w:val="23"/>
          <w:spacing w:val="-3"/>
        </w:rPr>
        <w:t>良好市场生态，本所修订形成《深圳证券交易所上市公司自律监管指引第12号——纪律处分实施标准(2024年修</w:t>
      </w:r>
      <w:r>
        <w:rPr>
          <w:rFonts w:ascii="SimHei" w:hAnsi="SimHei" w:eastAsia="SimHei" w:cs="SimHei"/>
          <w:sz w:val="23"/>
          <w:szCs w:val="23"/>
          <w:spacing w:val="7"/>
        </w:rPr>
        <w:t xml:space="preserve"> </w:t>
      </w:r>
      <w:r>
        <w:rPr>
          <w:rFonts w:ascii="SimHei" w:hAnsi="SimHei" w:eastAsia="SimHei" w:cs="SimHei"/>
          <w:sz w:val="23"/>
          <w:szCs w:val="23"/>
          <w:spacing w:val="-3"/>
        </w:rPr>
        <w:t>订)》,现予以发布，自发布之日起施行。</w:t>
      </w:r>
    </w:p>
    <w:p>
      <w:pPr>
        <w:pStyle w:val="BodyText"/>
        <w:spacing w:line="279" w:lineRule="auto"/>
        <w:rPr/>
      </w:pPr>
      <w:r/>
    </w:p>
    <w:p>
      <w:pPr>
        <w:ind w:left="9889"/>
        <w:spacing w:before="75" w:line="621" w:lineRule="exact"/>
        <w:rPr>
          <w:rFonts w:ascii="SimHei" w:hAnsi="SimHei" w:eastAsia="SimHei" w:cs="SimHei"/>
          <w:sz w:val="23"/>
          <w:szCs w:val="23"/>
        </w:rPr>
      </w:pPr>
      <w:r>
        <w:rPr>
          <w:rFonts w:ascii="SimHei" w:hAnsi="SimHei" w:eastAsia="SimHei" w:cs="SimHei"/>
          <w:sz w:val="23"/>
          <w:szCs w:val="23"/>
          <w:spacing w:val="-7"/>
          <w:position w:val="30"/>
        </w:rPr>
        <w:t>深圳证券交易所</w:t>
      </w:r>
    </w:p>
    <w:p>
      <w:pPr>
        <w:ind w:left="9889"/>
        <w:spacing w:line="223" w:lineRule="auto"/>
        <w:rPr>
          <w:rFonts w:ascii="SimHei" w:hAnsi="SimHei" w:eastAsia="SimHei" w:cs="SimHei"/>
          <w:sz w:val="23"/>
          <w:szCs w:val="23"/>
        </w:rPr>
      </w:pPr>
      <w:r>
        <w:rPr>
          <w:rFonts w:ascii="SimHei" w:hAnsi="SimHei" w:eastAsia="SimHei" w:cs="SimHei"/>
          <w:sz w:val="23"/>
          <w:szCs w:val="23"/>
          <w:spacing w:val="6"/>
        </w:rPr>
        <w:t>2024年1月12日</w:t>
      </w:r>
    </w:p>
    <w:p>
      <w:pPr>
        <w:ind w:firstLine="4509"/>
        <w:spacing w:before="172" w:line="2830" w:lineRule="exact"/>
        <w:rPr/>
      </w:pPr>
      <w:r>
        <w:rPr>
          <w:position w:val="-56"/>
        </w:rPr>
        <w:drawing>
          <wp:inline distT="0" distB="0" distL="0" distR="0">
            <wp:extent cx="1809790" cy="1797025"/>
            <wp:effectExtent l="0" t="0" r="0" b="0"/>
            <wp:docPr id="6" name="IM 6"/>
            <wp:cNvGraphicFramePr/>
            <a:graphic>
              <a:graphicData uri="http://schemas.openxmlformats.org/drawingml/2006/picture">
                <pic:pic>
                  <pic:nvPicPr>
                    <pic:cNvPr id="6" name="IM 6"/>
                    <pic:cNvPicPr/>
                  </pic:nvPicPr>
                  <pic:blipFill>
                    <a:blip r:embed="rId5"/>
                    <a:stretch>
                      <a:fillRect/>
                    </a:stretch>
                  </pic:blipFill>
                  <pic:spPr>
                    <a:xfrm rot="0">
                      <a:off x="0" y="0"/>
                      <a:ext cx="1809790" cy="1797025"/>
                    </a:xfrm>
                    <a:prstGeom prst="rect">
                      <a:avLst/>
                    </a:prstGeom>
                  </pic:spPr>
                </pic:pic>
              </a:graphicData>
            </a:graphic>
          </wp:inline>
        </w:drawing>
      </w:r>
    </w:p>
    <w:p>
      <w:pPr>
        <w:ind w:left="1413"/>
        <w:spacing w:before="314" w:line="222" w:lineRule="auto"/>
        <w:rPr>
          <w:rFonts w:ascii="SimHei" w:hAnsi="SimHei" w:eastAsia="SimHei" w:cs="SimHei"/>
          <w:sz w:val="23"/>
          <w:szCs w:val="23"/>
        </w:rPr>
      </w:pPr>
      <w:r>
        <w:rPr>
          <w:rFonts w:ascii="SimHei" w:hAnsi="SimHei" w:eastAsia="SimHei" w:cs="SimHei"/>
          <w:sz w:val="23"/>
          <w:szCs w:val="23"/>
          <w:b/>
          <w:bCs/>
          <w:spacing w:val="15"/>
        </w:rPr>
        <w:t>深圳证券交易所上市公司自律监管指引第12</w:t>
      </w:r>
      <w:r>
        <w:rPr>
          <w:rFonts w:ascii="SimHei" w:hAnsi="SimHei" w:eastAsia="SimHei" w:cs="SimHei"/>
          <w:sz w:val="23"/>
          <w:szCs w:val="23"/>
          <w:b/>
          <w:bCs/>
          <w:spacing w:val="14"/>
        </w:rPr>
        <w:t>号——纪律处分实施标准(2024年修订)</w:t>
      </w:r>
    </w:p>
    <w:p>
      <w:pPr>
        <w:spacing w:line="222" w:lineRule="auto"/>
        <w:sectPr>
          <w:headerReference w:type="default" r:id="rId3"/>
          <w:pgSz w:w="11910" w:h="16840"/>
          <w:pgMar w:top="330" w:right="130" w:bottom="0" w:left="0" w:header="0" w:footer="0" w:gutter="0"/>
        </w:sectPr>
        <w:rPr>
          <w:rFonts w:ascii="SimHei" w:hAnsi="SimHei" w:eastAsia="SimHei" w:cs="SimHei"/>
          <w:sz w:val="23"/>
          <w:szCs w:val="23"/>
        </w:rPr>
      </w:pPr>
    </w:p>
    <w:p>
      <w:pPr>
        <w:ind w:left="503"/>
        <w:spacing w:before="114" w:line="221" w:lineRule="auto"/>
        <w:outlineLvl w:val="0"/>
        <w:rPr>
          <w:rFonts w:ascii="SimHei" w:hAnsi="SimHei" w:eastAsia="SimHei" w:cs="SimHei"/>
          <w:sz w:val="23"/>
          <w:szCs w:val="23"/>
        </w:rPr>
      </w:pPr>
      <w:r>
        <w:rPr>
          <w:rFonts w:ascii="SimHei" w:hAnsi="SimHei" w:eastAsia="SimHei" w:cs="SimHei"/>
          <w:sz w:val="23"/>
          <w:szCs w:val="23"/>
          <w:b/>
          <w:bCs/>
          <w:spacing w:val="12"/>
        </w:rPr>
        <w:t>2、</w:t>
      </w:r>
      <w:r>
        <w:rPr>
          <w:rFonts w:ascii="SimHei" w:hAnsi="SimHei" w:eastAsia="SimHei" w:cs="SimHei"/>
          <w:sz w:val="23"/>
          <w:szCs w:val="23"/>
          <w:spacing w:val="-59"/>
        </w:rPr>
        <w:t xml:space="preserve"> </w:t>
      </w:r>
      <w:r>
        <w:rPr>
          <w:rFonts w:ascii="SimHei" w:hAnsi="SimHei" w:eastAsia="SimHei" w:cs="SimHei"/>
          <w:sz w:val="23"/>
          <w:szCs w:val="23"/>
          <w:b/>
          <w:bCs/>
          <w:spacing w:val="12"/>
        </w:rPr>
        <w:t>深圳证券交易所自律监管措施和纪律处分实施办法(2024年修订)</w:t>
      </w:r>
    </w:p>
    <w:p>
      <w:pPr>
        <w:pStyle w:val="BodyText"/>
        <w:spacing w:line="261" w:lineRule="auto"/>
        <w:rPr/>
      </w:pPr>
      <w:r/>
    </w:p>
    <w:p>
      <w:pPr>
        <w:ind w:right="11" w:firstLine="470"/>
        <w:spacing w:before="75" w:line="259" w:lineRule="auto"/>
        <w:rPr>
          <w:rFonts w:ascii="SimHei" w:hAnsi="SimHei" w:eastAsia="SimHei" w:cs="SimHei"/>
          <w:sz w:val="23"/>
          <w:szCs w:val="23"/>
        </w:rPr>
      </w:pPr>
      <w:r>
        <w:rPr>
          <w:rFonts w:ascii="SimHei" w:hAnsi="SimHei" w:eastAsia="SimHei" w:cs="SimHei"/>
          <w:sz w:val="23"/>
          <w:szCs w:val="23"/>
          <w:spacing w:val="-10"/>
        </w:rPr>
        <w:t>为贯彻落实中央金融工作会议精神，进一步提升监管有效性、时效性、规</w:t>
      </w:r>
      <w:r>
        <w:rPr>
          <w:rFonts w:ascii="SimHei" w:hAnsi="SimHei" w:eastAsia="SimHei" w:cs="SimHei"/>
          <w:sz w:val="23"/>
          <w:szCs w:val="23"/>
          <w:spacing w:val="-11"/>
        </w:rPr>
        <w:t>范性，本所修订形成《深圳证券交易</w:t>
      </w:r>
      <w:r>
        <w:rPr>
          <w:rFonts w:ascii="SimHei" w:hAnsi="SimHei" w:eastAsia="SimHei" w:cs="SimHei"/>
          <w:sz w:val="23"/>
          <w:szCs w:val="23"/>
        </w:rPr>
        <w:t xml:space="preserve"> </w:t>
      </w:r>
      <w:r>
        <w:rPr>
          <w:rFonts w:ascii="SimHei" w:hAnsi="SimHei" w:eastAsia="SimHei" w:cs="SimHei"/>
          <w:sz w:val="23"/>
          <w:szCs w:val="23"/>
          <w:spacing w:val="-1"/>
        </w:rPr>
        <w:t>所自律监管措施和纪律处分实施办法(2024年修订)》,现予以发布，自发布之日起施行。</w:t>
      </w:r>
    </w:p>
    <w:p>
      <w:pPr>
        <w:pStyle w:val="BodyText"/>
        <w:spacing w:line="269" w:lineRule="auto"/>
        <w:rPr/>
      </w:pPr>
      <w:r/>
    </w:p>
    <w:p>
      <w:pPr>
        <w:ind w:right="10"/>
        <w:spacing w:before="75" w:line="631" w:lineRule="exact"/>
        <w:jc w:val="right"/>
        <w:rPr>
          <w:rFonts w:ascii="SimHei" w:hAnsi="SimHei" w:eastAsia="SimHei" w:cs="SimHei"/>
          <w:sz w:val="23"/>
          <w:szCs w:val="23"/>
        </w:rPr>
      </w:pPr>
      <w:r>
        <w:rPr>
          <w:rFonts w:ascii="SimHei" w:hAnsi="SimHei" w:eastAsia="SimHei" w:cs="SimHei"/>
          <w:sz w:val="23"/>
          <w:szCs w:val="23"/>
          <w:spacing w:val="-11"/>
          <w:position w:val="30"/>
        </w:rPr>
        <w:t>深圳证券交易所</w:t>
      </w:r>
    </w:p>
    <w:p>
      <w:pPr>
        <w:spacing w:line="223" w:lineRule="auto"/>
        <w:jc w:val="right"/>
        <w:rPr>
          <w:rFonts w:ascii="SimHei" w:hAnsi="SimHei" w:eastAsia="SimHei" w:cs="SimHei"/>
          <w:sz w:val="23"/>
          <w:szCs w:val="23"/>
        </w:rPr>
      </w:pPr>
      <w:r>
        <w:rPr>
          <w:rFonts w:ascii="SimHei" w:hAnsi="SimHei" w:eastAsia="SimHei" w:cs="SimHei"/>
          <w:sz w:val="23"/>
          <w:szCs w:val="23"/>
          <w:spacing w:val="7"/>
        </w:rPr>
        <w:t>2024年1月12日</w:t>
      </w:r>
    </w:p>
    <w:p>
      <w:pPr>
        <w:ind w:firstLine="4340"/>
        <w:spacing w:before="202" w:line="2769" w:lineRule="exact"/>
        <w:rPr/>
      </w:pPr>
      <w:r>
        <w:rPr>
          <w:position w:val="-55"/>
        </w:rPr>
        <w:drawing>
          <wp:inline distT="0" distB="0" distL="0" distR="0">
            <wp:extent cx="1758967" cy="1758850"/>
            <wp:effectExtent l="0" t="0" r="0" b="0"/>
            <wp:docPr id="8" name="IM 8"/>
            <wp:cNvGraphicFramePr/>
            <a:graphic>
              <a:graphicData uri="http://schemas.openxmlformats.org/drawingml/2006/picture">
                <pic:pic>
                  <pic:nvPicPr>
                    <pic:cNvPr id="8" name="IM 8"/>
                    <pic:cNvPicPr/>
                  </pic:nvPicPr>
                  <pic:blipFill>
                    <a:blip r:embed="rId6"/>
                    <a:stretch>
                      <a:fillRect/>
                    </a:stretch>
                  </pic:blipFill>
                  <pic:spPr>
                    <a:xfrm rot="0">
                      <a:off x="0" y="0"/>
                      <a:ext cx="1758967" cy="1758850"/>
                    </a:xfrm>
                    <a:prstGeom prst="rect">
                      <a:avLst/>
                    </a:prstGeom>
                  </pic:spPr>
                </pic:pic>
              </a:graphicData>
            </a:graphic>
          </wp:inline>
        </w:drawing>
      </w:r>
    </w:p>
    <w:p>
      <w:pPr>
        <w:pStyle w:val="BodyText"/>
        <w:spacing w:line="257" w:lineRule="auto"/>
        <w:rPr/>
      </w:pPr>
      <w:r/>
    </w:p>
    <w:p>
      <w:pPr>
        <w:ind w:left="1863"/>
        <w:spacing w:before="75" w:line="221" w:lineRule="auto"/>
        <w:rPr>
          <w:rFonts w:ascii="SimHei" w:hAnsi="SimHei" w:eastAsia="SimHei" w:cs="SimHei"/>
          <w:sz w:val="23"/>
          <w:szCs w:val="23"/>
        </w:rPr>
      </w:pPr>
      <w:r>
        <w:rPr>
          <w:rFonts w:ascii="SimHei" w:hAnsi="SimHei" w:eastAsia="SimHei" w:cs="SimHei"/>
          <w:sz w:val="23"/>
          <w:szCs w:val="23"/>
          <w:b/>
          <w:bCs/>
          <w:spacing w:val="14"/>
        </w:rPr>
        <w:t>深圳证券交易所自律监管措施和纪律处分实施办法(2024年修</w:t>
      </w:r>
      <w:r>
        <w:rPr>
          <w:rFonts w:ascii="SimHei" w:hAnsi="SimHei" w:eastAsia="SimHei" w:cs="SimHei"/>
          <w:sz w:val="23"/>
          <w:szCs w:val="23"/>
          <w:b/>
          <w:bCs/>
          <w:spacing w:val="13"/>
        </w:rPr>
        <w:t>订)</w:t>
      </w:r>
    </w:p>
    <w:p>
      <w:pPr>
        <w:spacing w:line="221" w:lineRule="auto"/>
        <w:sectPr>
          <w:pgSz w:w="11910" w:h="16840"/>
          <w:pgMar w:top="400" w:right="453" w:bottom="0" w:left="429" w:header="0" w:footer="0" w:gutter="0"/>
        </w:sectPr>
        <w:rPr>
          <w:rFonts w:ascii="SimHei" w:hAnsi="SimHei" w:eastAsia="SimHei" w:cs="SimHei"/>
          <w:sz w:val="23"/>
          <w:szCs w:val="23"/>
        </w:rPr>
      </w:pPr>
    </w:p>
    <w:p>
      <w:pPr>
        <w:ind w:left="500"/>
        <w:spacing w:before="117" w:line="221" w:lineRule="auto"/>
        <w:rPr>
          <w:rFonts w:ascii="SimHei" w:hAnsi="SimHei" w:eastAsia="SimHei" w:cs="SimHei"/>
          <w:sz w:val="23"/>
          <w:szCs w:val="23"/>
        </w:rPr>
      </w:pPr>
      <w:r>
        <w:rPr>
          <w:rFonts w:ascii="SimHei" w:hAnsi="SimHei" w:eastAsia="SimHei" w:cs="SimHei"/>
          <w:sz w:val="23"/>
          <w:szCs w:val="23"/>
          <w:spacing w:val="10"/>
        </w:rPr>
        <w:t>3、</w:t>
      </w:r>
      <w:r>
        <w:rPr>
          <w:rFonts w:ascii="SimHei" w:hAnsi="SimHei" w:eastAsia="SimHei" w:cs="SimHei"/>
          <w:sz w:val="23"/>
          <w:szCs w:val="23"/>
          <w:spacing w:val="-57"/>
        </w:rPr>
        <w:t xml:space="preserve"> </w:t>
      </w:r>
      <w:r>
        <w:rPr>
          <w:rFonts w:ascii="SimHei" w:hAnsi="SimHei" w:eastAsia="SimHei" w:cs="SimHei"/>
          <w:sz w:val="23"/>
          <w:szCs w:val="23"/>
          <w:spacing w:val="10"/>
        </w:rPr>
        <w:t>北京证券交易所公司债券存续期业务指南第2号——临时报告参考格式</w:t>
      </w:r>
    </w:p>
    <w:p>
      <w:pPr>
        <w:pStyle w:val="BodyText"/>
        <w:spacing w:line="258" w:lineRule="auto"/>
        <w:rPr/>
      </w:pPr>
      <w:r/>
    </w:p>
    <w:p>
      <w:pPr>
        <w:ind w:right="24" w:firstLine="460"/>
        <w:spacing w:before="75" w:line="255" w:lineRule="auto"/>
        <w:rPr>
          <w:rFonts w:ascii="SimHei" w:hAnsi="SimHei" w:eastAsia="SimHei" w:cs="SimHei"/>
          <w:sz w:val="23"/>
          <w:szCs w:val="23"/>
        </w:rPr>
      </w:pPr>
      <w:r>
        <w:rPr>
          <w:rFonts w:ascii="SimHei" w:hAnsi="SimHei" w:eastAsia="SimHei" w:cs="SimHei"/>
          <w:sz w:val="23"/>
          <w:szCs w:val="23"/>
          <w:spacing w:val="-5"/>
        </w:rPr>
        <w:t>为规范公司债券(含企业债券)发行人信息</w:t>
      </w:r>
      <w:r>
        <w:rPr>
          <w:rFonts w:ascii="SimHei" w:hAnsi="SimHei" w:eastAsia="SimHei" w:cs="SimHei"/>
          <w:sz w:val="23"/>
          <w:szCs w:val="23"/>
          <w:spacing w:val="-6"/>
        </w:rPr>
        <w:t>披露行为，便利公司债券信息披露文件编制，本所制定了《公司债</w:t>
      </w:r>
      <w:r>
        <w:rPr>
          <w:rFonts w:ascii="SimHei" w:hAnsi="SimHei" w:eastAsia="SimHei" w:cs="SimHei"/>
          <w:sz w:val="23"/>
          <w:szCs w:val="23"/>
        </w:rPr>
        <w:t xml:space="preserve"> </w:t>
      </w:r>
      <w:r>
        <w:rPr>
          <w:rFonts w:ascii="SimHei" w:hAnsi="SimHei" w:eastAsia="SimHei" w:cs="SimHei"/>
          <w:sz w:val="23"/>
          <w:szCs w:val="23"/>
          <w:spacing w:val="-7"/>
        </w:rPr>
        <w:t>券存续期业务指南第2号——临时报告参考格式》,现予以发布，自发布之日起施行。</w:t>
      </w:r>
    </w:p>
    <w:p>
      <w:pPr>
        <w:pStyle w:val="BodyText"/>
        <w:spacing w:line="288" w:lineRule="auto"/>
        <w:rPr/>
      </w:pPr>
      <w:r/>
    </w:p>
    <w:p>
      <w:pPr>
        <w:ind w:left="450"/>
        <w:spacing w:before="75" w:line="222" w:lineRule="auto"/>
        <w:rPr>
          <w:rFonts w:ascii="SimHei" w:hAnsi="SimHei" w:eastAsia="SimHei" w:cs="SimHei"/>
          <w:sz w:val="23"/>
          <w:szCs w:val="23"/>
        </w:rPr>
      </w:pPr>
      <w:r>
        <w:rPr>
          <w:rFonts w:ascii="SimHei" w:hAnsi="SimHei" w:eastAsia="SimHei" w:cs="SimHei"/>
          <w:sz w:val="23"/>
          <w:szCs w:val="23"/>
          <w:spacing w:val="-16"/>
        </w:rPr>
        <w:t>特此公告。</w:t>
      </w:r>
    </w:p>
    <w:p>
      <w:pPr>
        <w:pStyle w:val="BodyText"/>
        <w:spacing w:line="268" w:lineRule="auto"/>
        <w:rPr/>
      </w:pPr>
      <w:r/>
    </w:p>
    <w:p>
      <w:pPr>
        <w:spacing w:before="75" w:line="610" w:lineRule="exact"/>
        <w:jc w:val="right"/>
        <w:rPr>
          <w:rFonts w:ascii="SimHei" w:hAnsi="SimHei" w:eastAsia="SimHei" w:cs="SimHei"/>
          <w:sz w:val="23"/>
          <w:szCs w:val="23"/>
        </w:rPr>
      </w:pPr>
      <w:r>
        <w:rPr>
          <w:rFonts w:ascii="SimHei" w:hAnsi="SimHei" w:eastAsia="SimHei" w:cs="SimHei"/>
          <w:sz w:val="23"/>
          <w:szCs w:val="23"/>
          <w:spacing w:val="-11"/>
          <w:position w:val="29"/>
        </w:rPr>
        <w:t>北京证券交易所</w:t>
      </w:r>
    </w:p>
    <w:p>
      <w:pPr>
        <w:spacing w:line="223" w:lineRule="auto"/>
        <w:jc w:val="right"/>
        <w:rPr>
          <w:rFonts w:ascii="SimHei" w:hAnsi="SimHei" w:eastAsia="SimHei" w:cs="SimHei"/>
          <w:sz w:val="23"/>
          <w:szCs w:val="23"/>
        </w:rPr>
      </w:pPr>
      <w:r>
        <w:rPr>
          <w:rFonts w:ascii="SimHei" w:hAnsi="SimHei" w:eastAsia="SimHei" w:cs="SimHei"/>
          <w:sz w:val="23"/>
          <w:szCs w:val="23"/>
          <w:spacing w:val="6"/>
        </w:rPr>
        <w:t>2024年1月12日</w:t>
      </w:r>
    </w:p>
    <w:p>
      <w:pPr>
        <w:ind w:firstLine="4309"/>
        <w:spacing w:before="182" w:line="2820" w:lineRule="exact"/>
        <w:rPr/>
      </w:pPr>
      <w:r>
        <w:rPr>
          <w:position w:val="-56"/>
        </w:rPr>
        <w:drawing>
          <wp:inline distT="0" distB="0" distL="0" distR="0">
            <wp:extent cx="1797084" cy="1790717"/>
            <wp:effectExtent l="0" t="0" r="0" b="0"/>
            <wp:docPr id="10" name="IM 10"/>
            <wp:cNvGraphicFramePr/>
            <a:graphic>
              <a:graphicData uri="http://schemas.openxmlformats.org/drawingml/2006/picture">
                <pic:pic>
                  <pic:nvPicPr>
                    <pic:cNvPr id="10" name="IM 10"/>
                    <pic:cNvPicPr/>
                  </pic:nvPicPr>
                  <pic:blipFill>
                    <a:blip r:embed="rId7"/>
                    <a:stretch>
                      <a:fillRect/>
                    </a:stretch>
                  </pic:blipFill>
                  <pic:spPr>
                    <a:xfrm rot="0">
                      <a:off x="0" y="0"/>
                      <a:ext cx="1797084" cy="1790717"/>
                    </a:xfrm>
                    <a:prstGeom prst="rect">
                      <a:avLst/>
                    </a:prstGeom>
                  </pic:spPr>
                </pic:pic>
              </a:graphicData>
            </a:graphic>
          </wp:inline>
        </w:drawing>
      </w:r>
    </w:p>
    <w:p>
      <w:pPr>
        <w:ind w:left="1710"/>
        <w:spacing w:before="297" w:line="221" w:lineRule="auto"/>
        <w:rPr>
          <w:rFonts w:ascii="SimHei" w:hAnsi="SimHei" w:eastAsia="SimHei" w:cs="SimHei"/>
          <w:sz w:val="23"/>
          <w:szCs w:val="23"/>
        </w:rPr>
      </w:pPr>
      <w:r>
        <w:rPr>
          <w:rFonts w:ascii="SimHei" w:hAnsi="SimHei" w:eastAsia="SimHei" w:cs="SimHei"/>
          <w:sz w:val="23"/>
          <w:szCs w:val="23"/>
          <w:spacing w:val="11"/>
        </w:rPr>
        <w:t>北京证券交易所公司债券存续期业务指南第2号——临时报告参考格式</w:t>
      </w:r>
    </w:p>
    <w:p>
      <w:pPr>
        <w:spacing w:line="221" w:lineRule="auto"/>
        <w:sectPr>
          <w:pgSz w:w="11910" w:h="16840"/>
          <w:pgMar w:top="400" w:right="453" w:bottom="0" w:left="429" w:header="0" w:footer="0" w:gutter="0"/>
        </w:sectPr>
        <w:rPr>
          <w:rFonts w:ascii="SimHei" w:hAnsi="SimHei" w:eastAsia="SimHei" w:cs="SimHei"/>
          <w:sz w:val="23"/>
          <w:szCs w:val="23"/>
        </w:rPr>
      </w:pPr>
    </w:p>
    <w:p>
      <w:pPr>
        <w:ind w:left="433"/>
        <w:spacing w:before="114" w:line="221" w:lineRule="auto"/>
        <w:outlineLvl w:val="0"/>
        <w:rPr>
          <w:rFonts w:ascii="SimHei" w:hAnsi="SimHei" w:eastAsia="SimHei" w:cs="SimHei"/>
          <w:sz w:val="23"/>
          <w:szCs w:val="23"/>
        </w:rPr>
      </w:pPr>
      <w:r>
        <w:rPr>
          <w:rFonts w:ascii="SimHei" w:hAnsi="SimHei" w:eastAsia="SimHei" w:cs="SimHei"/>
          <w:sz w:val="23"/>
          <w:szCs w:val="23"/>
          <w:b/>
          <w:bCs/>
          <w:spacing w:val="8"/>
        </w:rPr>
        <w:t>4、</w:t>
      </w:r>
      <w:r>
        <w:rPr>
          <w:rFonts w:ascii="SimHei" w:hAnsi="SimHei" w:eastAsia="SimHei" w:cs="SimHei"/>
          <w:sz w:val="23"/>
          <w:szCs w:val="23"/>
          <w:spacing w:val="-61"/>
        </w:rPr>
        <w:t xml:space="preserve"> </w:t>
      </w:r>
      <w:r>
        <w:rPr>
          <w:rFonts w:ascii="SimHei" w:hAnsi="SimHei" w:eastAsia="SimHei" w:cs="SimHei"/>
          <w:sz w:val="23"/>
          <w:szCs w:val="23"/>
          <w:b/>
          <w:bCs/>
          <w:spacing w:val="8"/>
        </w:rPr>
        <w:t>北京证券交易所公司债券存续期业务指南第1号——定</w:t>
      </w:r>
      <w:r>
        <w:rPr>
          <w:rFonts w:ascii="SimHei" w:hAnsi="SimHei" w:eastAsia="SimHei" w:cs="SimHei"/>
          <w:sz w:val="23"/>
          <w:szCs w:val="23"/>
          <w:b/>
          <w:bCs/>
          <w:spacing w:val="7"/>
        </w:rPr>
        <w:t>期报告参考格式</w:t>
      </w:r>
    </w:p>
    <w:p>
      <w:pPr>
        <w:pStyle w:val="BodyText"/>
        <w:spacing w:line="261" w:lineRule="auto"/>
        <w:rPr/>
      </w:pPr>
      <w:r/>
    </w:p>
    <w:p>
      <w:pPr>
        <w:ind w:right="44" w:firstLine="430"/>
        <w:spacing w:before="75" w:line="255" w:lineRule="auto"/>
        <w:rPr>
          <w:rFonts w:ascii="SimHei" w:hAnsi="SimHei" w:eastAsia="SimHei" w:cs="SimHei"/>
          <w:sz w:val="23"/>
          <w:szCs w:val="23"/>
        </w:rPr>
      </w:pPr>
      <w:r>
        <w:rPr>
          <w:rFonts w:ascii="SimHei" w:hAnsi="SimHei" w:eastAsia="SimHei" w:cs="SimHei"/>
          <w:sz w:val="23"/>
          <w:szCs w:val="23"/>
          <w:spacing w:val="-6"/>
        </w:rPr>
        <w:t>为规范公司债券(含企业债券)发行人信息披露行为，便利公司债券信息披露文件编制，本所制定了《公司债</w:t>
      </w:r>
      <w:r>
        <w:rPr>
          <w:rFonts w:ascii="SimHei" w:hAnsi="SimHei" w:eastAsia="SimHei" w:cs="SimHei"/>
          <w:sz w:val="23"/>
          <w:szCs w:val="23"/>
          <w:spacing w:val="9"/>
        </w:rPr>
        <w:t xml:space="preserve"> </w:t>
      </w:r>
      <w:r>
        <w:rPr>
          <w:rFonts w:ascii="SimHei" w:hAnsi="SimHei" w:eastAsia="SimHei" w:cs="SimHei"/>
          <w:sz w:val="23"/>
          <w:szCs w:val="23"/>
          <w:spacing w:val="-7"/>
        </w:rPr>
        <w:t>券存续期业务指南第1号——定期报告参考格式》,现予以发布，自发布之日起施行。</w:t>
      </w:r>
    </w:p>
    <w:p>
      <w:pPr>
        <w:pStyle w:val="BodyText"/>
        <w:spacing w:line="278" w:lineRule="auto"/>
        <w:rPr/>
      </w:pPr>
      <w:r/>
    </w:p>
    <w:p>
      <w:pPr>
        <w:ind w:left="430"/>
        <w:spacing w:before="75" w:line="222" w:lineRule="auto"/>
        <w:rPr>
          <w:rFonts w:ascii="SimHei" w:hAnsi="SimHei" w:eastAsia="SimHei" w:cs="SimHei"/>
          <w:sz w:val="23"/>
          <w:szCs w:val="23"/>
        </w:rPr>
      </w:pPr>
      <w:r>
        <w:rPr>
          <w:rFonts w:ascii="SimHei" w:hAnsi="SimHei" w:eastAsia="SimHei" w:cs="SimHei"/>
          <w:sz w:val="23"/>
          <w:szCs w:val="23"/>
          <w:spacing w:val="-16"/>
        </w:rPr>
        <w:t>特此公告。</w:t>
      </w:r>
    </w:p>
    <w:p>
      <w:pPr>
        <w:pStyle w:val="BodyText"/>
        <w:spacing w:line="268" w:lineRule="auto"/>
        <w:rPr/>
      </w:pPr>
      <w:r/>
    </w:p>
    <w:p>
      <w:pPr>
        <w:spacing w:before="75" w:line="621" w:lineRule="exact"/>
        <w:jc w:val="right"/>
        <w:rPr>
          <w:rFonts w:ascii="SimHei" w:hAnsi="SimHei" w:eastAsia="SimHei" w:cs="SimHei"/>
          <w:sz w:val="23"/>
          <w:szCs w:val="23"/>
        </w:rPr>
      </w:pPr>
      <w:r>
        <w:rPr>
          <w:rFonts w:ascii="SimHei" w:hAnsi="SimHei" w:eastAsia="SimHei" w:cs="SimHei"/>
          <w:sz w:val="23"/>
          <w:szCs w:val="23"/>
          <w:spacing w:val="-11"/>
          <w:position w:val="30"/>
        </w:rPr>
        <w:t>北京证券交易所</w:t>
      </w:r>
    </w:p>
    <w:p>
      <w:pPr>
        <w:spacing w:line="223" w:lineRule="auto"/>
        <w:jc w:val="right"/>
        <w:rPr>
          <w:rFonts w:ascii="SimHei" w:hAnsi="SimHei" w:eastAsia="SimHei" w:cs="SimHei"/>
          <w:sz w:val="23"/>
          <w:szCs w:val="23"/>
        </w:rPr>
      </w:pPr>
      <w:r>
        <w:rPr>
          <w:rFonts w:ascii="SimHei" w:hAnsi="SimHei" w:eastAsia="SimHei" w:cs="SimHei"/>
          <w:sz w:val="23"/>
          <w:szCs w:val="23"/>
          <w:spacing w:val="6"/>
        </w:rPr>
        <w:t>2024年1月12日</w:t>
      </w:r>
    </w:p>
    <w:p>
      <w:pPr>
        <w:ind w:firstLine="4309"/>
        <w:spacing w:before="182" w:line="2820" w:lineRule="exact"/>
        <w:rPr/>
      </w:pPr>
      <w:r>
        <w:rPr>
          <w:position w:val="-56"/>
        </w:rPr>
        <w:drawing>
          <wp:inline distT="0" distB="0" distL="0" distR="0">
            <wp:extent cx="1790731" cy="1790717"/>
            <wp:effectExtent l="0" t="0" r="0" b="0"/>
            <wp:docPr id="12" name="IM 12"/>
            <wp:cNvGraphicFramePr/>
            <a:graphic>
              <a:graphicData uri="http://schemas.openxmlformats.org/drawingml/2006/picture">
                <pic:pic>
                  <pic:nvPicPr>
                    <pic:cNvPr id="12" name="IM 12"/>
                    <pic:cNvPicPr/>
                  </pic:nvPicPr>
                  <pic:blipFill>
                    <a:blip r:embed="rId8"/>
                    <a:stretch>
                      <a:fillRect/>
                    </a:stretch>
                  </pic:blipFill>
                  <pic:spPr>
                    <a:xfrm rot="0">
                      <a:off x="0" y="0"/>
                      <a:ext cx="1790731" cy="1790717"/>
                    </a:xfrm>
                    <a:prstGeom prst="rect">
                      <a:avLst/>
                    </a:prstGeom>
                  </pic:spPr>
                </pic:pic>
              </a:graphicData>
            </a:graphic>
          </wp:inline>
        </w:drawing>
      </w:r>
    </w:p>
    <w:p>
      <w:pPr>
        <w:ind w:left="1713"/>
        <w:spacing w:before="294" w:line="221" w:lineRule="auto"/>
        <w:rPr>
          <w:rFonts w:ascii="SimHei" w:hAnsi="SimHei" w:eastAsia="SimHei" w:cs="SimHei"/>
          <w:sz w:val="23"/>
          <w:szCs w:val="23"/>
        </w:rPr>
      </w:pPr>
      <w:r>
        <w:rPr>
          <w:rFonts w:ascii="SimHei" w:hAnsi="SimHei" w:eastAsia="SimHei" w:cs="SimHei"/>
          <w:sz w:val="23"/>
          <w:szCs w:val="23"/>
          <w:b/>
          <w:bCs/>
          <w:spacing w:val="8"/>
        </w:rPr>
        <w:t>北京证券交易所公司债券存续期业务指南第1号——定期报告参考格式</w:t>
      </w:r>
    </w:p>
    <w:p>
      <w:pPr>
        <w:spacing w:line="221" w:lineRule="auto"/>
        <w:sectPr>
          <w:pgSz w:w="11910" w:h="16840"/>
          <w:pgMar w:top="400" w:right="463" w:bottom="0" w:left="439" w:header="0" w:footer="0" w:gutter="0"/>
        </w:sectPr>
        <w:rPr>
          <w:rFonts w:ascii="SimHei" w:hAnsi="SimHei" w:eastAsia="SimHei" w:cs="SimHei"/>
          <w:sz w:val="23"/>
          <w:szCs w:val="23"/>
        </w:rPr>
      </w:pPr>
    </w:p>
    <w:p>
      <w:pPr>
        <w:ind w:left="503"/>
        <w:spacing w:before="114" w:line="221" w:lineRule="auto"/>
        <w:outlineLvl w:val="0"/>
        <w:rPr>
          <w:rFonts w:ascii="SimHei" w:hAnsi="SimHei" w:eastAsia="SimHei" w:cs="SimHei"/>
          <w:sz w:val="23"/>
          <w:szCs w:val="23"/>
        </w:rPr>
      </w:pPr>
      <w:r>
        <w:rPr>
          <w:rFonts w:ascii="SimHei" w:hAnsi="SimHei" w:eastAsia="SimHei" w:cs="SimHei"/>
          <w:sz w:val="23"/>
          <w:szCs w:val="23"/>
          <w:b/>
          <w:bCs/>
          <w:spacing w:val="11"/>
        </w:rPr>
        <w:t>5、关于进一步规范债券发行业务有关事项的通知(沪市)</w:t>
      </w:r>
    </w:p>
    <w:p>
      <w:pPr>
        <w:pStyle w:val="BodyText"/>
        <w:spacing w:line="251" w:lineRule="auto"/>
        <w:rPr/>
      </w:pPr>
      <w:r/>
    </w:p>
    <w:p>
      <w:pPr>
        <w:ind w:right="43" w:firstLine="460"/>
        <w:spacing w:before="75" w:line="276" w:lineRule="auto"/>
        <w:jc w:val="both"/>
        <w:rPr>
          <w:rFonts w:ascii="SimHei" w:hAnsi="SimHei" w:eastAsia="SimHei" w:cs="SimHei"/>
          <w:sz w:val="23"/>
          <w:szCs w:val="23"/>
        </w:rPr>
      </w:pPr>
      <w:r>
        <w:rPr>
          <w:rFonts w:ascii="SimHei" w:hAnsi="SimHei" w:eastAsia="SimHei" w:cs="SimHei"/>
          <w:sz w:val="23"/>
          <w:szCs w:val="23"/>
          <w:spacing w:val="-11"/>
        </w:rPr>
        <w:t>为进一步规范债券发行业务，维护债券市场正常秩序，保护投资者合法权益，促进债券市场稳定健康发展，根</w:t>
      </w:r>
      <w:r>
        <w:rPr>
          <w:rFonts w:ascii="SimHei" w:hAnsi="SimHei" w:eastAsia="SimHei" w:cs="SimHei"/>
          <w:sz w:val="23"/>
          <w:szCs w:val="23"/>
          <w:spacing w:val="17"/>
        </w:rPr>
        <w:t xml:space="preserve"> </w:t>
      </w:r>
      <w:r>
        <w:rPr>
          <w:rFonts w:ascii="SimHei" w:hAnsi="SimHei" w:eastAsia="SimHei" w:cs="SimHei"/>
          <w:sz w:val="23"/>
          <w:szCs w:val="23"/>
          <w:spacing w:val="-10"/>
        </w:rPr>
        <w:t>据《中华人民共和国证券法》《企业债券管理条例》《公司债券发行与交易管理办法》《关</w:t>
      </w:r>
      <w:r>
        <w:rPr>
          <w:rFonts w:ascii="SimHei" w:hAnsi="SimHei" w:eastAsia="SimHei" w:cs="SimHei"/>
          <w:sz w:val="23"/>
          <w:szCs w:val="23"/>
          <w:spacing w:val="-11"/>
        </w:rPr>
        <w:t>于深化债券注册制改革</w:t>
      </w:r>
      <w:r>
        <w:rPr>
          <w:rFonts w:ascii="SimHei" w:hAnsi="SimHei" w:eastAsia="SimHei" w:cs="SimHei"/>
          <w:sz w:val="23"/>
          <w:szCs w:val="23"/>
        </w:rPr>
        <w:t xml:space="preserve"> </w:t>
      </w:r>
      <w:r>
        <w:rPr>
          <w:rFonts w:ascii="SimHei" w:hAnsi="SimHei" w:eastAsia="SimHei" w:cs="SimHei"/>
          <w:sz w:val="23"/>
          <w:szCs w:val="23"/>
          <w:spacing w:val="-14"/>
        </w:rPr>
        <w:t>的指导意见》</w:t>
      </w:r>
      <w:r>
        <w:rPr>
          <w:rFonts w:ascii="SimHei" w:hAnsi="SimHei" w:eastAsia="SimHei" w:cs="SimHei"/>
          <w:sz w:val="23"/>
          <w:szCs w:val="23"/>
          <w:spacing w:val="65"/>
        </w:rPr>
        <w:t xml:space="preserve"> </w:t>
      </w:r>
      <w:r>
        <w:rPr>
          <w:rFonts w:ascii="SimHei" w:hAnsi="SimHei" w:eastAsia="SimHei" w:cs="SimHei"/>
          <w:sz w:val="23"/>
          <w:szCs w:val="23"/>
          <w:spacing w:val="-14"/>
        </w:rPr>
        <w:t>《关于注册制下提高中介机构债券业务执业质量的指</w:t>
      </w:r>
      <w:r>
        <w:rPr>
          <w:rFonts w:ascii="SimHei" w:hAnsi="SimHei" w:eastAsia="SimHei" w:cs="SimHei"/>
          <w:sz w:val="23"/>
          <w:szCs w:val="23"/>
          <w:spacing w:val="-15"/>
        </w:rPr>
        <w:t>导意见》等法律法规、部门规章、规范性文件及</w:t>
      </w:r>
      <w:r>
        <w:rPr>
          <w:rFonts w:ascii="SimHei" w:hAnsi="SimHei" w:eastAsia="SimHei" w:cs="SimHei"/>
          <w:sz w:val="23"/>
          <w:szCs w:val="23"/>
        </w:rPr>
        <w:t xml:space="preserve"> </w:t>
      </w:r>
      <w:r>
        <w:rPr>
          <w:rFonts w:ascii="SimHei" w:hAnsi="SimHei" w:eastAsia="SimHei" w:cs="SimHei"/>
          <w:sz w:val="23"/>
          <w:szCs w:val="23"/>
          <w:spacing w:val="-12"/>
        </w:rPr>
        <w:t>上海证券交易所相关业务规则的规定，现就债券发</w:t>
      </w:r>
      <w:r>
        <w:rPr>
          <w:rFonts w:ascii="SimHei" w:hAnsi="SimHei" w:eastAsia="SimHei" w:cs="SimHei"/>
          <w:sz w:val="23"/>
          <w:szCs w:val="23"/>
          <w:spacing w:val="-13"/>
        </w:rPr>
        <w:t>行业务有关事项通知。</w:t>
      </w:r>
    </w:p>
    <w:p>
      <w:pPr>
        <w:pStyle w:val="BodyText"/>
        <w:spacing w:line="318" w:lineRule="auto"/>
        <w:rPr/>
      </w:pPr>
      <w:r/>
    </w:p>
    <w:p>
      <w:pPr>
        <w:spacing w:before="75" w:line="602" w:lineRule="exact"/>
        <w:jc w:val="right"/>
        <w:rPr>
          <w:rFonts w:ascii="SimHei" w:hAnsi="SimHei" w:eastAsia="SimHei" w:cs="SimHei"/>
          <w:sz w:val="23"/>
          <w:szCs w:val="23"/>
        </w:rPr>
      </w:pPr>
      <w:r>
        <w:rPr>
          <w:rFonts w:ascii="SimHei" w:hAnsi="SimHei" w:eastAsia="SimHei" w:cs="SimHei"/>
          <w:sz w:val="23"/>
          <w:szCs w:val="23"/>
          <w:spacing w:val="-10"/>
          <w:position w:val="28"/>
        </w:rPr>
        <w:t>上海证券交易所</w:t>
      </w:r>
    </w:p>
    <w:p>
      <w:pPr>
        <w:ind w:right="17"/>
        <w:spacing w:line="223" w:lineRule="auto"/>
        <w:jc w:val="right"/>
        <w:rPr>
          <w:rFonts w:ascii="SimHei" w:hAnsi="SimHei" w:eastAsia="SimHei" w:cs="SimHei"/>
          <w:sz w:val="23"/>
          <w:szCs w:val="23"/>
        </w:rPr>
      </w:pPr>
      <w:r>
        <w:rPr>
          <w:rFonts w:ascii="SimHei" w:hAnsi="SimHei" w:eastAsia="SimHei" w:cs="SimHei"/>
          <w:sz w:val="23"/>
          <w:szCs w:val="23"/>
          <w:spacing w:val="5"/>
        </w:rPr>
        <w:t>2024年1月12日</w:t>
      </w:r>
    </w:p>
    <w:p>
      <w:pPr>
        <w:ind w:firstLine="4309"/>
        <w:spacing w:before="182" w:line="2810" w:lineRule="exact"/>
        <w:rPr/>
      </w:pPr>
      <w:r>
        <w:rPr>
          <w:position w:val="-56"/>
        </w:rPr>
        <w:drawing>
          <wp:inline distT="0" distB="0" distL="0" distR="0">
            <wp:extent cx="1797084" cy="1784408"/>
            <wp:effectExtent l="0" t="0" r="0" b="0"/>
            <wp:docPr id="14" name="IM 14"/>
            <wp:cNvGraphicFramePr/>
            <a:graphic>
              <a:graphicData uri="http://schemas.openxmlformats.org/drawingml/2006/picture">
                <pic:pic>
                  <pic:nvPicPr>
                    <pic:cNvPr id="14" name="IM 14"/>
                    <pic:cNvPicPr/>
                  </pic:nvPicPr>
                  <pic:blipFill>
                    <a:blip r:embed="rId9"/>
                    <a:stretch>
                      <a:fillRect/>
                    </a:stretch>
                  </pic:blipFill>
                  <pic:spPr>
                    <a:xfrm rot="0">
                      <a:off x="0" y="0"/>
                      <a:ext cx="1797084" cy="1784408"/>
                    </a:xfrm>
                    <a:prstGeom prst="rect">
                      <a:avLst/>
                    </a:prstGeom>
                  </pic:spPr>
                </pic:pic>
              </a:graphicData>
            </a:graphic>
          </wp:inline>
        </w:drawing>
      </w:r>
    </w:p>
    <w:p>
      <w:pPr>
        <w:pStyle w:val="BodyText"/>
        <w:spacing w:line="257" w:lineRule="auto"/>
        <w:rPr/>
      </w:pPr>
      <w:r/>
    </w:p>
    <w:p>
      <w:pPr>
        <w:ind w:left="2523"/>
        <w:spacing w:before="75" w:line="221" w:lineRule="auto"/>
        <w:rPr>
          <w:rFonts w:ascii="SimHei" w:hAnsi="SimHei" w:eastAsia="SimHei" w:cs="SimHei"/>
          <w:sz w:val="23"/>
          <w:szCs w:val="23"/>
        </w:rPr>
      </w:pPr>
      <w:r>
        <w:rPr>
          <w:rFonts w:ascii="SimHei" w:hAnsi="SimHei" w:eastAsia="SimHei" w:cs="SimHei"/>
          <w:sz w:val="23"/>
          <w:szCs w:val="23"/>
          <w:b/>
          <w:bCs/>
          <w:spacing w:val="11"/>
        </w:rPr>
        <w:t>关于进一步规范债券发行业务有关事项的通知(沪市)</w:t>
      </w:r>
    </w:p>
    <w:p>
      <w:pPr>
        <w:spacing w:line="221" w:lineRule="auto"/>
        <w:sectPr>
          <w:pgSz w:w="11910" w:h="16840"/>
          <w:pgMar w:top="400" w:right="445" w:bottom="0" w:left="429" w:header="0" w:footer="0" w:gutter="0"/>
        </w:sectPr>
        <w:rPr>
          <w:rFonts w:ascii="SimHei" w:hAnsi="SimHei" w:eastAsia="SimHei" w:cs="SimHei"/>
          <w:sz w:val="23"/>
          <w:szCs w:val="23"/>
        </w:rPr>
      </w:pPr>
    </w:p>
    <w:p>
      <w:pPr>
        <w:ind w:left="503"/>
        <w:spacing w:before="114" w:line="221" w:lineRule="auto"/>
        <w:outlineLvl w:val="0"/>
        <w:rPr>
          <w:rFonts w:ascii="SimHei" w:hAnsi="SimHei" w:eastAsia="SimHei" w:cs="SimHei"/>
          <w:sz w:val="23"/>
          <w:szCs w:val="23"/>
        </w:rPr>
      </w:pPr>
      <w:r>
        <w:rPr>
          <w:rFonts w:ascii="SimHei" w:hAnsi="SimHei" w:eastAsia="SimHei" w:cs="SimHei"/>
          <w:sz w:val="23"/>
          <w:szCs w:val="23"/>
          <w:b/>
          <w:bCs/>
          <w:spacing w:val="10"/>
        </w:rPr>
        <w:t>6、</w:t>
      </w:r>
      <w:r>
        <w:rPr>
          <w:rFonts w:ascii="SimHei" w:hAnsi="SimHei" w:eastAsia="SimHei" w:cs="SimHei"/>
          <w:sz w:val="23"/>
          <w:szCs w:val="23"/>
          <w:spacing w:val="-69"/>
        </w:rPr>
        <w:t xml:space="preserve"> </w:t>
      </w:r>
      <w:r>
        <w:rPr>
          <w:rFonts w:ascii="SimHei" w:hAnsi="SimHei" w:eastAsia="SimHei" w:cs="SimHei"/>
          <w:sz w:val="23"/>
          <w:szCs w:val="23"/>
          <w:b/>
          <w:bCs/>
          <w:spacing w:val="10"/>
        </w:rPr>
        <w:t>关于进一步规范债券发行业务有关事项</w:t>
      </w:r>
      <w:r>
        <w:rPr>
          <w:rFonts w:ascii="SimHei" w:hAnsi="SimHei" w:eastAsia="SimHei" w:cs="SimHei"/>
          <w:sz w:val="23"/>
          <w:szCs w:val="23"/>
          <w:b/>
          <w:bCs/>
          <w:spacing w:val="9"/>
        </w:rPr>
        <w:t>的通知(深市)</w:t>
      </w:r>
    </w:p>
    <w:p>
      <w:pPr>
        <w:pStyle w:val="BodyText"/>
        <w:spacing w:line="251" w:lineRule="auto"/>
        <w:rPr/>
      </w:pPr>
      <w:r/>
    </w:p>
    <w:p>
      <w:pPr>
        <w:ind w:right="34" w:firstLine="460"/>
        <w:spacing w:before="75" w:line="276" w:lineRule="auto"/>
        <w:rPr>
          <w:rFonts w:ascii="SimHei" w:hAnsi="SimHei" w:eastAsia="SimHei" w:cs="SimHei"/>
          <w:sz w:val="23"/>
          <w:szCs w:val="23"/>
        </w:rPr>
      </w:pPr>
      <w:r>
        <w:rPr>
          <w:rFonts w:ascii="SimHei" w:hAnsi="SimHei" w:eastAsia="SimHei" w:cs="SimHei"/>
          <w:sz w:val="23"/>
          <w:szCs w:val="23"/>
          <w:spacing w:val="-12"/>
        </w:rPr>
        <w:t>为了进一步规范债券发行业务，维护债券市场正常秩序，保护投资者合法权益，促进债券市场稳定健康发展，</w:t>
      </w:r>
      <w:r>
        <w:rPr>
          <w:rFonts w:ascii="SimHei" w:hAnsi="SimHei" w:eastAsia="SimHei" w:cs="SimHei"/>
          <w:sz w:val="23"/>
          <w:szCs w:val="23"/>
          <w:spacing w:val="9"/>
        </w:rPr>
        <w:t xml:space="preserve"> </w:t>
      </w:r>
      <w:r>
        <w:rPr>
          <w:rFonts w:ascii="SimHei" w:hAnsi="SimHei" w:eastAsia="SimHei" w:cs="SimHei"/>
          <w:sz w:val="23"/>
          <w:szCs w:val="23"/>
          <w:spacing w:val="-14"/>
        </w:rPr>
        <w:t>根据《中华人民共和国证券法》</w:t>
      </w:r>
      <w:r>
        <w:rPr>
          <w:rFonts w:ascii="SimHei" w:hAnsi="SimHei" w:eastAsia="SimHei" w:cs="SimHei"/>
          <w:sz w:val="23"/>
          <w:szCs w:val="23"/>
          <w:spacing w:val="66"/>
        </w:rPr>
        <w:t xml:space="preserve"> </w:t>
      </w:r>
      <w:r>
        <w:rPr>
          <w:rFonts w:ascii="SimHei" w:hAnsi="SimHei" w:eastAsia="SimHei" w:cs="SimHei"/>
          <w:sz w:val="23"/>
          <w:szCs w:val="23"/>
          <w:spacing w:val="-14"/>
        </w:rPr>
        <w:t>《企业债券管理条例》《公司债券发行与交易管理办法》《关于深化债券注册</w:t>
      </w:r>
      <w:r>
        <w:rPr>
          <w:rFonts w:ascii="SimHei" w:hAnsi="SimHei" w:eastAsia="SimHei" w:cs="SimHei"/>
          <w:sz w:val="23"/>
          <w:szCs w:val="23"/>
          <w:spacing w:val="-15"/>
        </w:rPr>
        <w:t>制改</w:t>
      </w:r>
      <w:r>
        <w:rPr>
          <w:rFonts w:ascii="SimHei" w:hAnsi="SimHei" w:eastAsia="SimHei" w:cs="SimHei"/>
          <w:sz w:val="23"/>
          <w:szCs w:val="23"/>
        </w:rPr>
        <w:t xml:space="preserve"> </w:t>
      </w:r>
      <w:r>
        <w:rPr>
          <w:rFonts w:ascii="SimHei" w:hAnsi="SimHei" w:eastAsia="SimHei" w:cs="SimHei"/>
          <w:sz w:val="23"/>
          <w:szCs w:val="23"/>
          <w:spacing w:val="-10"/>
        </w:rPr>
        <w:t>革的指导意见》《关于注册制下提高中介机构债券业务执业质量的指导意见》等法律法规</w:t>
      </w:r>
      <w:r>
        <w:rPr>
          <w:rFonts w:ascii="SimHei" w:hAnsi="SimHei" w:eastAsia="SimHei" w:cs="SimHei"/>
          <w:sz w:val="23"/>
          <w:szCs w:val="23"/>
          <w:spacing w:val="-11"/>
        </w:rPr>
        <w:t>、部门规章、规范性文件</w:t>
      </w:r>
      <w:r>
        <w:rPr>
          <w:rFonts w:ascii="SimHei" w:hAnsi="SimHei" w:eastAsia="SimHei" w:cs="SimHei"/>
          <w:sz w:val="23"/>
          <w:szCs w:val="23"/>
        </w:rPr>
        <w:t xml:space="preserve"> </w:t>
      </w:r>
      <w:r>
        <w:rPr>
          <w:rFonts w:ascii="SimHei" w:hAnsi="SimHei" w:eastAsia="SimHei" w:cs="SimHei"/>
          <w:sz w:val="23"/>
          <w:szCs w:val="23"/>
          <w:spacing w:val="-12"/>
        </w:rPr>
        <w:t>及深圳证券交易所相关业务规则的规定，现就债券发行业务有关事项通知。</w:t>
      </w:r>
    </w:p>
    <w:p>
      <w:pPr>
        <w:pStyle w:val="BodyText"/>
        <w:spacing w:line="319" w:lineRule="auto"/>
        <w:rPr/>
      </w:pPr>
      <w:r/>
    </w:p>
    <w:p>
      <w:pPr>
        <w:spacing w:before="75" w:line="601" w:lineRule="exact"/>
        <w:jc w:val="right"/>
        <w:rPr>
          <w:rFonts w:ascii="SimHei" w:hAnsi="SimHei" w:eastAsia="SimHei" w:cs="SimHei"/>
          <w:sz w:val="23"/>
          <w:szCs w:val="23"/>
        </w:rPr>
      </w:pPr>
      <w:r>
        <w:rPr>
          <w:rFonts w:ascii="SimHei" w:hAnsi="SimHei" w:eastAsia="SimHei" w:cs="SimHei"/>
          <w:sz w:val="23"/>
          <w:szCs w:val="23"/>
          <w:spacing w:val="-8"/>
          <w:position w:val="28"/>
        </w:rPr>
        <w:t>深圳证券交易所</w:t>
      </w:r>
    </w:p>
    <w:p>
      <w:pPr>
        <w:ind w:right="7"/>
        <w:spacing w:line="223" w:lineRule="auto"/>
        <w:jc w:val="right"/>
        <w:rPr>
          <w:rFonts w:ascii="SimHei" w:hAnsi="SimHei" w:eastAsia="SimHei" w:cs="SimHei"/>
          <w:sz w:val="23"/>
          <w:szCs w:val="23"/>
        </w:rPr>
      </w:pPr>
      <w:r>
        <w:rPr>
          <w:rFonts w:ascii="SimHei" w:hAnsi="SimHei" w:eastAsia="SimHei" w:cs="SimHei"/>
          <w:sz w:val="23"/>
          <w:szCs w:val="23"/>
          <w:spacing w:val="5"/>
        </w:rPr>
        <w:t>2024年1月12日</w:t>
      </w:r>
    </w:p>
    <w:p>
      <w:pPr>
        <w:ind w:firstLine="4309"/>
        <w:spacing w:before="182" w:line="2810" w:lineRule="exact"/>
        <w:rPr/>
      </w:pPr>
      <w:r>
        <w:rPr>
          <w:position w:val="-56"/>
        </w:rPr>
        <w:drawing>
          <wp:inline distT="0" distB="0" distL="0" distR="0">
            <wp:extent cx="1797084" cy="1784408"/>
            <wp:effectExtent l="0" t="0" r="0" b="0"/>
            <wp:docPr id="16" name="IM 16"/>
            <wp:cNvGraphicFramePr/>
            <a:graphic>
              <a:graphicData uri="http://schemas.openxmlformats.org/drawingml/2006/picture">
                <pic:pic>
                  <pic:nvPicPr>
                    <pic:cNvPr id="16" name="IM 16"/>
                    <pic:cNvPicPr/>
                  </pic:nvPicPr>
                  <pic:blipFill>
                    <a:blip r:embed="rId10"/>
                    <a:stretch>
                      <a:fillRect/>
                    </a:stretch>
                  </pic:blipFill>
                  <pic:spPr>
                    <a:xfrm rot="0">
                      <a:off x="0" y="0"/>
                      <a:ext cx="1797084" cy="1784408"/>
                    </a:xfrm>
                    <a:prstGeom prst="rect">
                      <a:avLst/>
                    </a:prstGeom>
                  </pic:spPr>
                </pic:pic>
              </a:graphicData>
            </a:graphic>
          </wp:inline>
        </w:drawing>
      </w:r>
    </w:p>
    <w:p>
      <w:pPr>
        <w:pStyle w:val="BodyText"/>
        <w:spacing w:line="257" w:lineRule="auto"/>
        <w:rPr/>
      </w:pPr>
      <w:r/>
    </w:p>
    <w:p>
      <w:pPr>
        <w:ind w:left="2523"/>
        <w:spacing w:before="75" w:line="221" w:lineRule="auto"/>
        <w:rPr>
          <w:rFonts w:ascii="SimHei" w:hAnsi="SimHei" w:eastAsia="SimHei" w:cs="SimHei"/>
          <w:sz w:val="23"/>
          <w:szCs w:val="23"/>
        </w:rPr>
      </w:pPr>
      <w:r>
        <w:rPr>
          <w:rFonts w:ascii="SimHei" w:hAnsi="SimHei" w:eastAsia="SimHei" w:cs="SimHei"/>
          <w:sz w:val="23"/>
          <w:szCs w:val="23"/>
          <w:b/>
          <w:bCs/>
          <w:spacing w:val="11"/>
        </w:rPr>
        <w:t>关于进一步规范债券发行业务有关事项的通知(深市)</w:t>
      </w:r>
    </w:p>
    <w:p>
      <w:pPr>
        <w:spacing w:line="221" w:lineRule="auto"/>
        <w:sectPr>
          <w:pgSz w:w="11910" w:h="16840"/>
          <w:pgMar w:top="400" w:right="455" w:bottom="0" w:left="429" w:header="0" w:footer="0" w:gutter="0"/>
        </w:sectPr>
        <w:rPr>
          <w:rFonts w:ascii="SimHei" w:hAnsi="SimHei" w:eastAsia="SimHei" w:cs="SimHei"/>
          <w:sz w:val="23"/>
          <w:szCs w:val="23"/>
        </w:rPr>
      </w:pPr>
    </w:p>
    <w:p>
      <w:pPr>
        <w:ind w:left="493"/>
        <w:spacing w:before="114" w:line="221" w:lineRule="auto"/>
        <w:outlineLvl w:val="0"/>
        <w:rPr>
          <w:rFonts w:ascii="SimHei" w:hAnsi="SimHei" w:eastAsia="SimHei" w:cs="SimHei"/>
          <w:sz w:val="23"/>
          <w:szCs w:val="23"/>
        </w:rPr>
      </w:pPr>
      <w:r>
        <w:rPr>
          <w:rFonts w:ascii="SimHei" w:hAnsi="SimHei" w:eastAsia="SimHei" w:cs="SimHei"/>
          <w:sz w:val="23"/>
          <w:szCs w:val="23"/>
          <w:b/>
          <w:bCs/>
          <w:spacing w:val="10"/>
        </w:rPr>
        <w:t>7、</w:t>
      </w:r>
      <w:r>
        <w:rPr>
          <w:rFonts w:ascii="SimHei" w:hAnsi="SimHei" w:eastAsia="SimHei" w:cs="SimHei"/>
          <w:sz w:val="23"/>
          <w:szCs w:val="23"/>
          <w:spacing w:val="-68"/>
        </w:rPr>
        <w:t xml:space="preserve"> </w:t>
      </w:r>
      <w:r>
        <w:rPr>
          <w:rFonts w:ascii="SimHei" w:hAnsi="SimHei" w:eastAsia="SimHei" w:cs="SimHei"/>
          <w:sz w:val="23"/>
          <w:szCs w:val="23"/>
          <w:b/>
          <w:bCs/>
          <w:spacing w:val="10"/>
        </w:rPr>
        <w:t>关于进一步规范债券发行业务有关事项的通知(北交所)</w:t>
      </w:r>
    </w:p>
    <w:p>
      <w:pPr>
        <w:pStyle w:val="BodyText"/>
        <w:spacing w:line="251" w:lineRule="auto"/>
        <w:rPr/>
      </w:pPr>
      <w:r/>
    </w:p>
    <w:p>
      <w:pPr>
        <w:ind w:right="33" w:firstLine="460"/>
        <w:spacing w:before="75" w:line="276" w:lineRule="auto"/>
        <w:jc w:val="both"/>
        <w:rPr>
          <w:rFonts w:ascii="SimHei" w:hAnsi="SimHei" w:eastAsia="SimHei" w:cs="SimHei"/>
          <w:sz w:val="23"/>
          <w:szCs w:val="23"/>
        </w:rPr>
      </w:pPr>
      <w:r>
        <w:rPr>
          <w:rFonts w:ascii="SimHei" w:hAnsi="SimHei" w:eastAsia="SimHei" w:cs="SimHei"/>
          <w:sz w:val="23"/>
          <w:szCs w:val="23"/>
          <w:spacing w:val="-11"/>
        </w:rPr>
        <w:t>为进一步规范债券发行业务，维护债券市场正常秩序，保护投资者合法权益，促进债券市场稳定健康发展，根</w:t>
      </w:r>
      <w:r>
        <w:rPr>
          <w:rFonts w:ascii="SimHei" w:hAnsi="SimHei" w:eastAsia="SimHei" w:cs="SimHei"/>
          <w:sz w:val="23"/>
          <w:szCs w:val="23"/>
          <w:spacing w:val="17"/>
        </w:rPr>
        <w:t xml:space="preserve"> </w:t>
      </w:r>
      <w:r>
        <w:rPr>
          <w:rFonts w:ascii="SimHei" w:hAnsi="SimHei" w:eastAsia="SimHei" w:cs="SimHei"/>
          <w:sz w:val="23"/>
          <w:szCs w:val="23"/>
          <w:spacing w:val="-10"/>
        </w:rPr>
        <w:t>据《中华人民共和国证券法》《企业债券管理条例》《公司债券发行与交易管理办法》《关</w:t>
      </w:r>
      <w:r>
        <w:rPr>
          <w:rFonts w:ascii="SimHei" w:hAnsi="SimHei" w:eastAsia="SimHei" w:cs="SimHei"/>
          <w:sz w:val="23"/>
          <w:szCs w:val="23"/>
          <w:spacing w:val="-11"/>
        </w:rPr>
        <w:t>于深化债券注册制改革</w:t>
      </w:r>
      <w:r>
        <w:rPr>
          <w:rFonts w:ascii="SimHei" w:hAnsi="SimHei" w:eastAsia="SimHei" w:cs="SimHei"/>
          <w:sz w:val="23"/>
          <w:szCs w:val="23"/>
        </w:rPr>
        <w:t xml:space="preserve"> </w:t>
      </w:r>
      <w:r>
        <w:rPr>
          <w:rFonts w:ascii="SimHei" w:hAnsi="SimHei" w:eastAsia="SimHei" w:cs="SimHei"/>
          <w:sz w:val="23"/>
          <w:szCs w:val="23"/>
          <w:spacing w:val="-14"/>
        </w:rPr>
        <w:t>的指导意见》</w:t>
      </w:r>
      <w:r>
        <w:rPr>
          <w:rFonts w:ascii="SimHei" w:hAnsi="SimHei" w:eastAsia="SimHei" w:cs="SimHei"/>
          <w:sz w:val="23"/>
          <w:szCs w:val="23"/>
          <w:spacing w:val="65"/>
        </w:rPr>
        <w:t xml:space="preserve"> </w:t>
      </w:r>
      <w:r>
        <w:rPr>
          <w:rFonts w:ascii="SimHei" w:hAnsi="SimHei" w:eastAsia="SimHei" w:cs="SimHei"/>
          <w:sz w:val="23"/>
          <w:szCs w:val="23"/>
          <w:spacing w:val="-14"/>
        </w:rPr>
        <w:t>《关于注册制下提高中介机构债券业务执业质量的指</w:t>
      </w:r>
      <w:r>
        <w:rPr>
          <w:rFonts w:ascii="SimHei" w:hAnsi="SimHei" w:eastAsia="SimHei" w:cs="SimHei"/>
          <w:sz w:val="23"/>
          <w:szCs w:val="23"/>
          <w:spacing w:val="-15"/>
        </w:rPr>
        <w:t>导意见》等法律法规、部门规章、规范性文件及</w:t>
      </w:r>
      <w:r>
        <w:rPr>
          <w:rFonts w:ascii="SimHei" w:hAnsi="SimHei" w:eastAsia="SimHei" w:cs="SimHei"/>
          <w:sz w:val="23"/>
          <w:szCs w:val="23"/>
        </w:rPr>
        <w:t xml:space="preserve"> </w:t>
      </w:r>
      <w:r>
        <w:rPr>
          <w:rFonts w:ascii="SimHei" w:hAnsi="SimHei" w:eastAsia="SimHei" w:cs="SimHei"/>
          <w:sz w:val="23"/>
          <w:szCs w:val="23"/>
          <w:spacing w:val="-12"/>
        </w:rPr>
        <w:t>北京证券交易所相关业务规则的规定，现就债券发行业务有关事项通知。</w:t>
      </w:r>
    </w:p>
    <w:p>
      <w:pPr>
        <w:pStyle w:val="BodyText"/>
        <w:spacing w:line="319" w:lineRule="auto"/>
        <w:rPr/>
      </w:pPr>
      <w:r/>
    </w:p>
    <w:p>
      <w:pPr>
        <w:spacing w:before="75" w:line="601" w:lineRule="exact"/>
        <w:jc w:val="right"/>
        <w:rPr>
          <w:rFonts w:ascii="SimHei" w:hAnsi="SimHei" w:eastAsia="SimHei" w:cs="SimHei"/>
          <w:sz w:val="23"/>
          <w:szCs w:val="23"/>
        </w:rPr>
      </w:pPr>
      <w:r>
        <w:rPr>
          <w:rFonts w:ascii="SimHei" w:hAnsi="SimHei" w:eastAsia="SimHei" w:cs="SimHei"/>
          <w:sz w:val="23"/>
          <w:szCs w:val="23"/>
          <w:spacing w:val="-8"/>
          <w:position w:val="28"/>
        </w:rPr>
        <w:t>北京证券交易所</w:t>
      </w:r>
    </w:p>
    <w:p>
      <w:pPr>
        <w:ind w:right="7"/>
        <w:spacing w:line="223" w:lineRule="auto"/>
        <w:jc w:val="right"/>
        <w:rPr>
          <w:rFonts w:ascii="SimHei" w:hAnsi="SimHei" w:eastAsia="SimHei" w:cs="SimHei"/>
          <w:sz w:val="23"/>
          <w:szCs w:val="23"/>
        </w:rPr>
      </w:pPr>
      <w:r>
        <w:rPr>
          <w:rFonts w:ascii="SimHei" w:hAnsi="SimHei" w:eastAsia="SimHei" w:cs="SimHei"/>
          <w:sz w:val="23"/>
          <w:szCs w:val="23"/>
          <w:spacing w:val="5"/>
        </w:rPr>
        <w:t>2024年1月12日</w:t>
      </w:r>
    </w:p>
    <w:p>
      <w:pPr>
        <w:ind w:firstLine="4300"/>
        <w:spacing w:before="182" w:line="2810" w:lineRule="exact"/>
        <w:rPr/>
      </w:pPr>
      <w:r>
        <w:rPr>
          <w:position w:val="-56"/>
        </w:rPr>
        <w:drawing>
          <wp:inline distT="0" distB="0" distL="0" distR="0">
            <wp:extent cx="1803361" cy="1784408"/>
            <wp:effectExtent l="0" t="0" r="0" b="0"/>
            <wp:docPr id="18" name="IM 18"/>
            <wp:cNvGraphicFramePr/>
            <a:graphic>
              <a:graphicData uri="http://schemas.openxmlformats.org/drawingml/2006/picture">
                <pic:pic>
                  <pic:nvPicPr>
                    <pic:cNvPr id="18" name="IM 18"/>
                    <pic:cNvPicPr/>
                  </pic:nvPicPr>
                  <pic:blipFill>
                    <a:blip r:embed="rId11"/>
                    <a:stretch>
                      <a:fillRect/>
                    </a:stretch>
                  </pic:blipFill>
                  <pic:spPr>
                    <a:xfrm rot="0">
                      <a:off x="0" y="0"/>
                      <a:ext cx="1803361" cy="1784408"/>
                    </a:xfrm>
                    <a:prstGeom prst="rect">
                      <a:avLst/>
                    </a:prstGeom>
                  </pic:spPr>
                </pic:pic>
              </a:graphicData>
            </a:graphic>
          </wp:inline>
        </w:drawing>
      </w:r>
    </w:p>
    <w:p>
      <w:pPr>
        <w:pStyle w:val="BodyText"/>
        <w:spacing w:line="257" w:lineRule="auto"/>
        <w:rPr/>
      </w:pPr>
      <w:r/>
    </w:p>
    <w:p>
      <w:pPr>
        <w:ind w:left="2403"/>
        <w:spacing w:before="75" w:line="221" w:lineRule="auto"/>
        <w:rPr>
          <w:rFonts w:ascii="SimHei" w:hAnsi="SimHei" w:eastAsia="SimHei" w:cs="SimHei"/>
          <w:sz w:val="23"/>
          <w:szCs w:val="23"/>
        </w:rPr>
      </w:pPr>
      <w:r>
        <w:rPr>
          <w:rFonts w:ascii="SimHei" w:hAnsi="SimHei" w:eastAsia="SimHei" w:cs="SimHei"/>
          <w:sz w:val="23"/>
          <w:szCs w:val="23"/>
          <w:b/>
          <w:bCs/>
          <w:spacing w:val="11"/>
        </w:rPr>
        <w:t>关于进一步规范债券发行业务有关事项的通知(北交所)</w:t>
      </w:r>
    </w:p>
    <w:p>
      <w:pPr>
        <w:spacing w:line="221" w:lineRule="auto"/>
        <w:sectPr>
          <w:pgSz w:w="11910" w:h="16840"/>
          <w:pgMar w:top="400" w:right="455" w:bottom="0" w:left="429" w:header="0" w:footer="0" w:gutter="0"/>
        </w:sectPr>
        <w:rPr>
          <w:rFonts w:ascii="SimHei" w:hAnsi="SimHei" w:eastAsia="SimHei" w:cs="SimHei"/>
          <w:sz w:val="23"/>
          <w:szCs w:val="23"/>
        </w:rPr>
      </w:pPr>
    </w:p>
    <w:p>
      <w:pPr>
        <w:ind w:left="500"/>
        <w:spacing w:before="117" w:line="222" w:lineRule="auto"/>
        <w:rPr>
          <w:rFonts w:ascii="SimHei" w:hAnsi="SimHei" w:eastAsia="SimHei" w:cs="SimHei"/>
          <w:sz w:val="23"/>
          <w:szCs w:val="23"/>
        </w:rPr>
      </w:pPr>
      <w:r>
        <w:rPr>
          <w:rFonts w:ascii="SimHei" w:hAnsi="SimHei" w:eastAsia="SimHei" w:cs="SimHei"/>
          <w:sz w:val="23"/>
          <w:szCs w:val="23"/>
          <w:spacing w:val="16"/>
        </w:rPr>
        <w:t>8、关于融资融券标的证券2023年第四季度定期调整有关事项的通知(沪市)</w:t>
      </w:r>
    </w:p>
    <w:p>
      <w:pPr>
        <w:pStyle w:val="BodyText"/>
        <w:spacing w:line="258" w:lineRule="auto"/>
        <w:rPr/>
      </w:pPr>
      <w:r/>
    </w:p>
    <w:p>
      <w:pPr>
        <w:ind w:right="37" w:firstLine="460"/>
        <w:spacing w:before="75" w:line="277" w:lineRule="auto"/>
        <w:jc w:val="both"/>
        <w:rPr>
          <w:rFonts w:ascii="SimHei" w:hAnsi="SimHei" w:eastAsia="SimHei" w:cs="SimHei"/>
          <w:sz w:val="23"/>
          <w:szCs w:val="23"/>
        </w:rPr>
      </w:pPr>
      <w:r>
        <w:rPr>
          <w:rFonts w:ascii="SimHei" w:hAnsi="SimHei" w:eastAsia="SimHei" w:cs="SimHei"/>
          <w:sz w:val="23"/>
          <w:szCs w:val="23"/>
          <w:spacing w:val="-11"/>
        </w:rPr>
        <w:t>为促进融资融券业务健康长远发展，优化标的证券结构，根据《上海证券交易所融资融券交易实施细则》的相</w:t>
      </w:r>
      <w:r>
        <w:rPr>
          <w:rFonts w:ascii="SimHei" w:hAnsi="SimHei" w:eastAsia="SimHei" w:cs="SimHei"/>
          <w:sz w:val="23"/>
          <w:szCs w:val="23"/>
          <w:spacing w:val="14"/>
        </w:rPr>
        <w:t xml:space="preserve"> </w:t>
      </w:r>
      <w:r>
        <w:rPr>
          <w:rFonts w:ascii="SimHei" w:hAnsi="SimHei" w:eastAsia="SimHei" w:cs="SimHei"/>
          <w:sz w:val="23"/>
          <w:szCs w:val="23"/>
          <w:spacing w:val="-6"/>
        </w:rPr>
        <w:t>关规定及融资融券标的证券(以下简称标的证券)定期评估调整机制，上海证券交易所于每季度末对标的证券进行</w:t>
      </w:r>
      <w:r>
        <w:rPr>
          <w:rFonts w:ascii="SimHei" w:hAnsi="SimHei" w:eastAsia="SimHei" w:cs="SimHei"/>
          <w:sz w:val="23"/>
          <w:szCs w:val="23"/>
          <w:spacing w:val="6"/>
        </w:rPr>
        <w:t xml:space="preserve"> </w:t>
      </w:r>
      <w:r>
        <w:rPr>
          <w:rFonts w:ascii="SimHei" w:hAnsi="SimHei" w:eastAsia="SimHei" w:cs="SimHei"/>
          <w:sz w:val="23"/>
          <w:szCs w:val="23"/>
          <w:spacing w:val="-8"/>
        </w:rPr>
        <w:t>评估并视情况实施调整。现将2023年第</w:t>
      </w:r>
      <w:r>
        <w:rPr>
          <w:rFonts w:ascii="SimHei" w:hAnsi="SimHei" w:eastAsia="SimHei" w:cs="SimHei"/>
          <w:sz w:val="23"/>
          <w:szCs w:val="23"/>
          <w:spacing w:val="-9"/>
        </w:rPr>
        <w:t>四季度定期调整的有关事项通知。</w:t>
      </w:r>
    </w:p>
    <w:p>
      <w:pPr>
        <w:pStyle w:val="BodyText"/>
        <w:spacing w:line="257" w:lineRule="auto"/>
        <w:rPr/>
      </w:pPr>
      <w:r/>
    </w:p>
    <w:p>
      <w:pPr>
        <w:spacing w:before="75" w:line="621" w:lineRule="exact"/>
        <w:jc w:val="right"/>
        <w:rPr>
          <w:rFonts w:ascii="SimHei" w:hAnsi="SimHei" w:eastAsia="SimHei" w:cs="SimHei"/>
          <w:sz w:val="23"/>
          <w:szCs w:val="23"/>
        </w:rPr>
      </w:pPr>
      <w:r>
        <w:rPr>
          <w:rFonts w:ascii="SimHei" w:hAnsi="SimHei" w:eastAsia="SimHei" w:cs="SimHei"/>
          <w:sz w:val="23"/>
          <w:szCs w:val="23"/>
          <w:spacing w:val="-10"/>
          <w:position w:val="30"/>
        </w:rPr>
        <w:t>上海证券交易所</w:t>
      </w:r>
    </w:p>
    <w:p>
      <w:pPr>
        <w:ind w:right="17"/>
        <w:spacing w:line="223" w:lineRule="auto"/>
        <w:jc w:val="right"/>
        <w:rPr>
          <w:rFonts w:ascii="SimHei" w:hAnsi="SimHei" w:eastAsia="SimHei" w:cs="SimHei"/>
          <w:sz w:val="23"/>
          <w:szCs w:val="23"/>
        </w:rPr>
      </w:pPr>
      <w:r>
        <w:rPr>
          <w:rFonts w:ascii="SimHei" w:hAnsi="SimHei" w:eastAsia="SimHei" w:cs="SimHei"/>
          <w:sz w:val="23"/>
          <w:szCs w:val="23"/>
          <w:spacing w:val="5"/>
        </w:rPr>
        <w:t>2024年1月12日</w:t>
      </w:r>
    </w:p>
    <w:p>
      <w:pPr>
        <w:ind w:firstLine="4300"/>
        <w:spacing w:before="182" w:line="2820" w:lineRule="exact"/>
        <w:rPr/>
      </w:pPr>
      <w:r>
        <w:rPr>
          <w:position w:val="-56"/>
        </w:rPr>
        <w:drawing>
          <wp:inline distT="0" distB="0" distL="0" distR="0">
            <wp:extent cx="1803361" cy="1790716"/>
            <wp:effectExtent l="0" t="0" r="0" b="0"/>
            <wp:docPr id="20" name="IM 20"/>
            <wp:cNvGraphicFramePr/>
            <a:graphic>
              <a:graphicData uri="http://schemas.openxmlformats.org/drawingml/2006/picture">
                <pic:pic>
                  <pic:nvPicPr>
                    <pic:cNvPr id="20" name="IM 20"/>
                    <pic:cNvPicPr/>
                  </pic:nvPicPr>
                  <pic:blipFill>
                    <a:blip r:embed="rId12"/>
                    <a:stretch>
                      <a:fillRect/>
                    </a:stretch>
                  </pic:blipFill>
                  <pic:spPr>
                    <a:xfrm rot="0">
                      <a:off x="0" y="0"/>
                      <a:ext cx="1803361" cy="1790716"/>
                    </a:xfrm>
                    <a:prstGeom prst="rect">
                      <a:avLst/>
                    </a:prstGeom>
                  </pic:spPr>
                </pic:pic>
              </a:graphicData>
            </a:graphic>
          </wp:inline>
        </w:drawing>
      </w:r>
    </w:p>
    <w:p>
      <w:pPr>
        <w:pStyle w:val="BodyText"/>
        <w:spacing w:line="241" w:lineRule="auto"/>
        <w:rPr/>
      </w:pPr>
      <w:r/>
    </w:p>
    <w:p>
      <w:pPr>
        <w:ind w:left="1500"/>
        <w:spacing w:before="75" w:line="222" w:lineRule="auto"/>
        <w:rPr>
          <w:rFonts w:ascii="SimHei" w:hAnsi="SimHei" w:eastAsia="SimHei" w:cs="SimHei"/>
          <w:sz w:val="23"/>
          <w:szCs w:val="23"/>
        </w:rPr>
      </w:pPr>
      <w:r>
        <w:rPr>
          <w:rFonts w:ascii="SimHei" w:hAnsi="SimHei" w:eastAsia="SimHei" w:cs="SimHei"/>
          <w:sz w:val="23"/>
          <w:szCs w:val="23"/>
          <w:spacing w:val="16"/>
        </w:rPr>
        <w:t>关于融资融券标的证券2023年第四季度定期调整</w:t>
      </w:r>
      <w:r>
        <w:rPr>
          <w:rFonts w:ascii="SimHei" w:hAnsi="SimHei" w:eastAsia="SimHei" w:cs="SimHei"/>
          <w:sz w:val="23"/>
          <w:szCs w:val="23"/>
          <w:spacing w:val="15"/>
        </w:rPr>
        <w:t>有关事项的通知(沪市)</w:t>
      </w:r>
    </w:p>
    <w:p>
      <w:pPr>
        <w:spacing w:line="222" w:lineRule="auto"/>
        <w:sectPr>
          <w:pgSz w:w="11910" w:h="16840"/>
          <w:pgMar w:top="400" w:right="455" w:bottom="0" w:left="429" w:header="0" w:footer="0" w:gutter="0"/>
        </w:sectPr>
        <w:rPr>
          <w:rFonts w:ascii="SimHei" w:hAnsi="SimHei" w:eastAsia="SimHei" w:cs="SimHei"/>
          <w:sz w:val="23"/>
          <w:szCs w:val="23"/>
        </w:rPr>
      </w:pPr>
    </w:p>
    <w:p>
      <w:pPr>
        <w:ind w:left="510"/>
        <w:spacing w:before="98" w:line="222" w:lineRule="auto"/>
        <w:rPr>
          <w:rFonts w:ascii="SimHei" w:hAnsi="SimHei" w:eastAsia="SimHei" w:cs="SimHei"/>
          <w:sz w:val="25"/>
          <w:szCs w:val="25"/>
        </w:rPr>
      </w:pPr>
      <w:r>
        <w:rPr>
          <w:rFonts w:ascii="SimHei" w:hAnsi="SimHei" w:eastAsia="SimHei" w:cs="SimHei"/>
          <w:sz w:val="25"/>
          <w:szCs w:val="25"/>
          <w:spacing w:val="-2"/>
        </w:rPr>
        <w:t>9、关于融资融券标的证券2023年第四季度定期调整有关事项的通知(深市)</w:t>
      </w:r>
    </w:p>
    <w:p>
      <w:pPr>
        <w:pStyle w:val="BodyText"/>
        <w:spacing w:line="265" w:lineRule="auto"/>
        <w:rPr/>
      </w:pPr>
      <w:r/>
    </w:p>
    <w:p>
      <w:pPr>
        <w:ind w:left="470"/>
        <w:spacing w:before="71" w:line="213" w:lineRule="auto"/>
        <w:rPr>
          <w:rFonts w:ascii="SimHei" w:hAnsi="SimHei" w:eastAsia="SimHei" w:cs="SimHei"/>
          <w:sz w:val="22"/>
          <w:szCs w:val="22"/>
        </w:rPr>
      </w:pPr>
      <w:r>
        <w:rPr>
          <w:rFonts w:ascii="SimHei" w:hAnsi="SimHei" w:eastAsia="SimHei" w:cs="SimHei"/>
          <w:sz w:val="22"/>
          <w:szCs w:val="22"/>
          <w:spacing w:val="3"/>
        </w:rPr>
        <w:t>为促进融资融券业务发展，优化标的证券结构，根据《深圳证券交易所融资融券交易实施细则(2023年修</w:t>
      </w:r>
    </w:p>
    <w:p>
      <w:pPr>
        <w:ind w:right="191" w:firstLine="10"/>
        <w:spacing w:before="117" w:line="270" w:lineRule="auto"/>
        <w:rPr>
          <w:rFonts w:ascii="SimHei" w:hAnsi="SimHei" w:eastAsia="SimHei" w:cs="SimHei"/>
          <w:sz w:val="22"/>
          <w:szCs w:val="22"/>
        </w:rPr>
      </w:pPr>
      <w:r>
        <w:rPr>
          <w:rFonts w:ascii="SimHei" w:hAnsi="SimHei" w:eastAsia="SimHei" w:cs="SimHei"/>
          <w:sz w:val="22"/>
          <w:szCs w:val="22"/>
          <w:spacing w:val="3"/>
        </w:rPr>
        <w:t>订)》的相关规定及融资融券标的证券定期评估调整机制，现将2023年第四季度融资融券标的证券定期调整的有</w:t>
      </w:r>
      <w:r>
        <w:rPr>
          <w:rFonts w:ascii="SimHei" w:hAnsi="SimHei" w:eastAsia="SimHei" w:cs="SimHei"/>
          <w:sz w:val="22"/>
          <w:szCs w:val="22"/>
          <w:spacing w:val="18"/>
        </w:rPr>
        <w:t xml:space="preserve"> </w:t>
      </w:r>
      <w:r>
        <w:rPr>
          <w:rFonts w:ascii="SimHei" w:hAnsi="SimHei" w:eastAsia="SimHei" w:cs="SimHei"/>
          <w:sz w:val="22"/>
          <w:szCs w:val="22"/>
          <w:spacing w:val="-7"/>
        </w:rPr>
        <w:t>关事项通知。</w:t>
      </w:r>
    </w:p>
    <w:p>
      <w:pPr>
        <w:pStyle w:val="BodyText"/>
        <w:spacing w:line="283" w:lineRule="auto"/>
        <w:rPr/>
      </w:pPr>
      <w:r/>
    </w:p>
    <w:p>
      <w:pPr>
        <w:spacing w:before="71" w:line="621" w:lineRule="exact"/>
        <w:jc w:val="right"/>
        <w:rPr>
          <w:rFonts w:ascii="SimHei" w:hAnsi="SimHei" w:eastAsia="SimHei" w:cs="SimHei"/>
          <w:sz w:val="22"/>
          <w:szCs w:val="22"/>
        </w:rPr>
      </w:pPr>
      <w:r>
        <w:rPr>
          <w:rFonts w:ascii="SimHei" w:hAnsi="SimHei" w:eastAsia="SimHei" w:cs="SimHei"/>
          <w:sz w:val="22"/>
          <w:szCs w:val="22"/>
          <w:spacing w:val="2"/>
          <w:position w:val="31"/>
        </w:rPr>
        <w:t>深圳证券交易所</w:t>
      </w:r>
    </w:p>
    <w:p>
      <w:pPr>
        <w:ind w:right="29"/>
        <w:spacing w:line="223" w:lineRule="auto"/>
        <w:jc w:val="right"/>
        <w:rPr>
          <w:rFonts w:ascii="SimHei" w:hAnsi="SimHei" w:eastAsia="SimHei" w:cs="SimHei"/>
          <w:sz w:val="22"/>
          <w:szCs w:val="22"/>
        </w:rPr>
      </w:pPr>
      <w:r>
        <w:rPr>
          <w:rFonts w:ascii="SimHei" w:hAnsi="SimHei" w:eastAsia="SimHei" w:cs="SimHei"/>
          <w:sz w:val="22"/>
          <w:szCs w:val="22"/>
          <w:spacing w:val="11"/>
        </w:rPr>
        <w:t>2024年1月12日</w:t>
      </w:r>
    </w:p>
    <w:p>
      <w:pPr>
        <w:ind w:firstLine="4310"/>
        <w:spacing w:before="184" w:line="2820" w:lineRule="exact"/>
        <w:rPr/>
      </w:pPr>
      <w:r>
        <w:rPr>
          <w:position w:val="-56"/>
        </w:rPr>
        <w:drawing>
          <wp:inline distT="0" distB="0" distL="0" distR="0">
            <wp:extent cx="1803361" cy="1790716"/>
            <wp:effectExtent l="0" t="0" r="0" b="0"/>
            <wp:docPr id="22" name="IM 22"/>
            <wp:cNvGraphicFramePr/>
            <a:graphic>
              <a:graphicData uri="http://schemas.openxmlformats.org/drawingml/2006/picture">
                <pic:pic>
                  <pic:nvPicPr>
                    <pic:cNvPr id="22" name="IM 22"/>
                    <pic:cNvPicPr/>
                  </pic:nvPicPr>
                  <pic:blipFill>
                    <a:blip r:embed="rId13"/>
                    <a:stretch>
                      <a:fillRect/>
                    </a:stretch>
                  </pic:blipFill>
                  <pic:spPr>
                    <a:xfrm rot="0">
                      <a:off x="0" y="0"/>
                      <a:ext cx="1803361" cy="1790716"/>
                    </a:xfrm>
                    <a:prstGeom prst="rect">
                      <a:avLst/>
                    </a:prstGeom>
                  </pic:spPr>
                </pic:pic>
              </a:graphicData>
            </a:graphic>
          </wp:inline>
        </w:drawing>
      </w:r>
    </w:p>
    <w:p>
      <w:pPr>
        <w:ind w:left="1510"/>
        <w:spacing w:before="299" w:line="222" w:lineRule="auto"/>
        <w:rPr>
          <w:rFonts w:ascii="SimHei" w:hAnsi="SimHei" w:eastAsia="SimHei" w:cs="SimHei"/>
          <w:sz w:val="25"/>
          <w:szCs w:val="25"/>
        </w:rPr>
      </w:pPr>
      <w:r>
        <w:rPr>
          <w:rFonts w:ascii="SimHei" w:hAnsi="SimHei" w:eastAsia="SimHei" w:cs="SimHei"/>
          <w:sz w:val="25"/>
          <w:szCs w:val="25"/>
          <w:spacing w:val="-2"/>
        </w:rPr>
        <w:t>关于融资融券标的证券2023年第四季度定期</w:t>
      </w:r>
      <w:r>
        <w:rPr>
          <w:rFonts w:ascii="SimHei" w:hAnsi="SimHei" w:eastAsia="SimHei" w:cs="SimHei"/>
          <w:sz w:val="25"/>
          <w:szCs w:val="25"/>
          <w:spacing w:val="-3"/>
        </w:rPr>
        <w:t>调整有关事项的通知(深市)</w:t>
      </w:r>
    </w:p>
    <w:p>
      <w:pPr>
        <w:spacing w:line="222" w:lineRule="auto"/>
        <w:sectPr>
          <w:pgSz w:w="11910" w:h="16840"/>
          <w:pgMar w:top="400" w:right="445" w:bottom="0" w:left="419" w:header="0" w:footer="0" w:gutter="0"/>
        </w:sectPr>
        <w:rPr>
          <w:rFonts w:ascii="SimHei" w:hAnsi="SimHei" w:eastAsia="SimHei" w:cs="SimHei"/>
          <w:sz w:val="25"/>
          <w:szCs w:val="25"/>
        </w:rPr>
      </w:pPr>
    </w:p>
    <w:p>
      <w:pPr>
        <w:ind w:left="1706"/>
        <w:spacing w:before="338" w:line="222" w:lineRule="auto"/>
        <w:rPr>
          <w:rFonts w:ascii="SimHei" w:hAnsi="SimHei" w:eastAsia="SimHei" w:cs="SimHei"/>
          <w:sz w:val="42"/>
          <w:szCs w:val="42"/>
        </w:rPr>
      </w:pPr>
      <w:r>
        <w:pict>
          <v:rect id="_x0000_s4" style="position:absolute;margin-left:8.4978pt;margin-top:74.9969pt;mso-position-vertical-relative:page;mso-position-horizontal-relative:page;width:585.05pt;height:1.05pt;z-index:251669504;" o:allowincell="f" fillcolor="#FF0000" filled="true" stroked="false"/>
        </w:pict>
      </w:r>
      <w:r>
        <w:drawing>
          <wp:anchor distT="0" distB="0" distL="0" distR="0" simplePos="0" relativeHeight="251668480" behindDoc="0" locked="0" layoutInCell="0" allowOverlap="1">
            <wp:simplePos x="0" y="0"/>
            <wp:positionH relativeFrom="page">
              <wp:posOffset>0</wp:posOffset>
            </wp:positionH>
            <wp:positionV relativeFrom="page">
              <wp:posOffset>215900</wp:posOffset>
            </wp:positionV>
            <wp:extent cx="889012" cy="768320"/>
            <wp:effectExtent l="0" t="0" r="0" b="0"/>
            <wp:wrapNone/>
            <wp:docPr id="24" name="IM 24"/>
            <wp:cNvGraphicFramePr/>
            <a:graphic>
              <a:graphicData uri="http://schemas.openxmlformats.org/drawingml/2006/picture">
                <pic:pic>
                  <pic:nvPicPr>
                    <pic:cNvPr id="24" name="IM 24"/>
                    <pic:cNvPicPr/>
                  </pic:nvPicPr>
                  <pic:blipFill>
                    <a:blip r:embed="rId14"/>
                    <a:stretch>
                      <a:fillRect/>
                    </a:stretch>
                  </pic:blipFill>
                  <pic:spPr>
                    <a:xfrm rot="0">
                      <a:off x="0" y="0"/>
                      <a:ext cx="889012" cy="768320"/>
                    </a:xfrm>
                    <a:prstGeom prst="rect">
                      <a:avLst/>
                    </a:prstGeom>
                  </pic:spPr>
                </pic:pic>
              </a:graphicData>
            </a:graphic>
          </wp:anchor>
        </w:drawing>
      </w:r>
      <w:r>
        <w:rPr>
          <w:rFonts w:ascii="SimHei" w:hAnsi="SimHei" w:eastAsia="SimHei" w:cs="SimHei"/>
          <w:sz w:val="42"/>
          <w:szCs w:val="42"/>
          <w:b/>
          <w:bCs/>
          <w:spacing w:val="14"/>
        </w:rPr>
        <w:t>监管动态</w:t>
      </w:r>
    </w:p>
    <w:p>
      <w:pPr>
        <w:pStyle w:val="BodyText"/>
        <w:spacing w:line="326" w:lineRule="auto"/>
        <w:rPr/>
      </w:pPr>
      <w:r/>
    </w:p>
    <w:p>
      <w:pPr>
        <w:pStyle w:val="BodyText"/>
        <w:spacing w:line="326" w:lineRule="auto"/>
        <w:rPr/>
      </w:pPr>
      <w:r/>
    </w:p>
    <w:p>
      <w:pPr>
        <w:ind w:firstLine="169"/>
        <w:spacing w:line="760" w:lineRule="exact"/>
        <w:rPr/>
      </w:pPr>
      <w:r>
        <w:rPr>
          <w:position w:val="-15"/>
        </w:rPr>
        <w:pict>
          <v:group id="_x0000_s6" style="mso-position-vertical-relative:line;mso-position-horizontal-relative:char;width:137.55pt;height:38pt;" filled="false" stroked="false" coordsize="2751,760" coordorigin="0,0">
            <v:shape id="_x0000_s8" style="position:absolute;left:0;top:0;width:2751;height:760;" filled="false" stroked="false" type="#_x0000_t75">
              <v:imagedata o:title="" r:id="rId15"/>
            </v:shape>
            <v:shape id="_x0000_s10" style="position:absolute;left:-20;top:-20;width:2791;height:800;" filled="false" stroked="false" type="#_x0000_t202">
              <v:fill on="false"/>
              <v:stroke on="false"/>
              <v:path/>
              <v:imagedata o:title=""/>
              <o:lock v:ext="edit" aspectratio="false"/>
              <v:textbox inset="0mm,0mm,0mm,0mm">
                <w:txbxContent>
                  <w:p>
                    <w:pPr>
                      <w:ind w:left="410"/>
                      <w:spacing w:before="278" w:line="221" w:lineRule="auto"/>
                      <w:rPr>
                        <w:rFonts w:ascii="SimHei" w:hAnsi="SimHei" w:eastAsia="SimHei" w:cs="SimHei"/>
                        <w:sz w:val="27"/>
                        <w:szCs w:val="27"/>
                      </w:rPr>
                    </w:pPr>
                    <w:r>
                      <w:rPr>
                        <w:rFonts w:ascii="SimHei" w:hAnsi="SimHei" w:eastAsia="SimHei" w:cs="SimHei"/>
                        <w:sz w:val="27"/>
                        <w:szCs w:val="27"/>
                        <w:color w:val="FFFFFF"/>
                        <w:spacing w:val="11"/>
                      </w:rPr>
                      <w:t>市场监管概览</w:t>
                    </w:r>
                  </w:p>
                </w:txbxContent>
              </v:textbox>
            </v:shape>
          </v:group>
        </w:pict>
      </w:r>
    </w:p>
    <w:p>
      <w:pPr>
        <w:pStyle w:val="BodyText"/>
        <w:spacing w:line="370" w:lineRule="auto"/>
        <w:rPr/>
      </w:pPr>
      <w:r/>
    </w:p>
    <w:p>
      <w:pPr>
        <w:ind w:left="880"/>
        <w:spacing w:before="65" w:line="409" w:lineRule="exact"/>
        <w:rPr>
          <w:rFonts w:ascii="SimHei" w:hAnsi="SimHei" w:eastAsia="SimHei" w:cs="SimHei"/>
          <w:sz w:val="20"/>
          <w:szCs w:val="20"/>
        </w:rPr>
      </w:pPr>
      <w:r>
        <w:rPr>
          <w:rFonts w:ascii="SimHei" w:hAnsi="SimHei" w:eastAsia="SimHei" w:cs="SimHei"/>
          <w:sz w:val="20"/>
          <w:szCs w:val="20"/>
          <w:spacing w:val="24"/>
          <w:position w:val="16"/>
        </w:rPr>
        <w:t>2024年1月8日-</w:t>
      </w:r>
      <w:r>
        <w:rPr>
          <w:rFonts w:ascii="SimHei" w:hAnsi="SimHei" w:eastAsia="SimHei" w:cs="SimHei"/>
          <w:sz w:val="20"/>
          <w:szCs w:val="20"/>
          <w:spacing w:val="-56"/>
          <w:position w:val="16"/>
        </w:rPr>
        <w:t xml:space="preserve"> </w:t>
      </w:r>
      <w:r>
        <w:rPr>
          <w:rFonts w:ascii="SimHei" w:hAnsi="SimHei" w:eastAsia="SimHei" w:cs="SimHei"/>
          <w:sz w:val="20"/>
          <w:szCs w:val="20"/>
          <w:spacing w:val="24"/>
          <w:position w:val="16"/>
        </w:rPr>
        <w:t>1月14日，证监会作出9份监管文书；证监局作出26</w:t>
      </w:r>
      <w:r>
        <w:rPr>
          <w:rFonts w:ascii="SimHei" w:hAnsi="SimHei" w:eastAsia="SimHei" w:cs="SimHei"/>
          <w:sz w:val="20"/>
          <w:szCs w:val="20"/>
          <w:spacing w:val="23"/>
          <w:position w:val="16"/>
        </w:rPr>
        <w:t>份监管文书；上交所作出6份监管文书；</w:t>
      </w:r>
    </w:p>
    <w:p>
      <w:pPr>
        <w:ind w:left="419"/>
        <w:spacing w:line="221" w:lineRule="auto"/>
        <w:rPr>
          <w:rFonts w:ascii="SimHei" w:hAnsi="SimHei" w:eastAsia="SimHei" w:cs="SimHei"/>
          <w:sz w:val="20"/>
          <w:szCs w:val="20"/>
        </w:rPr>
      </w:pPr>
      <w:r>
        <w:rPr>
          <w:rFonts w:ascii="SimHei" w:hAnsi="SimHei" w:eastAsia="SimHei" w:cs="SimHei"/>
          <w:sz w:val="20"/>
          <w:szCs w:val="20"/>
          <w:spacing w:val="16"/>
        </w:rPr>
        <w:t>深交所作出14份监管文书。</w:t>
      </w:r>
    </w:p>
    <w:p>
      <w:pPr>
        <w:pStyle w:val="BodyText"/>
        <w:spacing w:line="273" w:lineRule="auto"/>
        <w:rPr/>
      </w:pPr>
      <w:r/>
    </w:p>
    <w:p>
      <w:pPr>
        <w:ind w:left="880"/>
        <w:spacing w:before="66" w:line="430" w:lineRule="exact"/>
        <w:rPr>
          <w:rFonts w:ascii="SimHei" w:hAnsi="SimHei" w:eastAsia="SimHei" w:cs="SimHei"/>
          <w:sz w:val="20"/>
          <w:szCs w:val="20"/>
        </w:rPr>
      </w:pPr>
      <w:r>
        <w:rPr>
          <w:rFonts w:ascii="SimHei" w:hAnsi="SimHei" w:eastAsia="SimHei" w:cs="SimHei"/>
          <w:sz w:val="20"/>
          <w:szCs w:val="20"/>
          <w:spacing w:val="24"/>
          <w:position w:val="17"/>
        </w:rPr>
        <w:t>上周，证监会对3个对象进行立案调查，作出</w:t>
      </w:r>
      <w:r>
        <w:rPr>
          <w:rFonts w:ascii="SimHei" w:hAnsi="SimHei" w:eastAsia="SimHei" w:cs="SimHei"/>
          <w:sz w:val="20"/>
          <w:szCs w:val="20"/>
          <w:spacing w:val="23"/>
          <w:position w:val="17"/>
        </w:rPr>
        <w:t>6份行政监管措施决定书；证监局作出13份行政处罚及市场禁入</w:t>
      </w:r>
    </w:p>
    <w:p>
      <w:pPr>
        <w:ind w:left="419"/>
        <w:spacing w:before="1" w:line="212" w:lineRule="auto"/>
        <w:rPr>
          <w:rFonts w:ascii="SimHei" w:hAnsi="SimHei" w:eastAsia="SimHei" w:cs="SimHei"/>
          <w:sz w:val="20"/>
          <w:szCs w:val="20"/>
        </w:rPr>
      </w:pPr>
      <w:r>
        <w:rPr>
          <w:rFonts w:ascii="SimHei" w:hAnsi="SimHei" w:eastAsia="SimHei" w:cs="SimHei"/>
          <w:sz w:val="20"/>
          <w:szCs w:val="20"/>
          <w:spacing w:val="19"/>
        </w:rPr>
        <w:t>决定书，2份行政处罚决定事先告知书，11份</w:t>
      </w:r>
      <w:r>
        <w:rPr>
          <w:rFonts w:ascii="SimHei" w:hAnsi="SimHei" w:eastAsia="SimHei" w:cs="SimHei"/>
          <w:sz w:val="20"/>
          <w:szCs w:val="20"/>
          <w:spacing w:val="18"/>
        </w:rPr>
        <w:t>行政监管措施决定书。</w:t>
      </w:r>
    </w:p>
    <w:p>
      <w:pPr>
        <w:pStyle w:val="BodyText"/>
        <w:spacing w:line="282" w:lineRule="auto"/>
        <w:rPr/>
      </w:pPr>
      <w:r/>
    </w:p>
    <w:p>
      <w:pPr>
        <w:ind w:left="880"/>
        <w:spacing w:before="66" w:line="410" w:lineRule="exact"/>
        <w:rPr>
          <w:rFonts w:ascii="SimHei" w:hAnsi="SimHei" w:eastAsia="SimHei" w:cs="SimHei"/>
          <w:sz w:val="20"/>
          <w:szCs w:val="20"/>
        </w:rPr>
      </w:pPr>
      <w:r>
        <w:rPr>
          <w:rFonts w:ascii="SimHei" w:hAnsi="SimHei" w:eastAsia="SimHei" w:cs="SimHei"/>
          <w:sz w:val="20"/>
          <w:szCs w:val="20"/>
          <w:spacing w:val="24"/>
          <w:position w:val="16"/>
        </w:rPr>
        <w:t>上周，上交所公司监管部门作出5份监管警示函，对1宗行为予以纪律处分。同时，加大信息披露和股价异常</w:t>
      </w:r>
    </w:p>
    <w:p>
      <w:pPr>
        <w:ind w:left="419"/>
        <w:spacing w:before="1" w:line="212" w:lineRule="auto"/>
        <w:rPr>
          <w:rFonts w:ascii="SimHei" w:hAnsi="SimHei" w:eastAsia="SimHei" w:cs="SimHei"/>
          <w:sz w:val="20"/>
          <w:szCs w:val="20"/>
        </w:rPr>
      </w:pPr>
      <w:r>
        <w:rPr>
          <w:rFonts w:ascii="SimHei" w:hAnsi="SimHei" w:eastAsia="SimHei" w:cs="SimHei"/>
          <w:sz w:val="20"/>
          <w:szCs w:val="20"/>
          <w:spacing w:val="19"/>
        </w:rPr>
        <w:t>的联动监管，针对公司披露敏感信息或股价发生明显异常的，提</w:t>
      </w:r>
      <w:r>
        <w:rPr>
          <w:rFonts w:ascii="SimHei" w:hAnsi="SimHei" w:eastAsia="SimHei" w:cs="SimHei"/>
          <w:sz w:val="20"/>
          <w:szCs w:val="20"/>
          <w:spacing w:val="18"/>
        </w:rPr>
        <w:t>请启动内幕交易、异常交易核查5单。</w:t>
      </w:r>
    </w:p>
    <w:p>
      <w:pPr>
        <w:pStyle w:val="BodyText"/>
        <w:spacing w:line="322" w:lineRule="auto"/>
        <w:rPr/>
      </w:pPr>
      <w:r/>
    </w:p>
    <w:p>
      <w:pPr>
        <w:ind w:left="880"/>
        <w:spacing w:before="65" w:line="213" w:lineRule="auto"/>
        <w:rPr>
          <w:rFonts w:ascii="SimHei" w:hAnsi="SimHei" w:eastAsia="SimHei" w:cs="SimHei"/>
          <w:sz w:val="20"/>
          <w:szCs w:val="20"/>
        </w:rPr>
      </w:pPr>
      <w:r>
        <w:rPr>
          <w:rFonts w:ascii="SimHei" w:hAnsi="SimHei" w:eastAsia="SimHei" w:cs="SimHei"/>
          <w:sz w:val="20"/>
          <w:szCs w:val="20"/>
          <w:spacing w:val="19"/>
        </w:rPr>
        <w:t>上周，深交所发出5份监管函，对9宗行为</w:t>
      </w:r>
      <w:r>
        <w:rPr>
          <w:rFonts w:ascii="SimHei" w:hAnsi="SimHei" w:eastAsia="SimHei" w:cs="SimHei"/>
          <w:sz w:val="20"/>
          <w:szCs w:val="20"/>
          <w:spacing w:val="18"/>
        </w:rPr>
        <w:t>予以纪律处分；共发出关注函3份。</w:t>
      </w:r>
    </w:p>
    <w:p>
      <w:pPr>
        <w:spacing w:before="18"/>
        <w:rPr/>
      </w:pPr>
      <w:r/>
    </w:p>
    <w:p>
      <w:pPr>
        <w:spacing w:before="18"/>
        <w:rPr/>
      </w:pPr>
      <w:r/>
    </w:p>
    <w:p>
      <w:pPr>
        <w:sectPr>
          <w:pgSz w:w="11910" w:h="16840"/>
          <w:pgMar w:top="400" w:right="40" w:bottom="0" w:left="0" w:header="0" w:footer="0" w:gutter="0"/>
          <w:cols w:equalWidth="0" w:num="1">
            <w:col w:w="11870" w:space="0"/>
          </w:cols>
        </w:sectPr>
        <w:rPr/>
      </w:pPr>
    </w:p>
    <w:p>
      <w:pPr>
        <w:pStyle w:val="BodyText"/>
        <w:spacing w:line="313" w:lineRule="auto"/>
        <w:rPr/>
      </w:pPr>
      <w:r/>
    </w:p>
    <w:p>
      <w:pPr>
        <w:pStyle w:val="BodyText"/>
        <w:spacing w:line="313" w:lineRule="auto"/>
        <w:rPr/>
      </w:pPr>
      <w:r/>
    </w:p>
    <w:p>
      <w:pPr>
        <w:pStyle w:val="BodyText"/>
        <w:spacing w:line="314" w:lineRule="auto"/>
        <w:rPr/>
      </w:pPr>
      <w:r/>
    </w:p>
    <w:p>
      <w:pPr>
        <w:ind w:left="2349"/>
        <w:spacing w:before="65" w:line="184" w:lineRule="auto"/>
        <w:rPr>
          <w:rFonts w:ascii="SimSun" w:hAnsi="SimSun" w:eastAsia="SimSun" w:cs="SimSun"/>
          <w:sz w:val="20"/>
          <w:szCs w:val="20"/>
        </w:rPr>
      </w:pPr>
      <w:r>
        <w:rPr>
          <w:rFonts w:ascii="SimSun" w:hAnsi="SimSun" w:eastAsia="SimSun" w:cs="SimSun"/>
          <w:sz w:val="20"/>
          <w:szCs w:val="20"/>
          <w:spacing w:val="-2"/>
        </w:rPr>
        <w:t>41</w:t>
      </w:r>
    </w:p>
    <w:p>
      <w:pPr>
        <w:pStyle w:val="BodyText"/>
        <w:spacing w:line="244" w:lineRule="auto"/>
        <w:rPr/>
      </w:pPr>
      <w:r/>
    </w:p>
    <w:p>
      <w:pPr>
        <w:ind w:left="2349"/>
        <w:spacing w:before="65" w:line="184" w:lineRule="auto"/>
        <w:rPr>
          <w:rFonts w:ascii="SimSun" w:hAnsi="SimSun" w:eastAsia="SimSun" w:cs="SimSun"/>
          <w:sz w:val="20"/>
          <w:szCs w:val="20"/>
        </w:rPr>
      </w:pPr>
      <w:r>
        <w:rPr>
          <w:rFonts w:ascii="SimSun" w:hAnsi="SimSun" w:eastAsia="SimSun" w:cs="SimSun"/>
          <w:sz w:val="20"/>
          <w:szCs w:val="20"/>
          <w:spacing w:val="-3"/>
        </w:rPr>
        <w:t>31</w:t>
      </w:r>
    </w:p>
    <w:p>
      <w:pPr>
        <w:pStyle w:val="BodyText"/>
        <w:spacing w:line="253" w:lineRule="auto"/>
        <w:rPr/>
      </w:pPr>
      <w:r/>
    </w:p>
    <w:p>
      <w:pPr>
        <w:ind w:left="2349"/>
        <w:spacing w:before="66" w:line="184" w:lineRule="auto"/>
        <w:rPr>
          <w:rFonts w:ascii="SimSun" w:hAnsi="SimSun" w:eastAsia="SimSun" w:cs="SimSun"/>
          <w:sz w:val="20"/>
          <w:szCs w:val="20"/>
        </w:rPr>
      </w:pPr>
      <w:r>
        <w:rPr>
          <w:rFonts w:ascii="SimSun" w:hAnsi="SimSun" w:eastAsia="SimSun" w:cs="SimSun"/>
          <w:sz w:val="20"/>
          <w:szCs w:val="20"/>
          <w:spacing w:val="-3"/>
        </w:rPr>
        <w:t>21</w:t>
      </w:r>
    </w:p>
    <w:p>
      <w:pPr>
        <w:pStyle w:val="BodyText"/>
        <w:spacing w:line="253" w:lineRule="auto"/>
        <w:rPr/>
      </w:pPr>
      <w:r/>
    </w:p>
    <w:p>
      <w:pPr>
        <w:ind w:left="2349"/>
        <w:spacing w:before="66" w:line="157" w:lineRule="auto"/>
        <w:rPr>
          <w:rFonts w:ascii="SimSun" w:hAnsi="SimSun" w:eastAsia="SimSun" w:cs="SimSun"/>
          <w:sz w:val="20"/>
          <w:szCs w:val="20"/>
        </w:rPr>
      </w:pPr>
      <w:r>
        <w:rPr>
          <w:rFonts w:ascii="SimSun" w:hAnsi="SimSun" w:eastAsia="SimSun" w:cs="SimSun"/>
          <w:sz w:val="20"/>
          <w:szCs w:val="20"/>
          <w:spacing w:val="-6"/>
        </w:rPr>
        <w:t>11</w:t>
      </w:r>
    </w:p>
    <w:p>
      <w:pPr>
        <w:pStyle w:val="BodyText"/>
        <w:spacing w:line="14" w:lineRule="auto"/>
        <w:rPr>
          <w:sz w:val="2"/>
        </w:rPr>
      </w:pPr>
      <w:r>
        <w:rPr>
          <w:sz w:val="2"/>
          <w:szCs w:val="2"/>
        </w:rPr>
        <w:br w:type="column"/>
      </w:r>
    </w:p>
    <w:p>
      <w:pPr>
        <w:spacing w:before="67" w:line="221" w:lineRule="auto"/>
        <w:rPr>
          <w:rFonts w:ascii="SimHei" w:hAnsi="SimHei" w:eastAsia="SimHei" w:cs="SimHei"/>
          <w:sz w:val="34"/>
          <w:szCs w:val="34"/>
        </w:rPr>
      </w:pPr>
      <w:r>
        <w:rPr>
          <w:rFonts w:ascii="SimHei" w:hAnsi="SimHei" w:eastAsia="SimHei" w:cs="SimHei"/>
          <w:sz w:val="34"/>
          <w:szCs w:val="34"/>
          <w:b/>
          <w:bCs/>
          <w:spacing w:val="25"/>
        </w:rPr>
        <w:t>上周监管机构监管数据统计(份)</w:t>
      </w:r>
    </w:p>
    <w:p>
      <w:pPr>
        <w:pStyle w:val="BodyText"/>
        <w:spacing w:line="251" w:lineRule="auto"/>
        <w:rPr/>
      </w:pPr>
      <w:r/>
    </w:p>
    <w:p>
      <w:pPr>
        <w:pStyle w:val="BodyText"/>
        <w:spacing w:line="251" w:lineRule="auto"/>
        <w:rPr/>
      </w:pPr>
      <w:r/>
    </w:p>
    <w:p>
      <w:pPr>
        <w:pStyle w:val="BodyText"/>
        <w:spacing w:line="251" w:lineRule="auto"/>
        <w:rPr/>
      </w:pPr>
      <w:r/>
    </w:p>
    <w:p>
      <w:pPr>
        <w:pStyle w:val="BodyText"/>
        <w:spacing w:line="252" w:lineRule="auto"/>
        <w:rPr/>
      </w:pPr>
      <w:r/>
    </w:p>
    <w:p>
      <w:pPr>
        <w:ind w:left="1945"/>
        <w:spacing w:before="66" w:line="183" w:lineRule="auto"/>
        <w:rPr>
          <w:rFonts w:ascii="SimSun" w:hAnsi="SimSun" w:eastAsia="SimSun" w:cs="SimSun"/>
          <w:sz w:val="20"/>
          <w:szCs w:val="20"/>
        </w:rPr>
      </w:pPr>
      <w:r>
        <w:rPr>
          <w:rFonts w:ascii="SimSun" w:hAnsi="SimSun" w:eastAsia="SimSun" w:cs="SimSun"/>
          <w:sz w:val="20"/>
          <w:szCs w:val="20"/>
          <w:spacing w:val="-3"/>
        </w:rPr>
        <w:t>26</w:t>
      </w:r>
    </w:p>
    <w:p>
      <w:pPr>
        <w:pStyle w:val="BodyText"/>
        <w:spacing w:line="353" w:lineRule="auto"/>
        <w:rPr/>
      </w:pPr>
      <w:r/>
    </w:p>
    <w:p>
      <w:pPr>
        <w:ind w:left="5477"/>
        <w:spacing w:before="65" w:line="184" w:lineRule="auto"/>
        <w:rPr>
          <w:rFonts w:ascii="SimSun" w:hAnsi="SimSun" w:eastAsia="SimSun" w:cs="SimSun"/>
          <w:sz w:val="20"/>
          <w:szCs w:val="20"/>
        </w:rPr>
      </w:pPr>
      <w:r>
        <w:rPr>
          <w:rFonts w:ascii="SimSun" w:hAnsi="SimSun" w:eastAsia="SimSun" w:cs="SimSun"/>
          <w:sz w:val="20"/>
          <w:szCs w:val="20"/>
          <w:b/>
          <w:bCs/>
          <w:spacing w:val="-8"/>
        </w:rPr>
        <w:t>14</w:t>
      </w:r>
    </w:p>
    <w:p>
      <w:pPr>
        <w:ind w:left="225"/>
        <w:spacing w:before="72" w:line="150" w:lineRule="exact"/>
        <w:rPr>
          <w:rFonts w:ascii="SimSun" w:hAnsi="SimSun" w:eastAsia="SimSun" w:cs="SimSun"/>
          <w:sz w:val="20"/>
          <w:szCs w:val="20"/>
        </w:rPr>
      </w:pPr>
      <w:r>
        <w:rPr>
          <w:rFonts w:ascii="SimSun" w:hAnsi="SimSun" w:eastAsia="SimSun" w:cs="SimSun"/>
          <w:sz w:val="20"/>
          <w:szCs w:val="20"/>
          <w:position w:val="-2"/>
        </w:rPr>
        <w:t>9</w:t>
      </w:r>
    </w:p>
    <w:p>
      <w:pPr>
        <w:ind w:left="3765"/>
        <w:spacing w:line="138" w:lineRule="exact"/>
        <w:rPr>
          <w:rFonts w:ascii="SimSun" w:hAnsi="SimSun" w:eastAsia="SimSun" w:cs="SimSun"/>
          <w:sz w:val="20"/>
          <w:szCs w:val="20"/>
        </w:rPr>
      </w:pPr>
      <w:r>
        <w:rPr>
          <w:rFonts w:ascii="SimSun" w:hAnsi="SimSun" w:eastAsia="SimSun" w:cs="SimSun"/>
          <w:sz w:val="20"/>
          <w:szCs w:val="20"/>
          <w:position w:val="-3"/>
        </w:rPr>
        <w:t>6</w:t>
      </w:r>
    </w:p>
    <w:p>
      <w:pPr>
        <w:spacing w:line="138" w:lineRule="exact"/>
        <w:sectPr>
          <w:type w:val="continuous"/>
          <w:pgSz w:w="11910" w:h="16840"/>
          <w:pgMar w:top="400" w:right="40" w:bottom="0" w:left="0" w:header="0" w:footer="0" w:gutter="0"/>
          <w:cols w:equalWidth="0" w:num="2">
            <w:col w:w="3225" w:space="100"/>
            <w:col w:w="8546" w:space="0"/>
          </w:cols>
        </w:sectPr>
        <w:rPr>
          <w:rFonts w:ascii="SimSun" w:hAnsi="SimSun" w:eastAsia="SimSun" w:cs="SimSun"/>
          <w:sz w:val="20"/>
          <w:szCs w:val="20"/>
        </w:rPr>
      </w:pPr>
    </w:p>
    <w:p>
      <w:pPr>
        <w:spacing w:before="155"/>
        <w:rPr/>
      </w:pPr>
      <w:r/>
    </w:p>
    <w:tbl>
      <w:tblPr>
        <w:tblStyle w:val="TableNormal"/>
        <w:tblW w:w="7750" w:type="dxa"/>
        <w:tblInd w:w="204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94"/>
        <w:gridCol w:w="1767"/>
        <w:gridCol w:w="1758"/>
        <w:gridCol w:w="1758"/>
        <w:gridCol w:w="1773"/>
      </w:tblGrid>
      <w:tr>
        <w:trPr>
          <w:trHeight w:val="390" w:hRule="atLeast"/>
        </w:trPr>
        <w:tc>
          <w:tcPr>
            <w:tcW w:w="694" w:type="dxa"/>
            <w:vAlign w:val="top"/>
          </w:tcPr>
          <w:p>
            <w:pPr>
              <w:ind w:left="455"/>
              <w:spacing w:before="63" w:line="184" w:lineRule="auto"/>
              <w:rPr>
                <w:rFonts w:ascii="SimSun" w:hAnsi="SimSun" w:eastAsia="SimSun" w:cs="SimSun"/>
                <w:sz w:val="20"/>
                <w:szCs w:val="20"/>
              </w:rPr>
            </w:pPr>
            <w:r>
              <w:rPr>
                <w:rFonts w:ascii="SimSun" w:hAnsi="SimSun" w:eastAsia="SimSun" w:cs="SimSun"/>
                <w:sz w:val="20"/>
                <w:szCs w:val="20"/>
              </w:rPr>
              <w:t>1</w:t>
            </w:r>
          </w:p>
        </w:tc>
        <w:tc>
          <w:tcPr>
            <w:tcW w:w="1767" w:type="dxa"/>
            <w:vAlign w:val="top"/>
          </w:tcPr>
          <w:p>
            <w:pPr>
              <w:ind w:left="571"/>
              <w:spacing w:before="101" w:line="219" w:lineRule="auto"/>
              <w:rPr>
                <w:rFonts w:ascii="SimSun" w:hAnsi="SimSun" w:eastAsia="SimSun" w:cs="SimSun"/>
                <w:sz w:val="20"/>
                <w:szCs w:val="20"/>
              </w:rPr>
            </w:pPr>
            <w:r>
              <w:rPr>
                <w:rFonts w:ascii="SimSun" w:hAnsi="SimSun" w:eastAsia="SimSun" w:cs="SimSun"/>
                <w:sz w:val="20"/>
                <w:szCs w:val="20"/>
                <w:spacing w:val="-2"/>
              </w:rPr>
              <w:t>证监会</w:t>
            </w:r>
          </w:p>
        </w:tc>
        <w:tc>
          <w:tcPr>
            <w:tcW w:w="1758" w:type="dxa"/>
            <w:vAlign w:val="top"/>
          </w:tcPr>
          <w:p>
            <w:pPr>
              <w:ind w:left="574"/>
              <w:spacing w:before="104" w:line="221" w:lineRule="auto"/>
              <w:rPr>
                <w:rFonts w:ascii="SimSun" w:hAnsi="SimSun" w:eastAsia="SimSun" w:cs="SimSun"/>
                <w:sz w:val="20"/>
                <w:szCs w:val="20"/>
              </w:rPr>
            </w:pPr>
            <w:r>
              <w:rPr>
                <w:rFonts w:ascii="SimSun" w:hAnsi="SimSun" w:eastAsia="SimSun" w:cs="SimSun"/>
                <w:sz w:val="20"/>
                <w:szCs w:val="20"/>
                <w:spacing w:val="6"/>
              </w:rPr>
              <w:t>证监局</w:t>
            </w:r>
          </w:p>
        </w:tc>
        <w:tc>
          <w:tcPr>
            <w:tcW w:w="1758" w:type="dxa"/>
            <w:vAlign w:val="top"/>
          </w:tcPr>
          <w:p>
            <w:pPr>
              <w:ind w:left="576"/>
              <w:spacing w:before="103" w:line="220" w:lineRule="auto"/>
              <w:rPr>
                <w:rFonts w:ascii="SimSun" w:hAnsi="SimSun" w:eastAsia="SimSun" w:cs="SimSun"/>
                <w:sz w:val="20"/>
                <w:szCs w:val="20"/>
              </w:rPr>
            </w:pPr>
            <w:r>
              <w:rPr>
                <w:rFonts w:ascii="SimSun" w:hAnsi="SimSun" w:eastAsia="SimSun" w:cs="SimSun"/>
                <w:sz w:val="20"/>
                <w:szCs w:val="20"/>
                <w:spacing w:val="-3"/>
              </w:rPr>
              <w:t>上交所</w:t>
            </w:r>
          </w:p>
        </w:tc>
        <w:tc>
          <w:tcPr>
            <w:tcW w:w="1773" w:type="dxa"/>
            <w:vAlign w:val="top"/>
          </w:tcPr>
          <w:p>
            <w:pPr>
              <w:ind w:left="578"/>
              <w:spacing w:before="103" w:line="220" w:lineRule="auto"/>
              <w:rPr>
                <w:rFonts w:ascii="SimSun" w:hAnsi="SimSun" w:eastAsia="SimSun" w:cs="SimSun"/>
                <w:sz w:val="20"/>
                <w:szCs w:val="20"/>
              </w:rPr>
            </w:pPr>
            <w:r>
              <w:rPr>
                <w:rFonts w:ascii="SimSun" w:hAnsi="SimSun" w:eastAsia="SimSun" w:cs="SimSun"/>
                <w:sz w:val="20"/>
                <w:szCs w:val="20"/>
                <w:spacing w:val="-2"/>
              </w:rPr>
              <w:t>深交所</w:t>
            </w:r>
          </w:p>
        </w:tc>
      </w:tr>
      <w:tr>
        <w:trPr>
          <w:trHeight w:val="400" w:hRule="atLeast"/>
        </w:trPr>
        <w:tc>
          <w:tcPr>
            <w:tcW w:w="694" w:type="dxa"/>
            <w:vAlign w:val="top"/>
          </w:tcPr>
          <w:p>
            <w:pPr>
              <w:ind w:left="55"/>
              <w:spacing w:before="100" w:line="219" w:lineRule="auto"/>
              <w:rPr>
                <w:rFonts w:ascii="SimSun" w:hAnsi="SimSun" w:eastAsia="SimSun" w:cs="SimSun"/>
                <w:sz w:val="20"/>
                <w:szCs w:val="20"/>
              </w:rPr>
            </w:pPr>
            <w:r>
              <w:rPr>
                <w:rFonts w:ascii="SimSun" w:hAnsi="SimSun" w:eastAsia="SimSun" w:cs="SimSun"/>
                <w:sz w:val="20"/>
                <w:szCs w:val="20"/>
                <w:spacing w:val="-19"/>
              </w:rPr>
              <w:t>目</w:t>
            </w:r>
            <w:r>
              <w:rPr>
                <w:rFonts w:ascii="SimSun" w:hAnsi="SimSun" w:eastAsia="SimSun" w:cs="SimSun"/>
                <w:sz w:val="20"/>
                <w:szCs w:val="20"/>
                <w:spacing w:val="-50"/>
              </w:rPr>
              <w:t xml:space="preserve"> </w:t>
            </w:r>
            <w:r>
              <w:rPr>
                <w:rFonts w:ascii="SimSun" w:hAnsi="SimSun" w:eastAsia="SimSun" w:cs="SimSun"/>
                <w:sz w:val="20"/>
                <w:szCs w:val="20"/>
                <w:b/>
                <w:bCs/>
                <w:spacing w:val="-19"/>
              </w:rPr>
              <w:t>份数</w:t>
            </w:r>
          </w:p>
        </w:tc>
        <w:tc>
          <w:tcPr>
            <w:tcW w:w="1767" w:type="dxa"/>
            <w:vAlign w:val="top"/>
          </w:tcPr>
          <w:p>
            <w:pPr>
              <w:ind w:left="821"/>
              <w:spacing w:before="154" w:line="183" w:lineRule="auto"/>
              <w:rPr>
                <w:rFonts w:ascii="SimSun" w:hAnsi="SimSun" w:eastAsia="SimSun" w:cs="SimSun"/>
                <w:sz w:val="20"/>
                <w:szCs w:val="20"/>
              </w:rPr>
            </w:pPr>
            <w:r>
              <w:rPr>
                <w:rFonts w:ascii="SimSun" w:hAnsi="SimSun" w:eastAsia="SimSun" w:cs="SimSun"/>
                <w:sz w:val="20"/>
                <w:szCs w:val="20"/>
              </w:rPr>
              <w:t>9</w:t>
            </w:r>
          </w:p>
        </w:tc>
        <w:tc>
          <w:tcPr>
            <w:tcW w:w="1758" w:type="dxa"/>
            <w:vAlign w:val="top"/>
          </w:tcPr>
          <w:p>
            <w:pPr>
              <w:ind w:left="773"/>
              <w:spacing w:before="154" w:line="183" w:lineRule="auto"/>
              <w:rPr>
                <w:rFonts w:ascii="SimSun" w:hAnsi="SimSun" w:eastAsia="SimSun" w:cs="SimSun"/>
                <w:sz w:val="20"/>
                <w:szCs w:val="20"/>
              </w:rPr>
            </w:pPr>
            <w:r>
              <w:rPr>
                <w:rFonts w:ascii="SimSun" w:hAnsi="SimSun" w:eastAsia="SimSun" w:cs="SimSun"/>
                <w:sz w:val="20"/>
                <w:szCs w:val="20"/>
                <w:spacing w:val="-3"/>
              </w:rPr>
              <w:t>26</w:t>
            </w:r>
          </w:p>
        </w:tc>
        <w:tc>
          <w:tcPr>
            <w:tcW w:w="1758" w:type="dxa"/>
            <w:vAlign w:val="top"/>
          </w:tcPr>
          <w:p>
            <w:pPr>
              <w:ind w:left="826"/>
              <w:spacing w:before="154" w:line="183" w:lineRule="auto"/>
              <w:rPr>
                <w:rFonts w:ascii="SimSun" w:hAnsi="SimSun" w:eastAsia="SimSun" w:cs="SimSun"/>
                <w:sz w:val="20"/>
                <w:szCs w:val="20"/>
              </w:rPr>
            </w:pPr>
            <w:r>
              <w:rPr>
                <w:rFonts w:ascii="SimSun" w:hAnsi="SimSun" w:eastAsia="SimSun" w:cs="SimSun"/>
                <w:sz w:val="20"/>
                <w:szCs w:val="20"/>
              </w:rPr>
              <w:t>6</w:t>
            </w:r>
          </w:p>
        </w:tc>
        <w:tc>
          <w:tcPr>
            <w:tcW w:w="1773" w:type="dxa"/>
            <w:vAlign w:val="top"/>
          </w:tcPr>
          <w:p>
            <w:pPr>
              <w:ind w:left="777"/>
              <w:spacing w:before="153" w:line="184" w:lineRule="auto"/>
              <w:rPr>
                <w:rFonts w:ascii="SimSun" w:hAnsi="SimSun" w:eastAsia="SimSun" w:cs="SimSun"/>
                <w:sz w:val="20"/>
                <w:szCs w:val="20"/>
              </w:rPr>
            </w:pPr>
            <w:r>
              <w:rPr>
                <w:rFonts w:ascii="SimSun" w:hAnsi="SimSun" w:eastAsia="SimSun" w:cs="SimSun"/>
                <w:sz w:val="20"/>
                <w:szCs w:val="20"/>
                <w:spacing w:val="-6"/>
              </w:rPr>
              <w:t>14</w:t>
            </w:r>
          </w:p>
        </w:tc>
      </w:tr>
    </w:tbl>
    <w:p>
      <w:pPr>
        <w:ind w:firstLine="1839"/>
        <w:spacing w:before="165" w:line="4940" w:lineRule="exact"/>
        <w:rPr/>
      </w:pPr>
      <w:r>
        <w:rPr>
          <w:position w:val="-98"/>
        </w:rPr>
        <w:drawing>
          <wp:inline distT="0" distB="0" distL="0" distR="0">
            <wp:extent cx="5207022" cy="3136908"/>
            <wp:effectExtent l="0" t="0" r="0" b="0"/>
            <wp:docPr id="26" name="IM 26"/>
            <wp:cNvGraphicFramePr/>
            <a:graphic>
              <a:graphicData uri="http://schemas.openxmlformats.org/drawingml/2006/picture">
                <pic:pic>
                  <pic:nvPicPr>
                    <pic:cNvPr id="26" name="IM 26"/>
                    <pic:cNvPicPr/>
                  </pic:nvPicPr>
                  <pic:blipFill>
                    <a:blip r:embed="rId16"/>
                    <a:stretch>
                      <a:fillRect/>
                    </a:stretch>
                  </pic:blipFill>
                  <pic:spPr>
                    <a:xfrm rot="0">
                      <a:off x="0" y="0"/>
                      <a:ext cx="5207022" cy="3136908"/>
                    </a:xfrm>
                    <a:prstGeom prst="rect">
                      <a:avLst/>
                    </a:prstGeom>
                  </pic:spPr>
                </pic:pic>
              </a:graphicData>
            </a:graphic>
          </wp:inline>
        </w:drawing>
      </w:r>
    </w:p>
    <w:p>
      <w:pPr>
        <w:spacing w:line="4940" w:lineRule="exact"/>
        <w:sectPr>
          <w:type w:val="continuous"/>
          <w:pgSz w:w="11910" w:h="16840"/>
          <w:pgMar w:top="400" w:right="40" w:bottom="0" w:left="0" w:header="0" w:footer="0" w:gutter="0"/>
          <w:cols w:equalWidth="0" w:num="1">
            <w:col w:w="11870" w:space="0"/>
          </w:cols>
        </w:sectPr>
        <w:rPr/>
      </w:pPr>
    </w:p>
    <w:p>
      <w:pPr>
        <w:spacing w:before="10" w:line="819" w:lineRule="exact"/>
        <w:rPr/>
      </w:pPr>
      <w:r>
        <w:rPr>
          <w:position w:val="-16"/>
        </w:rPr>
        <w:pict>
          <v:shape id="_x0000_s12" style="mso-position-vertical-relative:line;mso-position-horizontal-relative:char;width:189pt;height:41pt;" fillcolor="#B71C2C" filled="true" stroked="false" type="#_x0000_t202">
            <v:fill on="true"/>
            <v:stroke on="false"/>
            <v:path/>
            <v:imagedata o:title=""/>
            <o:lock v:ext="edit" aspectratio="false"/>
            <v:textbox inset="0mm,0mm,0mm,0mm">
              <w:txbxContent>
                <w:p>
                  <w:pPr>
                    <w:ind w:left="403"/>
                    <w:spacing w:before="245" w:line="222" w:lineRule="auto"/>
                    <w:rPr>
                      <w:rFonts w:ascii="SimHei" w:hAnsi="SimHei" w:eastAsia="SimHei" w:cs="SimHei"/>
                      <w:sz w:val="29"/>
                      <w:szCs w:val="29"/>
                    </w:rPr>
                  </w:pPr>
                  <w:r>
                    <w:rPr>
                      <w:rFonts w:ascii="SimHei" w:hAnsi="SimHei" w:eastAsia="SimHei" w:cs="SimHei"/>
                      <w:sz w:val="29"/>
                      <w:szCs w:val="29"/>
                      <w:b/>
                      <w:bCs/>
                      <w:color w:val="FFFFFF"/>
                      <w:spacing w:val="-12"/>
                    </w:rPr>
                    <w:t>证监会证监局监管动态</w:t>
                  </w:r>
                </w:p>
              </w:txbxContent>
            </v:textbox>
          </v:shape>
        </w:pict>
      </w:r>
    </w:p>
    <w:p>
      <w:pPr>
        <w:pStyle w:val="BodyText"/>
        <w:spacing w:line="350" w:lineRule="auto"/>
        <w:rPr/>
      </w:pPr>
      <w:r/>
    </w:p>
    <w:p>
      <w:pPr>
        <w:ind w:left="379" w:firstLine="450"/>
        <w:spacing w:before="75" w:line="259" w:lineRule="auto"/>
        <w:rPr>
          <w:rFonts w:ascii="SimHei" w:hAnsi="SimHei" w:eastAsia="SimHei" w:cs="SimHei"/>
          <w:sz w:val="23"/>
          <w:szCs w:val="23"/>
        </w:rPr>
      </w:pPr>
      <w:r>
        <w:rPr>
          <w:rFonts w:ascii="SimHei" w:hAnsi="SimHei" w:eastAsia="SimHei" w:cs="SimHei"/>
          <w:sz w:val="23"/>
          <w:szCs w:val="23"/>
        </w:rPr>
        <w:t>2024年1月8日-1月14日，证监会</w:t>
      </w:r>
      <w:r>
        <w:rPr>
          <w:rFonts w:ascii="SimHei" w:hAnsi="SimHei" w:eastAsia="SimHei" w:cs="SimHei"/>
          <w:sz w:val="23"/>
          <w:szCs w:val="23"/>
          <w:spacing w:val="-1"/>
        </w:rPr>
        <w:t>对3个对象进行立案调查，作出6份行政监管措施决定书；证监局作出13份</w:t>
      </w:r>
      <w:r>
        <w:rPr>
          <w:rFonts w:ascii="SimHei" w:hAnsi="SimHei" w:eastAsia="SimHei" w:cs="SimHei"/>
          <w:sz w:val="23"/>
          <w:szCs w:val="23"/>
        </w:rPr>
        <w:t xml:space="preserve"> </w:t>
      </w:r>
      <w:r>
        <w:rPr>
          <w:rFonts w:ascii="SimHei" w:hAnsi="SimHei" w:eastAsia="SimHei" w:cs="SimHei"/>
          <w:sz w:val="23"/>
          <w:szCs w:val="23"/>
          <w:spacing w:val="-9"/>
        </w:rPr>
        <w:t>行政处罚及市场禁入决定书，2份行政处罚决定事先告知书，11份行政监管措施决定</w:t>
      </w:r>
      <w:r>
        <w:rPr>
          <w:rFonts w:ascii="SimHei" w:hAnsi="SimHei" w:eastAsia="SimHei" w:cs="SimHei"/>
          <w:sz w:val="23"/>
          <w:szCs w:val="23"/>
          <w:spacing w:val="-10"/>
        </w:rPr>
        <w:t>书。</w:t>
      </w:r>
    </w:p>
    <w:p>
      <w:pPr>
        <w:pStyle w:val="BodyText"/>
        <w:spacing w:line="285" w:lineRule="auto"/>
        <w:rPr/>
      </w:pPr>
      <w:r/>
    </w:p>
    <w:p>
      <w:pPr>
        <w:ind w:left="983"/>
        <w:spacing w:before="75" w:line="222" w:lineRule="auto"/>
        <w:rPr>
          <w:rFonts w:ascii="SimHei" w:hAnsi="SimHei" w:eastAsia="SimHei" w:cs="SimHei"/>
          <w:sz w:val="23"/>
          <w:szCs w:val="23"/>
        </w:rPr>
      </w:pPr>
      <w:r>
        <w:rPr>
          <w:rFonts w:ascii="SimHei" w:hAnsi="SimHei" w:eastAsia="SimHei" w:cs="SimHei"/>
          <w:sz w:val="23"/>
          <w:szCs w:val="23"/>
          <w:b/>
          <w:bCs/>
          <w:spacing w:val="13"/>
        </w:rPr>
        <w:t>(1)行政处罚及市场禁入决定书</w:t>
      </w:r>
    </w:p>
    <w:p>
      <w:pPr>
        <w:spacing w:before="22"/>
        <w:rPr/>
      </w:pPr>
      <w:r/>
    </w:p>
    <w:tbl>
      <w:tblPr>
        <w:tblStyle w:val="TableNormal"/>
        <w:tblW w:w="8033" w:type="dxa"/>
        <w:tblInd w:w="186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194"/>
        <w:gridCol w:w="1328"/>
        <w:gridCol w:w="5511"/>
      </w:tblGrid>
      <w:tr>
        <w:trPr>
          <w:trHeight w:val="385" w:hRule="atLeast"/>
        </w:trPr>
        <w:tc>
          <w:tcPr>
            <w:shd w:val="clear" w:fill="4F81BD"/>
            <w:tcW w:w="8033" w:type="dxa"/>
            <w:vAlign w:val="top"/>
            <w:gridSpan w:val="3"/>
          </w:tcPr>
          <w:p>
            <w:pPr>
              <w:pStyle w:val="TableText"/>
              <w:ind w:left="217"/>
              <w:spacing w:before="100" w:line="227" w:lineRule="auto"/>
              <w:rPr/>
            </w:pPr>
            <w:r>
              <w:rPr>
                <w:b/>
                <w:bCs/>
                <w:color w:val="FFFFFF"/>
                <w:spacing w:val="-6"/>
              </w:rPr>
              <w:t>公司代码</w:t>
            </w:r>
            <w:r>
              <w:rPr>
                <w:color w:val="FFFFFF"/>
                <w:spacing w:val="26"/>
              </w:rPr>
              <w:t xml:space="preserve">   </w:t>
            </w:r>
            <w:r>
              <w:rPr>
                <w:b/>
                <w:bCs/>
                <w:color w:val="FFFFFF"/>
                <w:spacing w:val="-6"/>
              </w:rPr>
              <w:t>公司简称</w:t>
            </w:r>
            <w:r>
              <w:rPr>
                <w:color w:val="FFFFFF"/>
                <w:spacing w:val="2"/>
              </w:rPr>
              <w:t xml:space="preserve">                        </w:t>
            </w:r>
            <w:r>
              <w:rPr>
                <w:b/>
                <w:bCs/>
                <w:color w:val="FFFFFF"/>
                <w:spacing w:val="-6"/>
                <w:position w:val="1"/>
              </w:rPr>
              <w:t>违规行为</w:t>
            </w:r>
          </w:p>
        </w:tc>
      </w:tr>
      <w:tr>
        <w:trPr>
          <w:trHeight w:val="1089" w:hRule="atLeast"/>
        </w:trPr>
        <w:tc>
          <w:tcPr>
            <w:shd w:val="clear" w:fill="B8CCE4"/>
            <w:tcW w:w="1194" w:type="dxa"/>
            <w:vAlign w:val="top"/>
          </w:tcPr>
          <w:p>
            <w:pPr>
              <w:spacing w:line="422" w:lineRule="auto"/>
              <w:rPr>
                <w:rFonts w:ascii="Arial"/>
                <w:sz w:val="21"/>
              </w:rPr>
            </w:pPr>
            <w:r/>
          </w:p>
          <w:p>
            <w:pPr>
              <w:pStyle w:val="TableText"/>
              <w:ind w:left="275"/>
              <w:spacing w:before="68" w:line="183" w:lineRule="auto"/>
              <w:rPr/>
            </w:pPr>
            <w:r>
              <w:rPr>
                <w:spacing w:val="-2"/>
              </w:rPr>
              <w:t>600290</w:t>
            </w:r>
          </w:p>
        </w:tc>
        <w:tc>
          <w:tcPr>
            <w:shd w:val="clear" w:fill="B8CCE4"/>
            <w:tcW w:w="1328" w:type="dxa"/>
            <w:vAlign w:val="top"/>
          </w:tcPr>
          <w:p>
            <w:pPr>
              <w:spacing w:line="368" w:lineRule="auto"/>
              <w:rPr>
                <w:rFonts w:ascii="Arial"/>
                <w:sz w:val="21"/>
              </w:rPr>
            </w:pPr>
            <w:r/>
          </w:p>
          <w:p>
            <w:pPr>
              <w:pStyle w:val="TableText"/>
              <w:ind w:left="280"/>
              <w:spacing w:before="68" w:line="219" w:lineRule="auto"/>
              <w:rPr/>
            </w:pPr>
            <w:r>
              <w:rPr>
                <w:spacing w:val="4"/>
              </w:rPr>
              <w:t>*</w:t>
            </w:r>
            <w:r>
              <w:rPr/>
              <w:t>ST</w:t>
            </w:r>
            <w:r>
              <w:rPr>
                <w:spacing w:val="4"/>
              </w:rPr>
              <w:t>华仪</w:t>
            </w:r>
          </w:p>
        </w:tc>
        <w:tc>
          <w:tcPr>
            <w:shd w:val="clear" w:fill="B7CBE3"/>
            <w:tcW w:w="5511" w:type="dxa"/>
            <w:vAlign w:val="top"/>
          </w:tcPr>
          <w:p>
            <w:pPr>
              <w:pStyle w:val="TableText"/>
              <w:ind w:left="132"/>
              <w:spacing w:before="136" w:line="218" w:lineRule="auto"/>
              <w:rPr/>
            </w:pPr>
            <w:r>
              <w:rPr/>
              <w:t>2017年年度报告、2018年年度报告、2019年年度报</w:t>
            </w:r>
          </w:p>
          <w:p>
            <w:pPr>
              <w:pStyle w:val="TableText"/>
              <w:ind w:left="132"/>
              <w:spacing w:before="82" w:line="377" w:lineRule="exact"/>
              <w:rPr/>
            </w:pPr>
            <w:r>
              <w:rPr>
                <w:position w:val="12"/>
              </w:rPr>
              <w:t>告、2020年年度报告、2021年年度报告、2022年年度</w:t>
            </w:r>
          </w:p>
          <w:p>
            <w:pPr>
              <w:pStyle w:val="TableText"/>
              <w:ind w:left="132"/>
              <w:spacing w:before="1" w:line="205" w:lineRule="auto"/>
              <w:rPr/>
            </w:pPr>
            <w:r>
              <w:rPr>
                <w:spacing w:val="-3"/>
              </w:rPr>
              <w:t>报告存在</w:t>
            </w:r>
            <w:r>
              <w:rPr>
                <w:b/>
                <w:bCs/>
                <w:spacing w:val="-3"/>
              </w:rPr>
              <w:t>虚假记载。</w:t>
            </w:r>
          </w:p>
        </w:tc>
      </w:tr>
      <w:tr>
        <w:trPr>
          <w:trHeight w:val="739" w:hRule="atLeast"/>
        </w:trPr>
        <w:tc>
          <w:tcPr>
            <w:tcW w:w="8033" w:type="dxa"/>
            <w:vAlign w:val="top"/>
            <w:gridSpan w:val="3"/>
          </w:tcPr>
          <w:p>
            <w:pPr>
              <w:pStyle w:val="TableText"/>
              <w:ind w:left="213" w:hanging="101"/>
              <w:spacing w:before="116" w:line="268" w:lineRule="auto"/>
              <w:rPr/>
            </w:pPr>
            <w:r>
              <w:rPr>
                <w:b/>
                <w:bCs/>
                <w:spacing w:val="-2"/>
              </w:rPr>
              <w:t>【行政处罚决定】</w:t>
            </w:r>
            <w:r>
              <w:rPr>
                <w:spacing w:val="-2"/>
              </w:rPr>
              <w:t>中国证券监督管理委员会浙江监管局决</w:t>
            </w:r>
            <w:r>
              <w:rPr>
                <w:spacing w:val="-3"/>
              </w:rPr>
              <w:t>定：对华仪电气股份有限公司</w:t>
            </w:r>
            <w:r>
              <w:rPr/>
              <w:t xml:space="preserve"> </w:t>
            </w:r>
            <w:r>
              <w:rPr>
                <w:spacing w:val="-1"/>
              </w:rPr>
              <w:t>责令改正，给予警告，并处以300万元罚款。</w:t>
            </w:r>
          </w:p>
        </w:tc>
      </w:tr>
      <w:tr>
        <w:trPr>
          <w:trHeight w:val="360" w:hRule="atLeast"/>
        </w:trPr>
        <w:tc>
          <w:tcPr>
            <w:shd w:val="clear" w:fill="B8CCE4"/>
            <w:tcW w:w="1194" w:type="dxa"/>
            <w:vAlign w:val="top"/>
          </w:tcPr>
          <w:p>
            <w:pPr>
              <w:pStyle w:val="TableText"/>
              <w:ind w:left="275"/>
              <w:spacing w:before="134" w:line="183" w:lineRule="auto"/>
              <w:rPr/>
            </w:pPr>
            <w:r>
              <w:rPr>
                <w:spacing w:val="-2"/>
              </w:rPr>
              <w:t>688086</w:t>
            </w:r>
          </w:p>
        </w:tc>
        <w:tc>
          <w:tcPr>
            <w:shd w:val="clear" w:fill="B7CBE3"/>
            <w:tcW w:w="1328" w:type="dxa"/>
            <w:vAlign w:val="top"/>
          </w:tcPr>
          <w:p>
            <w:pPr>
              <w:pStyle w:val="TableText"/>
              <w:ind w:left="231"/>
              <w:spacing w:before="80" w:line="219" w:lineRule="auto"/>
              <w:rPr/>
            </w:pPr>
            <w:r>
              <w:rPr>
                <w:spacing w:val="4"/>
              </w:rPr>
              <w:t>退市紫晶</w:t>
            </w:r>
          </w:p>
        </w:tc>
        <w:tc>
          <w:tcPr>
            <w:shd w:val="clear" w:fill="B8CCE4"/>
            <w:tcW w:w="5511" w:type="dxa"/>
            <w:vAlign w:val="top"/>
          </w:tcPr>
          <w:p>
            <w:pPr>
              <w:pStyle w:val="TableText"/>
              <w:ind w:left="132"/>
              <w:spacing w:before="75" w:line="218" w:lineRule="auto"/>
              <w:rPr/>
            </w:pPr>
            <w:r>
              <w:rPr>
                <w:spacing w:val="-2"/>
              </w:rPr>
              <w:t>紫晶存储未在法定期限内披露公司</w:t>
            </w:r>
            <w:r>
              <w:rPr>
                <w:b/>
                <w:bCs/>
                <w:spacing w:val="-2"/>
              </w:rPr>
              <w:t>2022年年度报告。</w:t>
            </w:r>
          </w:p>
        </w:tc>
      </w:tr>
      <w:tr>
        <w:trPr>
          <w:trHeight w:val="1089" w:hRule="atLeast"/>
        </w:trPr>
        <w:tc>
          <w:tcPr>
            <w:tcW w:w="8033" w:type="dxa"/>
            <w:vAlign w:val="top"/>
            <w:gridSpan w:val="3"/>
          </w:tcPr>
          <w:p>
            <w:pPr>
              <w:pStyle w:val="TableText"/>
              <w:ind w:left="213" w:right="237" w:hanging="101"/>
              <w:spacing w:before="126" w:line="279" w:lineRule="auto"/>
              <w:jc w:val="both"/>
              <w:rPr/>
            </w:pPr>
            <w:r>
              <w:rPr>
                <w:b/>
                <w:bCs/>
                <w:spacing w:val="2"/>
              </w:rPr>
              <w:t>【行政处罚决定】</w:t>
            </w:r>
            <w:r>
              <w:rPr>
                <w:spacing w:val="2"/>
              </w:rPr>
              <w:t>广东证监局决定：对广东紫晶信息存储技术股份有限公司责令改</w:t>
            </w:r>
            <w:r>
              <w:rPr>
                <w:spacing w:val="3"/>
              </w:rPr>
              <w:t xml:space="preserve"> </w:t>
            </w:r>
            <w:r>
              <w:rPr/>
              <w:t>正，给予警告，并处以50万元罚款。对紫晶存储上述违法行为负有责任的人员另案</w:t>
            </w:r>
            <w:r>
              <w:rPr>
                <w:spacing w:val="9"/>
              </w:rPr>
              <w:t xml:space="preserve"> </w:t>
            </w:r>
            <w:r>
              <w:rPr>
                <w:spacing w:val="-2"/>
              </w:rPr>
              <w:t>处理。</w:t>
            </w:r>
          </w:p>
        </w:tc>
      </w:tr>
      <w:tr>
        <w:trPr>
          <w:trHeight w:val="719" w:hRule="atLeast"/>
        </w:trPr>
        <w:tc>
          <w:tcPr>
            <w:shd w:val="clear" w:fill="B8CCE4"/>
            <w:tcW w:w="1194" w:type="dxa"/>
            <w:vAlign w:val="top"/>
          </w:tcPr>
          <w:p>
            <w:pPr>
              <w:spacing w:line="246" w:lineRule="auto"/>
              <w:rPr>
                <w:rFonts w:ascii="Arial"/>
                <w:sz w:val="21"/>
              </w:rPr>
            </w:pPr>
            <w:r/>
          </w:p>
          <w:p>
            <w:pPr>
              <w:pStyle w:val="TableText"/>
              <w:ind w:left="275"/>
              <w:spacing w:before="68" w:line="183" w:lineRule="auto"/>
              <w:rPr/>
            </w:pPr>
            <w:r>
              <w:rPr>
                <w:spacing w:val="-2"/>
              </w:rPr>
              <w:t>300078</w:t>
            </w:r>
          </w:p>
        </w:tc>
        <w:tc>
          <w:tcPr>
            <w:shd w:val="clear" w:fill="B8CCE4"/>
            <w:tcW w:w="1328" w:type="dxa"/>
            <w:vAlign w:val="top"/>
          </w:tcPr>
          <w:p>
            <w:pPr>
              <w:pStyle w:val="TableText"/>
              <w:ind w:left="231"/>
              <w:spacing w:before="265" w:line="222" w:lineRule="auto"/>
              <w:rPr/>
            </w:pPr>
            <w:r>
              <w:rPr>
                <w:spacing w:val="5"/>
              </w:rPr>
              <w:t>思创医惠</w:t>
            </w:r>
          </w:p>
        </w:tc>
        <w:tc>
          <w:tcPr>
            <w:shd w:val="clear" w:fill="B7CCE3"/>
            <w:tcW w:w="5511" w:type="dxa"/>
            <w:vAlign w:val="top"/>
          </w:tcPr>
          <w:p>
            <w:pPr>
              <w:pStyle w:val="TableText"/>
              <w:ind w:left="135" w:right="545"/>
              <w:spacing w:before="128" w:line="255" w:lineRule="auto"/>
              <w:rPr/>
            </w:pPr>
            <w:r>
              <w:rPr>
                <w:b/>
                <w:bCs/>
                <w:spacing w:val="-2"/>
              </w:rPr>
              <w:t>公开发行文件</w:t>
            </w:r>
            <w:r>
              <w:rPr>
                <w:spacing w:val="-2"/>
              </w:rPr>
              <w:t>编造重大虚假内容；</w:t>
            </w:r>
            <w:r>
              <w:rPr>
                <w:b/>
                <w:bCs/>
                <w:spacing w:val="-2"/>
              </w:rPr>
              <w:t>2019年、2020年年</w:t>
            </w:r>
            <w:r>
              <w:rPr>
                <w:spacing w:val="2"/>
              </w:rPr>
              <w:t xml:space="preserve"> </w:t>
            </w:r>
            <w:r>
              <w:rPr>
                <w:b/>
                <w:bCs/>
                <w:spacing w:val="-2"/>
              </w:rPr>
              <w:t>度报告</w:t>
            </w:r>
            <w:r>
              <w:rPr>
                <w:spacing w:val="-2"/>
              </w:rPr>
              <w:t>存在虚假记载。</w:t>
            </w:r>
          </w:p>
        </w:tc>
      </w:tr>
      <w:tr>
        <w:trPr>
          <w:trHeight w:val="1109" w:hRule="atLeast"/>
        </w:trPr>
        <w:tc>
          <w:tcPr>
            <w:tcW w:w="8033" w:type="dxa"/>
            <w:vAlign w:val="top"/>
            <w:gridSpan w:val="3"/>
          </w:tcPr>
          <w:p>
            <w:pPr>
              <w:pStyle w:val="TableText"/>
              <w:ind w:left="112"/>
              <w:spacing w:before="128" w:line="219" w:lineRule="auto"/>
              <w:rPr/>
            </w:pPr>
            <w:r>
              <w:rPr>
                <w:b/>
                <w:bCs/>
                <w:spacing w:val="3"/>
              </w:rPr>
              <w:t>【行政处罚决定】</w:t>
            </w:r>
            <w:r>
              <w:rPr>
                <w:spacing w:val="3"/>
              </w:rPr>
              <w:t>中国证券监督管理委员会浙江监管局</w:t>
            </w:r>
            <w:r>
              <w:rPr>
                <w:spacing w:val="2"/>
              </w:rPr>
              <w:t>决定：</w:t>
            </w:r>
          </w:p>
          <w:p>
            <w:pPr>
              <w:pStyle w:val="TableText"/>
              <w:ind w:left="214" w:right="353"/>
              <w:spacing w:before="110" w:line="268" w:lineRule="auto"/>
              <w:rPr/>
            </w:pPr>
            <w:r>
              <w:rPr>
                <w:spacing w:val="3"/>
              </w:rPr>
              <w:t>1、对思创医惠科技股份有限公司责令改正，给予警告，并处</w:t>
            </w:r>
            <w:r>
              <w:rPr>
                <w:spacing w:val="2"/>
              </w:rPr>
              <w:t>以8,570万元罚款；</w:t>
            </w:r>
            <w:r>
              <w:rPr/>
              <w:t xml:space="preserve"> </w:t>
            </w:r>
            <w:r>
              <w:rPr/>
              <w:t>2、对时任董事长，时任总经理章某中给予警告，并处以7</w:t>
            </w:r>
            <w:r>
              <w:rPr>
                <w:spacing w:val="-1"/>
              </w:rPr>
              <w:t>50万元罚款。</w:t>
            </w:r>
          </w:p>
        </w:tc>
      </w:tr>
      <w:tr>
        <w:trPr>
          <w:trHeight w:val="700" w:hRule="atLeast"/>
        </w:trPr>
        <w:tc>
          <w:tcPr>
            <w:shd w:val="clear" w:fill="B8CCE4"/>
            <w:tcW w:w="1194" w:type="dxa"/>
            <w:vAlign w:val="top"/>
          </w:tcPr>
          <w:p>
            <w:pPr>
              <w:pStyle w:val="TableText"/>
              <w:ind w:left="275"/>
              <w:spacing w:before="307" w:line="183" w:lineRule="auto"/>
              <w:rPr/>
            </w:pPr>
            <w:r>
              <w:rPr>
                <w:spacing w:val="-2"/>
              </w:rPr>
              <w:t>300266</w:t>
            </w:r>
          </w:p>
        </w:tc>
        <w:tc>
          <w:tcPr>
            <w:shd w:val="clear" w:fill="B8CCE4"/>
            <w:tcW w:w="1328" w:type="dxa"/>
            <w:vAlign w:val="top"/>
          </w:tcPr>
          <w:p>
            <w:pPr>
              <w:pStyle w:val="TableText"/>
              <w:ind w:left="231"/>
              <w:spacing w:before="254" w:line="220" w:lineRule="auto"/>
              <w:rPr/>
            </w:pPr>
            <w:r>
              <w:rPr>
                <w:spacing w:val="2"/>
              </w:rPr>
              <w:t>兴源环境</w:t>
            </w:r>
          </w:p>
        </w:tc>
        <w:tc>
          <w:tcPr>
            <w:shd w:val="clear" w:fill="B7CBE3"/>
            <w:tcW w:w="5511" w:type="dxa"/>
            <w:vAlign w:val="top"/>
          </w:tcPr>
          <w:p>
            <w:pPr>
              <w:pStyle w:val="TableText"/>
              <w:ind w:left="132"/>
              <w:spacing w:before="103" w:line="219" w:lineRule="auto"/>
              <w:rPr/>
            </w:pPr>
            <w:r>
              <w:rPr/>
              <w:t>兴源环境2016年至2022年年报财务数据及相关披露存</w:t>
            </w:r>
          </w:p>
          <w:p>
            <w:pPr>
              <w:pStyle w:val="TableText"/>
              <w:ind w:left="135"/>
              <w:spacing w:before="86" w:line="219" w:lineRule="auto"/>
              <w:rPr/>
            </w:pPr>
            <w:r>
              <w:rPr>
                <w:b/>
                <w:bCs/>
                <w:spacing w:val="-4"/>
              </w:rPr>
              <w:t>在虚假记载。</w:t>
            </w:r>
          </w:p>
        </w:tc>
      </w:tr>
      <w:tr>
        <w:trPr>
          <w:trHeight w:val="1109" w:hRule="atLeast"/>
        </w:trPr>
        <w:tc>
          <w:tcPr>
            <w:tcW w:w="8033" w:type="dxa"/>
            <w:vAlign w:val="top"/>
            <w:gridSpan w:val="3"/>
          </w:tcPr>
          <w:p>
            <w:pPr>
              <w:pStyle w:val="TableText"/>
              <w:ind w:left="112"/>
              <w:spacing w:before="119" w:line="219" w:lineRule="auto"/>
              <w:rPr/>
            </w:pPr>
            <w:r>
              <w:rPr>
                <w:b/>
                <w:bCs/>
                <w:spacing w:val="3"/>
              </w:rPr>
              <w:t>【行政处罚决定】</w:t>
            </w:r>
            <w:r>
              <w:rPr>
                <w:spacing w:val="3"/>
              </w:rPr>
              <w:t>中国证券监督管理委员会浙江监管局</w:t>
            </w:r>
            <w:r>
              <w:rPr>
                <w:spacing w:val="2"/>
              </w:rPr>
              <w:t>决定：</w:t>
            </w:r>
          </w:p>
          <w:p>
            <w:pPr>
              <w:pStyle w:val="TableText"/>
              <w:ind w:left="214"/>
              <w:spacing w:before="112" w:line="380" w:lineRule="exact"/>
              <w:rPr/>
            </w:pPr>
            <w:r>
              <w:rPr>
                <w:spacing w:val="3"/>
                <w:position w:val="12"/>
              </w:rPr>
              <w:t>(一)对兴源环境科技股份有限公司责令改正</w:t>
            </w:r>
            <w:r>
              <w:rPr>
                <w:color w:val="002781"/>
                <w:spacing w:val="3"/>
                <w:position w:val="12"/>
              </w:rPr>
              <w:t>，给</w:t>
            </w:r>
            <w:r>
              <w:rPr>
                <w:spacing w:val="3"/>
                <w:position w:val="12"/>
              </w:rPr>
              <w:t>予警告</w:t>
            </w:r>
            <w:r>
              <w:rPr>
                <w:spacing w:val="2"/>
                <w:position w:val="12"/>
              </w:rPr>
              <w:t>，并处以200万元罚款；</w:t>
            </w:r>
          </w:p>
          <w:p>
            <w:pPr>
              <w:pStyle w:val="TableText"/>
              <w:ind w:left="214"/>
              <w:spacing w:line="208" w:lineRule="auto"/>
              <w:rPr/>
            </w:pPr>
            <w:r>
              <w:rPr/>
              <w:t>二)对财务总监孙某给予警告，并处以80万元罚</w:t>
            </w:r>
            <w:r>
              <w:rPr>
                <w:spacing w:val="-1"/>
              </w:rPr>
              <w:t>款。</w:t>
            </w:r>
          </w:p>
        </w:tc>
      </w:tr>
      <w:tr>
        <w:trPr>
          <w:trHeight w:val="709" w:hRule="atLeast"/>
        </w:trPr>
        <w:tc>
          <w:tcPr>
            <w:shd w:val="clear" w:fill="B8CCE4"/>
            <w:tcW w:w="1194" w:type="dxa"/>
            <w:vAlign w:val="top"/>
          </w:tcPr>
          <w:p>
            <w:pPr>
              <w:pStyle w:val="TableText"/>
              <w:ind w:left="275"/>
              <w:spacing w:before="308" w:line="183" w:lineRule="auto"/>
              <w:rPr/>
            </w:pPr>
            <w:r>
              <w:rPr>
                <w:spacing w:val="-2"/>
              </w:rPr>
              <w:t>300078</w:t>
            </w:r>
          </w:p>
        </w:tc>
        <w:tc>
          <w:tcPr>
            <w:shd w:val="clear" w:fill="B8CCE4"/>
            <w:tcW w:w="1328" w:type="dxa"/>
            <w:vAlign w:val="top"/>
          </w:tcPr>
          <w:p>
            <w:pPr>
              <w:pStyle w:val="TableText"/>
              <w:ind w:left="231"/>
              <w:spacing w:before="257" w:line="222" w:lineRule="auto"/>
              <w:rPr/>
            </w:pPr>
            <w:r>
              <w:rPr>
                <w:spacing w:val="5"/>
              </w:rPr>
              <w:t>思创医惠</w:t>
            </w:r>
          </w:p>
        </w:tc>
        <w:tc>
          <w:tcPr>
            <w:shd w:val="clear" w:fill="B7CBE3"/>
            <w:tcW w:w="5511" w:type="dxa"/>
            <w:vAlign w:val="top"/>
          </w:tcPr>
          <w:p>
            <w:pPr>
              <w:pStyle w:val="TableText"/>
              <w:ind w:left="134" w:right="555" w:hanging="9"/>
              <w:spacing w:before="112" w:line="258" w:lineRule="auto"/>
              <w:rPr/>
            </w:pPr>
            <w:r>
              <w:rPr>
                <w:b/>
                <w:bCs/>
                <w:spacing w:val="-2"/>
              </w:rPr>
              <w:t>公开发行文件</w:t>
            </w:r>
            <w:r>
              <w:rPr>
                <w:spacing w:val="-2"/>
              </w:rPr>
              <w:t>编造重大虚假内容；</w:t>
            </w:r>
            <w:r>
              <w:rPr>
                <w:b/>
                <w:bCs/>
                <w:spacing w:val="-2"/>
              </w:rPr>
              <w:t>2019年、2020年年</w:t>
            </w:r>
            <w:r>
              <w:rPr>
                <w:spacing w:val="2"/>
              </w:rPr>
              <w:t xml:space="preserve"> </w:t>
            </w:r>
            <w:r>
              <w:rPr>
                <w:b/>
                <w:bCs/>
                <w:spacing w:val="-2"/>
              </w:rPr>
              <w:t>度报告</w:t>
            </w:r>
            <w:r>
              <w:rPr>
                <w:spacing w:val="-2"/>
              </w:rPr>
              <w:t>存在虚假记载。</w:t>
            </w:r>
          </w:p>
        </w:tc>
      </w:tr>
      <w:tr>
        <w:trPr>
          <w:trHeight w:val="759" w:hRule="atLeast"/>
        </w:trPr>
        <w:tc>
          <w:tcPr>
            <w:tcW w:w="8033" w:type="dxa"/>
            <w:vAlign w:val="top"/>
            <w:gridSpan w:val="3"/>
          </w:tcPr>
          <w:p>
            <w:pPr>
              <w:pStyle w:val="TableText"/>
              <w:ind w:right="4"/>
              <w:spacing w:before="132" w:line="372" w:lineRule="exact"/>
              <w:jc w:val="right"/>
              <w:rPr/>
            </w:pPr>
            <w:r>
              <w:rPr>
                <w:b/>
                <w:bCs/>
                <w:spacing w:val="-2"/>
                <w:position w:val="12"/>
              </w:rPr>
              <w:t>【市场禁入决定】</w:t>
            </w:r>
            <w:r>
              <w:rPr>
                <w:spacing w:val="-2"/>
                <w:position w:val="12"/>
              </w:rPr>
              <w:t>中国证券监督管理委员会浙江监管局决定：对时任</w:t>
            </w:r>
            <w:r>
              <w:rPr>
                <w:spacing w:val="-3"/>
                <w:position w:val="12"/>
              </w:rPr>
              <w:t>董事长，时任总经</w:t>
            </w:r>
          </w:p>
          <w:p>
            <w:pPr>
              <w:pStyle w:val="TableText"/>
              <w:ind w:left="214"/>
              <w:spacing w:line="214" w:lineRule="auto"/>
              <w:rPr/>
            </w:pPr>
            <w:r>
              <w:rPr>
                <w:spacing w:val="-1"/>
              </w:rPr>
              <w:t>理章某中采取10年市场禁入措施。</w:t>
            </w:r>
          </w:p>
        </w:tc>
      </w:tr>
      <w:tr>
        <w:trPr>
          <w:trHeight w:val="360" w:hRule="atLeast"/>
        </w:trPr>
        <w:tc>
          <w:tcPr>
            <w:shd w:val="clear" w:fill="B8CCE4"/>
            <w:tcW w:w="1194" w:type="dxa"/>
            <w:vAlign w:val="top"/>
          </w:tcPr>
          <w:p>
            <w:pPr>
              <w:pStyle w:val="TableText"/>
              <w:ind w:left="275"/>
              <w:spacing w:before="140" w:line="183" w:lineRule="auto"/>
              <w:rPr/>
            </w:pPr>
            <w:r>
              <w:rPr>
                <w:spacing w:val="-2"/>
              </w:rPr>
              <w:t>002348</w:t>
            </w:r>
          </w:p>
        </w:tc>
        <w:tc>
          <w:tcPr>
            <w:shd w:val="clear" w:fill="B8CCE4"/>
            <w:tcW w:w="1328" w:type="dxa"/>
            <w:vAlign w:val="top"/>
          </w:tcPr>
          <w:p>
            <w:pPr>
              <w:pStyle w:val="TableText"/>
              <w:ind w:left="231"/>
              <w:spacing w:before="86" w:line="219" w:lineRule="auto"/>
              <w:rPr/>
            </w:pPr>
            <w:r>
              <w:rPr>
                <w:spacing w:val="2"/>
              </w:rPr>
              <w:t>高乐股份</w:t>
            </w:r>
          </w:p>
        </w:tc>
        <w:tc>
          <w:tcPr>
            <w:shd w:val="clear" w:fill="B8CCE4"/>
            <w:tcW w:w="5511" w:type="dxa"/>
            <w:vAlign w:val="top"/>
          </w:tcPr>
          <w:p>
            <w:pPr>
              <w:pStyle w:val="TableText"/>
              <w:ind w:left="135"/>
              <w:spacing w:before="82" w:line="219" w:lineRule="auto"/>
              <w:rPr/>
            </w:pPr>
            <w:r>
              <w:rPr>
                <w:b/>
                <w:bCs/>
                <w:spacing w:val="-2"/>
              </w:rPr>
              <w:t>内幕交易</w:t>
            </w:r>
            <w:r>
              <w:rPr>
                <w:spacing w:val="-2"/>
              </w:rPr>
              <w:t>公司股票。</w:t>
            </w:r>
          </w:p>
        </w:tc>
      </w:tr>
      <w:tr>
        <w:trPr>
          <w:trHeight w:val="730" w:hRule="atLeast"/>
        </w:trPr>
        <w:tc>
          <w:tcPr>
            <w:tcW w:w="8033" w:type="dxa"/>
            <w:vAlign w:val="top"/>
            <w:gridSpan w:val="3"/>
          </w:tcPr>
          <w:p>
            <w:pPr>
              <w:pStyle w:val="TableText"/>
              <w:ind w:left="214" w:right="40" w:hanging="112"/>
              <w:spacing w:before="122" w:line="258" w:lineRule="auto"/>
              <w:rPr/>
            </w:pPr>
            <w:r>
              <w:rPr>
                <w:b/>
                <w:bCs/>
                <w:spacing w:val="2"/>
              </w:rPr>
              <w:t>【行政处罚决定】</w:t>
            </w:r>
            <w:r>
              <w:rPr>
                <w:spacing w:val="2"/>
              </w:rPr>
              <w:t>中国证券监督管理委员会广东监管局决定：对黄某波没收违法所得</w:t>
            </w:r>
            <w:r>
              <w:rPr>
                <w:spacing w:val="17"/>
              </w:rPr>
              <w:t xml:space="preserve"> </w:t>
            </w:r>
            <w:r>
              <w:rPr>
                <w:spacing w:val="-1"/>
              </w:rPr>
              <w:t>158,568.82元，并处以50万元的罚款。</w:t>
            </w:r>
          </w:p>
        </w:tc>
      </w:tr>
      <w:tr>
        <w:trPr>
          <w:trHeight w:val="709" w:hRule="atLeast"/>
        </w:trPr>
        <w:tc>
          <w:tcPr>
            <w:shd w:val="clear" w:fill="B8CCE4"/>
            <w:tcW w:w="1194" w:type="dxa"/>
            <w:vAlign w:val="top"/>
          </w:tcPr>
          <w:p>
            <w:pPr>
              <w:pStyle w:val="TableText"/>
              <w:ind w:left="275"/>
              <w:spacing w:before="309" w:line="184" w:lineRule="auto"/>
              <w:rPr/>
            </w:pPr>
            <w:r>
              <w:rPr>
                <w:spacing w:val="-2"/>
              </w:rPr>
              <w:t>002810</w:t>
            </w:r>
          </w:p>
        </w:tc>
        <w:tc>
          <w:tcPr>
            <w:shd w:val="clear" w:fill="B8CCE4"/>
            <w:tcW w:w="1328" w:type="dxa"/>
            <w:vAlign w:val="top"/>
          </w:tcPr>
          <w:p>
            <w:pPr>
              <w:pStyle w:val="TableText"/>
              <w:ind w:left="231"/>
              <w:spacing w:before="256" w:line="219" w:lineRule="auto"/>
              <w:rPr/>
            </w:pPr>
            <w:r>
              <w:rPr>
                <w:spacing w:val="2"/>
              </w:rPr>
              <w:t>山东赫达</w:t>
            </w:r>
          </w:p>
        </w:tc>
        <w:tc>
          <w:tcPr>
            <w:shd w:val="clear" w:fill="B7CBE3"/>
            <w:tcW w:w="5511" w:type="dxa"/>
            <w:vAlign w:val="top"/>
          </w:tcPr>
          <w:p>
            <w:pPr>
              <w:pStyle w:val="TableText"/>
              <w:ind w:left="135" w:right="78" w:hanging="3"/>
              <w:spacing w:before="114" w:line="257" w:lineRule="auto"/>
              <w:rPr/>
            </w:pPr>
            <w:r>
              <w:rPr>
                <w:spacing w:val="1"/>
              </w:rPr>
              <w:t>副总经理亲属存在将持有的“赫达转债”在买入后</w:t>
            </w:r>
            <w:r>
              <w:rPr>
                <w:b/>
                <w:bCs/>
                <w:spacing w:val="1"/>
              </w:rPr>
              <w:t>六个月</w:t>
            </w:r>
            <w:r>
              <w:rPr>
                <w:spacing w:val="7"/>
              </w:rPr>
              <w:t xml:space="preserve"> </w:t>
            </w:r>
            <w:r>
              <w:rPr>
                <w:b/>
                <w:bCs/>
                <w:spacing w:val="-3"/>
              </w:rPr>
              <w:t>内卖出</w:t>
            </w:r>
            <w:r>
              <w:rPr>
                <w:spacing w:val="-3"/>
              </w:rPr>
              <w:t>的行为。</w:t>
            </w:r>
          </w:p>
        </w:tc>
      </w:tr>
      <w:tr>
        <w:trPr>
          <w:trHeight w:val="730" w:hRule="atLeast"/>
        </w:trPr>
        <w:tc>
          <w:tcPr>
            <w:tcW w:w="8033" w:type="dxa"/>
            <w:vAlign w:val="top"/>
            <w:gridSpan w:val="3"/>
          </w:tcPr>
          <w:p>
            <w:pPr>
              <w:pStyle w:val="TableText"/>
              <w:ind w:left="214" w:right="35" w:hanging="112"/>
              <w:spacing w:before="135" w:line="257" w:lineRule="auto"/>
              <w:rPr/>
            </w:pPr>
            <w:r>
              <w:rPr>
                <w:b/>
                <w:bCs/>
                <w:spacing w:val="3"/>
              </w:rPr>
              <w:t>【行政处罚决定】</w:t>
            </w:r>
            <w:r>
              <w:rPr>
                <w:spacing w:val="3"/>
              </w:rPr>
              <w:t>中国证券监督管理委员会山东</w:t>
            </w:r>
            <w:r>
              <w:rPr>
                <w:spacing w:val="2"/>
              </w:rPr>
              <w:t>监管局决定：对时任高管邱某军给予</w:t>
            </w:r>
            <w:r>
              <w:rPr/>
              <w:t xml:space="preserve"> </w:t>
            </w:r>
            <w:r>
              <w:rPr>
                <w:spacing w:val="-1"/>
              </w:rPr>
              <w:t>警告，并处以10万元的罚款。</w:t>
            </w:r>
          </w:p>
        </w:tc>
      </w:tr>
      <w:tr>
        <w:trPr>
          <w:trHeight w:val="609" w:hRule="atLeast"/>
        </w:trPr>
        <w:tc>
          <w:tcPr>
            <w:shd w:val="clear" w:fill="B8CCE4"/>
            <w:tcW w:w="1194" w:type="dxa"/>
            <w:vAlign w:val="top"/>
          </w:tcPr>
          <w:p>
            <w:pPr>
              <w:pStyle w:val="TableText"/>
              <w:ind w:left="275"/>
              <w:spacing w:before="261" w:line="183" w:lineRule="auto"/>
              <w:rPr/>
            </w:pPr>
            <w:r>
              <w:rPr>
                <w:spacing w:val="-2"/>
              </w:rPr>
              <w:t>300078</w:t>
            </w:r>
          </w:p>
        </w:tc>
        <w:tc>
          <w:tcPr>
            <w:shd w:val="clear" w:fill="B8CCE4"/>
            <w:tcW w:w="1328" w:type="dxa"/>
            <w:vAlign w:val="top"/>
          </w:tcPr>
          <w:p>
            <w:pPr>
              <w:pStyle w:val="TableText"/>
              <w:ind w:left="231"/>
              <w:spacing w:before="210" w:line="222" w:lineRule="auto"/>
              <w:rPr/>
            </w:pPr>
            <w:r>
              <w:rPr>
                <w:spacing w:val="5"/>
              </w:rPr>
              <w:t>思创医惠</w:t>
            </w:r>
          </w:p>
        </w:tc>
        <w:tc>
          <w:tcPr>
            <w:shd w:val="clear" w:fill="B8CCE4"/>
            <w:tcW w:w="5511" w:type="dxa"/>
            <w:vAlign w:val="top"/>
          </w:tcPr>
          <w:p>
            <w:pPr>
              <w:pStyle w:val="TableText"/>
              <w:ind w:left="132"/>
              <w:spacing w:before="203" w:line="218" w:lineRule="auto"/>
              <w:rPr/>
            </w:pPr>
            <w:r>
              <w:rPr>
                <w:spacing w:val="-1"/>
              </w:rPr>
              <w:t>2019年、2020年年度报告存在</w:t>
            </w:r>
            <w:r>
              <w:rPr>
                <w:b/>
                <w:bCs/>
                <w:spacing w:val="-1"/>
              </w:rPr>
              <w:t>虚假记载。</w:t>
            </w:r>
          </w:p>
        </w:tc>
      </w:tr>
      <w:tr>
        <w:trPr>
          <w:trHeight w:val="1104" w:hRule="atLeast"/>
        </w:trPr>
        <w:tc>
          <w:tcPr>
            <w:tcW w:w="8033" w:type="dxa"/>
            <w:vAlign w:val="top"/>
            <w:gridSpan w:val="3"/>
          </w:tcPr>
          <w:p>
            <w:pPr>
              <w:pStyle w:val="TableText"/>
              <w:ind w:left="213" w:right="28" w:hanging="101"/>
              <w:spacing w:before="145" w:line="278" w:lineRule="auto"/>
              <w:rPr/>
            </w:pPr>
            <w:r>
              <w:rPr>
                <w:b/>
                <w:bCs/>
                <w:spacing w:val="2"/>
              </w:rPr>
              <w:t>【行政处罚决定】</w:t>
            </w:r>
            <w:r>
              <w:rPr>
                <w:spacing w:val="2"/>
              </w:rPr>
              <w:t>中国证券监督管理委员会浙江监管局决定：对思创医惠信息披露违</w:t>
            </w:r>
            <w:r>
              <w:rPr>
                <w:spacing w:val="18"/>
              </w:rPr>
              <w:t xml:space="preserve"> </w:t>
            </w:r>
            <w:r>
              <w:rPr/>
              <w:t>法行为，依据《证券法》第一百九十七条第二款的规定，对时任监事汪</w:t>
            </w:r>
            <w:r>
              <w:rPr>
                <w:spacing w:val="-1"/>
              </w:rPr>
              <w:t>某给予警告，</w:t>
            </w:r>
            <w:r>
              <w:rPr/>
              <w:t xml:space="preserve"> </w:t>
            </w:r>
            <w:r>
              <w:rPr>
                <w:spacing w:val="-1"/>
              </w:rPr>
              <w:t>并处以50万元罚款。</w:t>
            </w:r>
          </w:p>
        </w:tc>
      </w:tr>
    </w:tbl>
    <w:p>
      <w:pPr>
        <w:pStyle w:val="BodyText"/>
        <w:rPr/>
      </w:pPr>
      <w:r/>
    </w:p>
    <w:p>
      <w:pPr>
        <w:sectPr>
          <w:pgSz w:w="11910" w:h="16840"/>
          <w:pgMar w:top="400" w:right="482" w:bottom="0" w:left="50" w:header="0" w:footer="0" w:gutter="0"/>
        </w:sectPr>
        <w:rPr/>
      </w:pPr>
    </w:p>
    <w:tbl>
      <w:tblPr>
        <w:tblStyle w:val="TableNormal"/>
        <w:tblW w:w="8055" w:type="dxa"/>
        <w:tblInd w:w="926"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733" w:hRule="atLeast"/>
        </w:trPr>
        <w:tc>
          <w:tcPr>
            <w:shd w:val="clear" w:fill="B8CCE4"/>
            <w:tcW w:w="1214" w:type="dxa"/>
            <w:vAlign w:val="top"/>
            <w:tcBorders>
              <w:top w:val="single" w:color="4F81BD" w:sz="2" w:space="0"/>
            </w:tcBorders>
          </w:tcPr>
          <w:p>
            <w:pPr>
              <w:ind w:left="242"/>
              <w:spacing w:before="286"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300078</w:t>
            </w:r>
          </w:p>
        </w:tc>
        <w:tc>
          <w:tcPr>
            <w:shd w:val="clear" w:fill="B8CCE4"/>
            <w:tcW w:w="1345" w:type="dxa"/>
            <w:vAlign w:val="top"/>
            <w:tcBorders>
              <w:top w:val="single" w:color="4F81BD" w:sz="2" w:space="0"/>
            </w:tcBorders>
          </w:tcPr>
          <w:p>
            <w:pPr>
              <w:ind w:left="242"/>
              <w:spacing w:before="276" w:line="1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思创医惠</w:t>
            </w:r>
          </w:p>
        </w:tc>
        <w:tc>
          <w:tcPr>
            <w:shd w:val="clear" w:fill="B8CCE4"/>
            <w:tcW w:w="5496" w:type="dxa"/>
            <w:vAlign w:val="top"/>
            <w:tcBorders>
              <w:top w:val="single" w:color="4F81BD" w:sz="2" w:space="0"/>
            </w:tcBorders>
          </w:tcPr>
          <w:p>
            <w:pPr>
              <w:ind w:left="98" w:right="246" w:firstLine="3"/>
              <w:spacing w:before="9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公开发行文件</w:t>
            </w:r>
            <w:r>
              <w:rPr>
                <w:rFonts w:ascii="Microsoft YaHei" w:hAnsi="Microsoft YaHei" w:eastAsia="Microsoft YaHei" w:cs="Microsoft YaHei"/>
                <w:sz w:val="21"/>
                <w:szCs w:val="21"/>
                <w:spacing w:val="-4"/>
              </w:rPr>
              <w:t>编造重大虚假内容；</w:t>
            </w:r>
            <w:r>
              <w:rPr>
                <w:rFonts w:ascii="Microsoft YaHei" w:hAnsi="Microsoft YaHei" w:eastAsia="Microsoft YaHei" w:cs="Microsoft YaHei"/>
                <w:sz w:val="21"/>
                <w:szCs w:val="21"/>
                <w:b/>
                <w:bCs/>
                <w:spacing w:val="-4"/>
              </w:rPr>
              <w:t>2019 年、</w:t>
            </w:r>
            <w:r>
              <w:rPr>
                <w:rFonts w:ascii="Microsoft YaHei" w:hAnsi="Microsoft YaHei" w:eastAsia="Microsoft YaHei" w:cs="Microsoft YaHei"/>
                <w:sz w:val="21"/>
                <w:szCs w:val="21"/>
                <w:b/>
                <w:bCs/>
                <w:spacing w:val="34"/>
              </w:rPr>
              <w:t xml:space="preserve"> </w:t>
            </w:r>
            <w:r>
              <w:rPr>
                <w:rFonts w:ascii="Microsoft YaHei" w:hAnsi="Microsoft YaHei" w:eastAsia="Microsoft YaHei" w:cs="Microsoft YaHei"/>
                <w:sz w:val="21"/>
                <w:szCs w:val="21"/>
                <w:b/>
                <w:bCs/>
                <w:spacing w:val="-4"/>
              </w:rPr>
              <w:t>2020 年年</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rPr>
              <w:t>度报告</w:t>
            </w:r>
            <w:r>
              <w:rPr>
                <w:rFonts w:ascii="Microsoft YaHei" w:hAnsi="Microsoft YaHei" w:eastAsia="Microsoft YaHei" w:cs="Microsoft YaHei"/>
                <w:sz w:val="21"/>
                <w:szCs w:val="21"/>
              </w:rPr>
              <w:t>存在虚假记载。</w:t>
            </w:r>
          </w:p>
        </w:tc>
      </w:tr>
      <w:tr>
        <w:trPr>
          <w:trHeight w:val="725" w:hRule="atLeast"/>
        </w:trPr>
        <w:tc>
          <w:tcPr>
            <w:tcW w:w="8055" w:type="dxa"/>
            <w:vAlign w:val="top"/>
            <w:gridSpan w:val="3"/>
          </w:tcPr>
          <w:p>
            <w:pPr>
              <w:ind w:left="113" w:right="99" w:firstLine="4"/>
              <w:spacing w:before="87" w:line="20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【行政处罚决定】</w:t>
            </w:r>
            <w:r>
              <w:rPr>
                <w:rFonts w:ascii="Microsoft YaHei" w:hAnsi="Microsoft YaHei" w:eastAsia="Microsoft YaHei" w:cs="Microsoft YaHei"/>
                <w:sz w:val="21"/>
                <w:szCs w:val="21"/>
                <w:b/>
                <w:bCs/>
                <w:spacing w:val="-17"/>
              </w:rPr>
              <w:t xml:space="preserve"> </w:t>
            </w:r>
            <w:r>
              <w:rPr>
                <w:rFonts w:ascii="Microsoft YaHei" w:hAnsi="Microsoft YaHei" w:eastAsia="Microsoft YaHei" w:cs="Microsoft YaHei"/>
                <w:sz w:val="21"/>
                <w:szCs w:val="21"/>
                <w:spacing w:val="3"/>
              </w:rPr>
              <w:t>中国证券监督管理委员会浙江监管局决定：对时任高管,时任董事,</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时任董秘孙某军给予警告，并处以 300 万元罚</w:t>
            </w:r>
            <w:r>
              <w:rPr>
                <w:rFonts w:ascii="Microsoft YaHei" w:hAnsi="Microsoft YaHei" w:eastAsia="Microsoft YaHei" w:cs="Microsoft YaHei"/>
                <w:sz w:val="21"/>
                <w:szCs w:val="21"/>
                <w:spacing w:val="-2"/>
              </w:rPr>
              <w:t>款。</w:t>
            </w:r>
          </w:p>
        </w:tc>
      </w:tr>
      <w:tr>
        <w:trPr>
          <w:trHeight w:val="723" w:hRule="atLeast"/>
        </w:trPr>
        <w:tc>
          <w:tcPr>
            <w:shd w:val="clear" w:fill="B8CCE4"/>
            <w:tcW w:w="1214" w:type="dxa"/>
            <w:vAlign w:val="top"/>
          </w:tcPr>
          <w:p>
            <w:pPr>
              <w:ind w:left="242"/>
              <w:spacing w:before="279"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300078</w:t>
            </w:r>
          </w:p>
        </w:tc>
        <w:tc>
          <w:tcPr>
            <w:shd w:val="clear" w:fill="B8CCE4"/>
            <w:tcW w:w="1345" w:type="dxa"/>
            <w:vAlign w:val="top"/>
          </w:tcPr>
          <w:p>
            <w:pPr>
              <w:ind w:left="242"/>
              <w:spacing w:before="269" w:line="1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思创医惠</w:t>
            </w:r>
          </w:p>
        </w:tc>
        <w:tc>
          <w:tcPr>
            <w:shd w:val="clear" w:fill="B8CCE4"/>
            <w:tcW w:w="5496" w:type="dxa"/>
            <w:vAlign w:val="top"/>
          </w:tcPr>
          <w:p>
            <w:pPr>
              <w:ind w:left="98" w:right="246" w:firstLine="3"/>
              <w:spacing w:before="91"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公开发行文件</w:t>
            </w:r>
            <w:r>
              <w:rPr>
                <w:rFonts w:ascii="Microsoft YaHei" w:hAnsi="Microsoft YaHei" w:eastAsia="Microsoft YaHei" w:cs="Microsoft YaHei"/>
                <w:sz w:val="21"/>
                <w:szCs w:val="21"/>
                <w:spacing w:val="-4"/>
              </w:rPr>
              <w:t>编造重大虚假内容；</w:t>
            </w:r>
            <w:r>
              <w:rPr>
                <w:rFonts w:ascii="Microsoft YaHei" w:hAnsi="Microsoft YaHei" w:eastAsia="Microsoft YaHei" w:cs="Microsoft YaHei"/>
                <w:sz w:val="21"/>
                <w:szCs w:val="21"/>
                <w:b/>
                <w:bCs/>
                <w:spacing w:val="-4"/>
              </w:rPr>
              <w:t>2019 年、</w:t>
            </w:r>
            <w:r>
              <w:rPr>
                <w:rFonts w:ascii="Microsoft YaHei" w:hAnsi="Microsoft YaHei" w:eastAsia="Microsoft YaHei" w:cs="Microsoft YaHei"/>
                <w:sz w:val="21"/>
                <w:szCs w:val="21"/>
                <w:b/>
                <w:bCs/>
                <w:spacing w:val="34"/>
              </w:rPr>
              <w:t xml:space="preserve"> </w:t>
            </w:r>
            <w:r>
              <w:rPr>
                <w:rFonts w:ascii="Microsoft YaHei" w:hAnsi="Microsoft YaHei" w:eastAsia="Microsoft YaHei" w:cs="Microsoft YaHei"/>
                <w:sz w:val="21"/>
                <w:szCs w:val="21"/>
                <w:b/>
                <w:bCs/>
                <w:spacing w:val="-4"/>
              </w:rPr>
              <w:t>2020 年年</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rPr>
              <w:t>度报告</w:t>
            </w:r>
            <w:r>
              <w:rPr>
                <w:rFonts w:ascii="Microsoft YaHei" w:hAnsi="Microsoft YaHei" w:eastAsia="Microsoft YaHei" w:cs="Microsoft YaHei"/>
                <w:sz w:val="21"/>
                <w:szCs w:val="21"/>
              </w:rPr>
              <w:t>存在虚假记载。</w:t>
            </w:r>
          </w:p>
        </w:tc>
      </w:tr>
      <w:tr>
        <w:trPr>
          <w:trHeight w:val="725" w:hRule="atLeast"/>
        </w:trPr>
        <w:tc>
          <w:tcPr>
            <w:tcW w:w="8055" w:type="dxa"/>
            <w:vAlign w:val="top"/>
            <w:gridSpan w:val="3"/>
          </w:tcPr>
          <w:p>
            <w:pPr>
              <w:ind w:left="110" w:right="100" w:firstLine="8"/>
              <w:spacing w:before="90"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中国证券监督管理委员会浙江监管局决定：对时任财务总监王某给</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3"/>
              </w:rPr>
              <w:t>予警告，并处以 300 万元罚款。</w:t>
            </w:r>
          </w:p>
        </w:tc>
      </w:tr>
      <w:tr>
        <w:trPr>
          <w:trHeight w:val="363" w:hRule="atLeast"/>
        </w:trPr>
        <w:tc>
          <w:tcPr>
            <w:shd w:val="clear" w:fill="B8CCE4"/>
            <w:tcW w:w="1214" w:type="dxa"/>
            <w:vAlign w:val="top"/>
          </w:tcPr>
          <w:p>
            <w:pPr>
              <w:ind w:left="236"/>
              <w:spacing w:before="102" w:line="16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000596</w:t>
            </w:r>
          </w:p>
        </w:tc>
        <w:tc>
          <w:tcPr>
            <w:shd w:val="clear" w:fill="B8CCE4"/>
            <w:tcW w:w="1345" w:type="dxa"/>
            <w:vAlign w:val="top"/>
          </w:tcPr>
          <w:p>
            <w:pPr>
              <w:ind w:left="243"/>
              <w:spacing w:before="93"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古井贡酒</w:t>
            </w:r>
          </w:p>
        </w:tc>
        <w:tc>
          <w:tcPr>
            <w:shd w:val="clear" w:fill="B8CCE4"/>
            <w:tcW w:w="5496" w:type="dxa"/>
            <w:vAlign w:val="top"/>
          </w:tcPr>
          <w:p>
            <w:pPr>
              <w:ind w:left="101"/>
              <w:spacing w:before="93"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独立董事</w:t>
            </w:r>
            <w:r>
              <w:rPr>
                <w:rFonts w:ascii="Microsoft YaHei" w:hAnsi="Microsoft YaHei" w:eastAsia="Microsoft YaHei" w:cs="Microsoft YaHei"/>
                <w:sz w:val="21"/>
                <w:szCs w:val="21"/>
                <w:b/>
                <w:bCs/>
                <w:spacing w:val="-1"/>
              </w:rPr>
              <w:t>短线交易</w:t>
            </w:r>
            <w:r>
              <w:rPr>
                <w:rFonts w:ascii="Microsoft YaHei" w:hAnsi="Microsoft YaHei" w:eastAsia="Microsoft YaHei" w:cs="Microsoft YaHei"/>
                <w:sz w:val="21"/>
                <w:szCs w:val="21"/>
                <w:spacing w:val="-1"/>
              </w:rPr>
              <w:t>。</w:t>
            </w:r>
          </w:p>
        </w:tc>
      </w:tr>
      <w:tr>
        <w:trPr>
          <w:trHeight w:val="725" w:hRule="atLeast"/>
        </w:trPr>
        <w:tc>
          <w:tcPr>
            <w:tcW w:w="8055" w:type="dxa"/>
            <w:vAlign w:val="top"/>
            <w:gridSpan w:val="3"/>
          </w:tcPr>
          <w:p>
            <w:pPr>
              <w:ind w:left="105" w:right="102" w:firstLine="13"/>
              <w:spacing w:before="93"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【行政处罚决定】</w:t>
            </w:r>
            <w:r>
              <w:rPr>
                <w:rFonts w:ascii="Microsoft YaHei" w:hAnsi="Microsoft YaHei" w:eastAsia="Microsoft YaHei" w:cs="Microsoft YaHei"/>
                <w:sz w:val="21"/>
                <w:szCs w:val="21"/>
              </w:rPr>
              <w:t>安徽证监局决定：对独立董事张某平给予</w:t>
            </w:r>
            <w:r>
              <w:rPr>
                <w:rFonts w:ascii="Microsoft YaHei" w:hAnsi="Microsoft YaHei" w:eastAsia="Microsoft YaHei" w:cs="Microsoft YaHei"/>
                <w:sz w:val="21"/>
                <w:szCs w:val="21"/>
                <w:spacing w:val="-1"/>
              </w:rPr>
              <w:t>警告，并处以  15</w:t>
            </w:r>
            <w:r>
              <w:rPr>
                <w:rFonts w:ascii="Microsoft YaHei" w:hAnsi="Microsoft YaHei" w:eastAsia="Microsoft YaHei" w:cs="Microsoft YaHei"/>
                <w:sz w:val="21"/>
                <w:szCs w:val="21"/>
                <w:spacing w:val="48"/>
              </w:rPr>
              <w:t xml:space="preserve"> </w:t>
            </w:r>
            <w:r>
              <w:rPr>
                <w:rFonts w:ascii="Microsoft YaHei" w:hAnsi="Microsoft YaHei" w:eastAsia="Microsoft YaHei" w:cs="Microsoft YaHei"/>
                <w:sz w:val="21"/>
                <w:szCs w:val="21"/>
                <w:spacing w:val="-1"/>
              </w:rPr>
              <w:t>万元罚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1"/>
              </w:rPr>
              <w:t>款。</w:t>
            </w:r>
          </w:p>
        </w:tc>
      </w:tr>
      <w:tr>
        <w:trPr>
          <w:trHeight w:val="1083" w:hRule="atLeast"/>
        </w:trPr>
        <w:tc>
          <w:tcPr>
            <w:shd w:val="clear" w:fill="B8CCE4"/>
            <w:tcW w:w="1214" w:type="dxa"/>
            <w:vAlign w:val="top"/>
          </w:tcPr>
          <w:p>
            <w:pPr>
              <w:spacing w:line="373" w:lineRule="auto"/>
              <w:rPr>
                <w:rFonts w:ascii="Arial"/>
                <w:sz w:val="21"/>
              </w:rPr>
            </w:pPr>
            <w:r/>
          </w:p>
          <w:p>
            <w:pPr>
              <w:ind w:left="239"/>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600290</w:t>
            </w:r>
          </w:p>
        </w:tc>
        <w:tc>
          <w:tcPr>
            <w:shd w:val="clear" w:fill="B8CCE4"/>
            <w:tcW w:w="1345" w:type="dxa"/>
            <w:vAlign w:val="top"/>
          </w:tcPr>
          <w:p>
            <w:pPr>
              <w:spacing w:line="363" w:lineRule="auto"/>
              <w:rPr>
                <w:rFonts w:ascii="Arial"/>
                <w:sz w:val="21"/>
              </w:rPr>
            </w:pPr>
            <w:r/>
          </w:p>
          <w:p>
            <w:pPr>
              <w:ind w:left="262"/>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*ST 华仪</w:t>
            </w:r>
          </w:p>
        </w:tc>
        <w:tc>
          <w:tcPr>
            <w:shd w:val="clear" w:fill="B8CCE4"/>
            <w:tcW w:w="5496" w:type="dxa"/>
            <w:vAlign w:val="top"/>
          </w:tcPr>
          <w:p>
            <w:pPr>
              <w:ind w:left="101" w:right="121"/>
              <w:spacing w:before="95"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华仪电气 2017 年年度报告、</w:t>
            </w:r>
            <w:r>
              <w:rPr>
                <w:rFonts w:ascii="Microsoft YaHei" w:hAnsi="Microsoft YaHei" w:eastAsia="Microsoft YaHei" w:cs="Microsoft YaHei"/>
                <w:sz w:val="21"/>
                <w:szCs w:val="21"/>
                <w:spacing w:val="29"/>
                <w:w w:val="101"/>
              </w:rPr>
              <w:t xml:space="preserve"> </w:t>
            </w:r>
            <w:r>
              <w:rPr>
                <w:rFonts w:ascii="Microsoft YaHei" w:hAnsi="Microsoft YaHei" w:eastAsia="Microsoft YaHei" w:cs="Microsoft YaHei"/>
                <w:sz w:val="21"/>
                <w:szCs w:val="21"/>
                <w:spacing w:val="-4"/>
              </w:rPr>
              <w:t>2018 年年度报告、2019 年</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年度报告、</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6"/>
              </w:rPr>
              <w:t>2020 年年度报告、</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6"/>
              </w:rPr>
              <w:t>2021 年年度报告、2022</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年年度报告存在</w:t>
            </w:r>
            <w:r>
              <w:rPr>
                <w:rFonts w:ascii="Microsoft YaHei" w:hAnsi="Microsoft YaHei" w:eastAsia="Microsoft YaHei" w:cs="Microsoft YaHei"/>
                <w:sz w:val="21"/>
                <w:szCs w:val="21"/>
                <w:b/>
                <w:bCs/>
              </w:rPr>
              <w:t>虚假记载。</w:t>
            </w:r>
          </w:p>
        </w:tc>
      </w:tr>
      <w:tr>
        <w:trPr>
          <w:trHeight w:val="725" w:hRule="atLeast"/>
        </w:trPr>
        <w:tc>
          <w:tcPr>
            <w:tcW w:w="8055" w:type="dxa"/>
            <w:vAlign w:val="top"/>
            <w:gridSpan w:val="3"/>
          </w:tcPr>
          <w:p>
            <w:pPr>
              <w:ind w:left="119" w:right="109" w:hanging="1"/>
              <w:spacing w:before="96"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【行政处罚决定】</w:t>
            </w:r>
            <w:r>
              <w:rPr>
                <w:rFonts w:ascii="Microsoft YaHei" w:hAnsi="Microsoft YaHei" w:eastAsia="Microsoft YaHei" w:cs="Microsoft YaHei"/>
                <w:sz w:val="21"/>
                <w:szCs w:val="21"/>
              </w:rPr>
              <w:t>中国证券监督管理委员会浙江监管局决定:对</w:t>
            </w:r>
            <w:r>
              <w:rPr>
                <w:rFonts w:ascii="Microsoft YaHei" w:hAnsi="Microsoft YaHei" w:eastAsia="Microsoft YaHei" w:cs="Microsoft YaHei"/>
                <w:sz w:val="21"/>
                <w:szCs w:val="21"/>
                <w:spacing w:val="-1"/>
              </w:rPr>
              <w:t>时任董事、总经理张某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民给予警告，并处以 50 万元罚款。</w:t>
            </w:r>
          </w:p>
        </w:tc>
      </w:tr>
      <w:tr>
        <w:trPr>
          <w:trHeight w:val="1082" w:hRule="atLeast"/>
        </w:trPr>
        <w:tc>
          <w:tcPr>
            <w:shd w:val="clear" w:fill="B8CCE4"/>
            <w:tcW w:w="1214" w:type="dxa"/>
            <w:vAlign w:val="top"/>
          </w:tcPr>
          <w:p>
            <w:pPr>
              <w:spacing w:line="376" w:lineRule="auto"/>
              <w:rPr>
                <w:rFonts w:ascii="Arial"/>
                <w:sz w:val="21"/>
              </w:rPr>
            </w:pPr>
            <w:r/>
          </w:p>
          <w:p>
            <w:pPr>
              <w:ind w:left="239"/>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600290</w:t>
            </w:r>
          </w:p>
        </w:tc>
        <w:tc>
          <w:tcPr>
            <w:shd w:val="clear" w:fill="B8CCE4"/>
            <w:tcW w:w="1345" w:type="dxa"/>
            <w:vAlign w:val="top"/>
          </w:tcPr>
          <w:p>
            <w:pPr>
              <w:spacing w:line="367" w:lineRule="auto"/>
              <w:rPr>
                <w:rFonts w:ascii="Arial"/>
                <w:sz w:val="21"/>
              </w:rPr>
            </w:pPr>
            <w:r/>
          </w:p>
          <w:p>
            <w:pPr>
              <w:ind w:left="262"/>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*ST 华仪</w:t>
            </w:r>
          </w:p>
        </w:tc>
        <w:tc>
          <w:tcPr>
            <w:shd w:val="clear" w:fill="B8CCE4"/>
            <w:tcW w:w="5496" w:type="dxa"/>
            <w:vAlign w:val="top"/>
          </w:tcPr>
          <w:p>
            <w:pPr>
              <w:ind w:left="101" w:right="121"/>
              <w:spacing w:before="99" w:line="216"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华仪电气 2017 年年度报告、</w:t>
            </w:r>
            <w:r>
              <w:rPr>
                <w:rFonts w:ascii="Microsoft YaHei" w:hAnsi="Microsoft YaHei" w:eastAsia="Microsoft YaHei" w:cs="Microsoft YaHei"/>
                <w:sz w:val="21"/>
                <w:szCs w:val="21"/>
                <w:spacing w:val="29"/>
                <w:w w:val="101"/>
              </w:rPr>
              <w:t xml:space="preserve"> </w:t>
            </w:r>
            <w:r>
              <w:rPr>
                <w:rFonts w:ascii="Microsoft YaHei" w:hAnsi="Microsoft YaHei" w:eastAsia="Microsoft YaHei" w:cs="Microsoft YaHei"/>
                <w:sz w:val="21"/>
                <w:szCs w:val="21"/>
                <w:spacing w:val="-4"/>
              </w:rPr>
              <w:t>2018 年年度报告、2019 年</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年度报告、</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6"/>
              </w:rPr>
              <w:t>2020 年年度报告、</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6"/>
              </w:rPr>
              <w:t>2021 年年度报告、2022</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年年度报告存在</w:t>
            </w:r>
            <w:r>
              <w:rPr>
                <w:rFonts w:ascii="Microsoft YaHei" w:hAnsi="Microsoft YaHei" w:eastAsia="Microsoft YaHei" w:cs="Microsoft YaHei"/>
                <w:sz w:val="21"/>
                <w:szCs w:val="21"/>
                <w:b/>
                <w:bCs/>
              </w:rPr>
              <w:t>虚假记载。</w:t>
            </w:r>
          </w:p>
        </w:tc>
      </w:tr>
      <w:tr>
        <w:trPr>
          <w:trHeight w:val="735" w:hRule="atLeast"/>
        </w:trPr>
        <w:tc>
          <w:tcPr>
            <w:tcW w:w="8055" w:type="dxa"/>
            <w:vAlign w:val="top"/>
            <w:gridSpan w:val="3"/>
          </w:tcPr>
          <w:p>
            <w:pPr>
              <w:ind w:left="103" w:right="109" w:firstLine="14"/>
              <w:spacing w:before="103"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【行政处罚决定】</w:t>
            </w:r>
            <w:r>
              <w:rPr>
                <w:rFonts w:ascii="Microsoft YaHei" w:hAnsi="Microsoft YaHei" w:eastAsia="Microsoft YaHei" w:cs="Microsoft YaHei"/>
                <w:sz w:val="21"/>
                <w:szCs w:val="21"/>
                <w:spacing w:val="-2"/>
              </w:rPr>
              <w:t>中国证券监督管理委员会浙江监管局决定： 对时任董事长,时任总经</w:t>
            </w:r>
            <w:r>
              <w:rPr>
                <w:rFonts w:ascii="Microsoft YaHei" w:hAnsi="Microsoft YaHei" w:eastAsia="Microsoft YaHei" w:cs="Microsoft YaHei"/>
                <w:sz w:val="21"/>
                <w:szCs w:val="21"/>
                <w:spacing w:val="6"/>
              </w:rPr>
              <w:t xml:space="preserve"> </w:t>
            </w:r>
            <w:r>
              <w:rPr>
                <w:rFonts w:ascii="Microsoft YaHei" w:hAnsi="Microsoft YaHei" w:eastAsia="Microsoft YaHei" w:cs="Microsoft YaHei"/>
                <w:sz w:val="21"/>
                <w:szCs w:val="21"/>
                <w:spacing w:val="-5"/>
              </w:rPr>
              <w:t>理陈某列给予警告，</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5"/>
              </w:rPr>
              <w:t>并处以 150 万元</w:t>
            </w:r>
            <w:r>
              <w:rPr>
                <w:rFonts w:ascii="Microsoft YaHei" w:hAnsi="Microsoft YaHei" w:eastAsia="Microsoft YaHei" w:cs="Microsoft YaHei"/>
                <w:sz w:val="21"/>
                <w:szCs w:val="21"/>
                <w:spacing w:val="-6"/>
              </w:rPr>
              <w:t>罚款。</w:t>
            </w:r>
          </w:p>
        </w:tc>
      </w:tr>
    </w:tbl>
    <w:p>
      <w:pPr>
        <w:pStyle w:val="BodyText"/>
        <w:spacing w:line="242" w:lineRule="auto"/>
        <w:rPr/>
      </w:pPr>
      <w:r/>
    </w:p>
    <w:p>
      <w:pPr>
        <w:spacing w:before="103" w:line="19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（2）行政处罚决定事先告知书</w:t>
      </w:r>
    </w:p>
    <w:p>
      <w:pPr>
        <w:spacing w:line="220" w:lineRule="exact"/>
        <w:rPr/>
      </w:pPr>
      <w:r/>
    </w:p>
    <w:tbl>
      <w:tblPr>
        <w:tblStyle w:val="TableNormal"/>
        <w:tblW w:w="8055" w:type="dxa"/>
        <w:tblInd w:w="926"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385" w:hRule="atLeast"/>
        </w:trPr>
        <w:tc>
          <w:tcPr>
            <w:shd w:val="clear" w:fill="4F81BD"/>
            <w:tcW w:w="1214" w:type="dxa"/>
            <w:vAlign w:val="top"/>
            <w:tcBorders>
              <w:bottom w:val="single" w:color="4F81BD" w:sz="2" w:space="0"/>
            </w:tcBorders>
          </w:tcPr>
          <w:p>
            <w:pPr>
              <w:ind w:left="181"/>
              <w:spacing w:before="113"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公司代码</w:t>
            </w:r>
          </w:p>
        </w:tc>
        <w:tc>
          <w:tcPr>
            <w:shd w:val="clear" w:fill="4F81BD"/>
            <w:tcW w:w="1345" w:type="dxa"/>
            <w:vAlign w:val="top"/>
            <w:tcBorders>
              <w:bottom w:val="single" w:color="4F81BD" w:sz="2" w:space="0"/>
            </w:tcBorders>
          </w:tcPr>
          <w:p>
            <w:pPr>
              <w:ind w:left="243"/>
              <w:spacing w:before="113"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公司简称</w:t>
            </w:r>
          </w:p>
        </w:tc>
        <w:tc>
          <w:tcPr>
            <w:shd w:val="clear" w:fill="4F81BD"/>
            <w:tcW w:w="5496" w:type="dxa"/>
            <w:vAlign w:val="top"/>
            <w:tcBorders>
              <w:bottom w:val="single" w:color="4F81BD" w:sz="2" w:space="0"/>
            </w:tcBorders>
          </w:tcPr>
          <w:p>
            <w:pPr>
              <w:ind w:left="2321"/>
              <w:spacing w:before="113"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rPr>
              <w:t>违规行为</w:t>
            </w:r>
          </w:p>
        </w:tc>
      </w:tr>
      <w:tr>
        <w:trPr>
          <w:trHeight w:val="730" w:hRule="atLeast"/>
        </w:trPr>
        <w:tc>
          <w:tcPr>
            <w:shd w:val="clear" w:fill="B8CCE4"/>
            <w:tcW w:w="1214" w:type="dxa"/>
            <w:vAlign w:val="top"/>
            <w:tcBorders>
              <w:top w:val="single" w:color="4F81BD" w:sz="2" w:space="0"/>
            </w:tcBorders>
          </w:tcPr>
          <w:p>
            <w:pPr>
              <w:ind w:left="236"/>
              <w:spacing w:before="283"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002196</w:t>
            </w:r>
          </w:p>
        </w:tc>
        <w:tc>
          <w:tcPr>
            <w:shd w:val="clear" w:fill="B8CCE4"/>
            <w:tcW w:w="1345" w:type="dxa"/>
            <w:vAlign w:val="top"/>
            <w:tcBorders>
              <w:top w:val="single" w:color="4F81BD" w:sz="2" w:space="0"/>
            </w:tcBorders>
          </w:tcPr>
          <w:p>
            <w:pPr>
              <w:ind w:left="241"/>
              <w:spacing w:before="275"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方正电机</w:t>
            </w:r>
          </w:p>
        </w:tc>
        <w:tc>
          <w:tcPr>
            <w:shd w:val="clear" w:fill="B8CCE4"/>
            <w:tcW w:w="5496" w:type="dxa"/>
            <w:vAlign w:val="top"/>
            <w:tcBorders>
              <w:top w:val="single" w:color="4F81BD" w:sz="2" w:space="0"/>
            </w:tcBorders>
          </w:tcPr>
          <w:p>
            <w:pPr>
              <w:ind w:left="101" w:right="101" w:hanging="1"/>
              <w:spacing w:before="95"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对“三包费”的会计估计不合理；不恰当地扩大上海海能</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1"/>
              </w:rPr>
              <w:t>商誉相关资产组。</w:t>
            </w:r>
          </w:p>
        </w:tc>
      </w:tr>
      <w:tr>
        <w:trPr>
          <w:trHeight w:val="2161" w:hRule="atLeast"/>
        </w:trPr>
        <w:tc>
          <w:tcPr>
            <w:tcW w:w="8055" w:type="dxa"/>
            <w:vAlign w:val="top"/>
            <w:gridSpan w:val="3"/>
          </w:tcPr>
          <w:p>
            <w:pPr>
              <w:ind w:left="118"/>
              <w:spacing w:before="90"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【行政处罚决定（拟）】</w:t>
            </w:r>
            <w:r>
              <w:rPr>
                <w:rFonts w:ascii="Microsoft YaHei" w:hAnsi="Microsoft YaHei" w:eastAsia="Microsoft YaHei" w:cs="Microsoft YaHei"/>
                <w:sz w:val="21"/>
                <w:szCs w:val="21"/>
                <w:spacing w:val="-1"/>
              </w:rPr>
              <w:t>中国证券监督管理委员会浙江监管局拟决定：</w:t>
            </w:r>
          </w:p>
          <w:p>
            <w:pPr>
              <w:ind w:left="135"/>
              <w:spacing w:before="74"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（一）对浙江方正电机股份有限公司责令改正，给</w:t>
            </w:r>
            <w:r>
              <w:rPr>
                <w:rFonts w:ascii="Microsoft YaHei" w:hAnsi="Microsoft YaHei" w:eastAsia="Microsoft YaHei" w:cs="Microsoft YaHei"/>
                <w:sz w:val="21"/>
                <w:szCs w:val="21"/>
                <w:spacing w:val="-2"/>
              </w:rPr>
              <w:t>予警告，并处以400万元罚款；</w:t>
            </w:r>
          </w:p>
          <w:p>
            <w:pPr>
              <w:ind w:left="108" w:right="99" w:firstLine="26"/>
              <w:spacing w:before="75"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（二）对时任高管,时任董事,时任董秘,时任财</w:t>
            </w:r>
            <w:r>
              <w:rPr>
                <w:rFonts w:ascii="Microsoft YaHei" w:hAnsi="Microsoft YaHei" w:eastAsia="Microsoft YaHei" w:cs="Microsoft YaHei"/>
                <w:sz w:val="21"/>
                <w:szCs w:val="21"/>
                <w:spacing w:val="3"/>
              </w:rPr>
              <w:t>务总监牟某给予警告，并处以130万元</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0"/>
              </w:rPr>
              <w:t>罚款；</w:t>
            </w:r>
          </w:p>
          <w:p>
            <w:pPr>
              <w:ind w:left="135" w:right="1373"/>
              <w:spacing w:before="70"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（三）</w:t>
            </w:r>
            <w:r>
              <w:rPr>
                <w:rFonts w:ascii="Microsoft YaHei" w:hAnsi="Microsoft YaHei" w:eastAsia="Microsoft YaHei" w:cs="Microsoft YaHei"/>
                <w:sz w:val="21"/>
                <w:szCs w:val="21"/>
                <w:spacing w:val="26"/>
              </w:rPr>
              <w:t xml:space="preserve"> </w:t>
            </w:r>
            <w:r>
              <w:rPr>
                <w:rFonts w:ascii="Microsoft YaHei" w:hAnsi="Microsoft YaHei" w:eastAsia="Microsoft YaHei" w:cs="Microsoft YaHei"/>
                <w:sz w:val="21"/>
                <w:szCs w:val="21"/>
                <w:spacing w:val="-7"/>
              </w:rPr>
              <w:t>对时任董事长,时任总经理牛某奎给予警告，</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7"/>
              </w:rPr>
              <w:t>并处以80万元罚款；</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（四）</w:t>
            </w:r>
            <w:r>
              <w:rPr>
                <w:rFonts w:ascii="Microsoft YaHei" w:hAnsi="Microsoft YaHei" w:eastAsia="Microsoft YaHei" w:cs="Microsoft YaHei"/>
                <w:sz w:val="21"/>
                <w:szCs w:val="21"/>
                <w:spacing w:val="20"/>
                <w:w w:val="101"/>
              </w:rPr>
              <w:t xml:space="preserve"> </w:t>
            </w:r>
            <w:r>
              <w:rPr>
                <w:rFonts w:ascii="Microsoft YaHei" w:hAnsi="Microsoft YaHei" w:eastAsia="Microsoft YaHei" w:cs="Microsoft YaHei"/>
                <w:sz w:val="21"/>
                <w:szCs w:val="21"/>
                <w:spacing w:val="-4"/>
              </w:rPr>
              <w:t>对时任董事长顾某峰给予警告，并处以70万元罚</w:t>
            </w:r>
            <w:r>
              <w:rPr>
                <w:rFonts w:ascii="Microsoft YaHei" w:hAnsi="Microsoft YaHei" w:eastAsia="Microsoft YaHei" w:cs="Microsoft YaHei"/>
                <w:sz w:val="21"/>
                <w:szCs w:val="21"/>
                <w:spacing w:val="-5"/>
              </w:rPr>
              <w:t>款。</w:t>
            </w:r>
          </w:p>
        </w:tc>
      </w:tr>
      <w:tr>
        <w:trPr>
          <w:trHeight w:val="1441" w:hRule="atLeast"/>
        </w:trPr>
        <w:tc>
          <w:tcPr>
            <w:shd w:val="clear" w:fill="B8CCE4"/>
            <w:tcW w:w="1214" w:type="dxa"/>
            <w:vAlign w:val="top"/>
          </w:tcPr>
          <w:p>
            <w:pPr>
              <w:spacing w:line="275" w:lineRule="auto"/>
              <w:rPr>
                <w:rFonts w:ascii="Arial"/>
                <w:sz w:val="21"/>
              </w:rPr>
            </w:pPr>
            <w:r/>
          </w:p>
          <w:p>
            <w:pPr>
              <w:spacing w:line="275" w:lineRule="auto"/>
              <w:rPr>
                <w:rFonts w:ascii="Arial"/>
                <w:sz w:val="21"/>
              </w:rPr>
            </w:pPr>
            <w:r/>
          </w:p>
          <w:p>
            <w:pPr>
              <w:ind w:left="236"/>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002712</w:t>
            </w:r>
          </w:p>
        </w:tc>
        <w:tc>
          <w:tcPr>
            <w:shd w:val="clear" w:fill="B8CCE4"/>
            <w:tcW w:w="1345" w:type="dxa"/>
            <w:vAlign w:val="top"/>
          </w:tcPr>
          <w:p>
            <w:pPr>
              <w:spacing w:line="271" w:lineRule="auto"/>
              <w:rPr>
                <w:rFonts w:ascii="Arial"/>
                <w:sz w:val="21"/>
              </w:rPr>
            </w:pPr>
            <w:r/>
          </w:p>
          <w:p>
            <w:pPr>
              <w:spacing w:line="271" w:lineRule="auto"/>
              <w:rPr>
                <w:rFonts w:ascii="Arial"/>
                <w:sz w:val="21"/>
              </w:rPr>
            </w:pPr>
            <w:r/>
          </w:p>
          <w:p>
            <w:pPr>
              <w:ind w:left="242"/>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思美传媒</w:t>
            </w:r>
          </w:p>
        </w:tc>
        <w:tc>
          <w:tcPr>
            <w:shd w:val="clear" w:fill="B8CCE4"/>
            <w:tcW w:w="5496" w:type="dxa"/>
            <w:vAlign w:val="top"/>
          </w:tcPr>
          <w:p>
            <w:pPr>
              <w:ind w:left="99" w:right="100" w:firstLine="9"/>
              <w:spacing w:before="97" w:line="222"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时任思美传媒董事会秘书负责公司对投资者在</w:t>
            </w:r>
            <w:r>
              <w:rPr>
                <w:rFonts w:ascii="Microsoft YaHei" w:hAnsi="Microsoft YaHei" w:eastAsia="Microsoft YaHei" w:cs="Microsoft YaHei"/>
                <w:sz w:val="21"/>
                <w:szCs w:val="21"/>
                <w:b/>
                <w:bCs/>
              </w:rPr>
              <w:t>深交所互动 </w:t>
            </w:r>
            <w:r>
              <w:rPr>
                <w:rFonts w:ascii="Microsoft YaHei" w:hAnsi="Microsoft YaHei" w:eastAsia="Microsoft YaHei" w:cs="Microsoft YaHei"/>
                <w:sz w:val="21"/>
                <w:szCs w:val="21"/>
                <w:b/>
                <w:bCs/>
                <w:spacing w:val="1"/>
              </w:rPr>
              <w:t>易平台</w:t>
            </w:r>
            <w:r>
              <w:rPr>
                <w:rFonts w:ascii="Microsoft YaHei" w:hAnsi="Microsoft YaHei" w:eastAsia="Microsoft YaHei" w:cs="Microsoft YaHei"/>
                <w:sz w:val="21"/>
                <w:szCs w:val="21"/>
                <w:spacing w:val="1"/>
              </w:rPr>
              <w:t>所提问题的回复工作，其编写“抖音超市现阶段由</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1"/>
              </w:rPr>
              <w:t>本公司代运营”的答复信息并决定发布，未能保证相关信</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2"/>
              </w:rPr>
              <w:t>息的真实、准确、完整。</w:t>
            </w:r>
          </w:p>
        </w:tc>
      </w:tr>
      <w:tr>
        <w:trPr>
          <w:trHeight w:val="1093" w:hRule="atLeast"/>
        </w:trPr>
        <w:tc>
          <w:tcPr>
            <w:tcW w:w="8055" w:type="dxa"/>
            <w:vAlign w:val="top"/>
            <w:gridSpan w:val="3"/>
          </w:tcPr>
          <w:p>
            <w:pPr>
              <w:ind w:left="134" w:right="1460" w:hanging="16"/>
              <w:spacing w:before="101"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【行政处罚决定（拟）】</w:t>
            </w:r>
            <w:r>
              <w:rPr>
                <w:rFonts w:ascii="Microsoft YaHei" w:hAnsi="Microsoft YaHei" w:eastAsia="Microsoft YaHei" w:cs="Microsoft YaHei"/>
                <w:sz w:val="21"/>
                <w:szCs w:val="21"/>
                <w:spacing w:val="-2"/>
              </w:rPr>
              <w:t>中国证券监督管理委员会浙江监管局拟决定：</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（一）对思美传媒股份有限公司给予警告，并处以一百五十</w:t>
            </w:r>
            <w:r>
              <w:rPr>
                <w:rFonts w:ascii="Microsoft YaHei" w:hAnsi="Microsoft YaHei" w:eastAsia="Microsoft YaHei" w:cs="Microsoft YaHei"/>
                <w:sz w:val="21"/>
                <w:szCs w:val="21"/>
                <w:spacing w:val="-3"/>
              </w:rPr>
              <w:t>万元罚款；</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7"/>
              </w:rPr>
              <w:t>（二）</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7"/>
              </w:rPr>
              <w:t>对时任董秘李某木给予警告，</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7"/>
              </w:rPr>
              <w:t>并处以一百万</w:t>
            </w:r>
            <w:r>
              <w:rPr>
                <w:rFonts w:ascii="Microsoft YaHei" w:hAnsi="Microsoft YaHei" w:eastAsia="Microsoft YaHei" w:cs="Microsoft YaHei"/>
                <w:sz w:val="21"/>
                <w:szCs w:val="21"/>
                <w:spacing w:val="-8"/>
              </w:rPr>
              <w:t>元罚款。</w:t>
            </w:r>
          </w:p>
        </w:tc>
      </w:tr>
    </w:tbl>
    <w:p>
      <w:pPr>
        <w:pStyle w:val="BodyText"/>
        <w:rPr/>
      </w:pPr>
      <w:r/>
    </w:p>
    <w:p>
      <w:pPr>
        <w:sectPr>
          <w:pgSz w:w="11912" w:h="16841"/>
          <w:pgMar w:top="400" w:right="1786" w:bottom="0" w:left="992" w:header="0" w:footer="0" w:gutter="0"/>
        </w:sectPr>
        <w:rPr/>
      </w:pPr>
    </w:p>
    <w:p>
      <w:pPr>
        <w:spacing w:before="107" w:line="19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4"/>
        </w:rPr>
        <w:t>（3）行政监管措施</w:t>
      </w:r>
    </w:p>
    <w:p>
      <w:pPr>
        <w:spacing w:line="217" w:lineRule="exact"/>
        <w:rPr/>
      </w:pPr>
      <w:r/>
    </w:p>
    <w:tbl>
      <w:tblPr>
        <w:tblStyle w:val="TableNormal"/>
        <w:tblW w:w="8055" w:type="dxa"/>
        <w:tblInd w:w="1005"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388" w:hRule="atLeast"/>
        </w:trPr>
        <w:tc>
          <w:tcPr>
            <w:shd w:val="clear" w:fill="4F81BD"/>
            <w:tcW w:w="1214" w:type="dxa"/>
            <w:vAlign w:val="top"/>
            <w:tcBorders>
              <w:bottom w:val="single" w:color="4F81BD" w:sz="2" w:space="0"/>
            </w:tcBorders>
          </w:tcPr>
          <w:p>
            <w:pPr>
              <w:ind w:left="181"/>
              <w:spacing w:before="115"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公司代码</w:t>
            </w:r>
          </w:p>
        </w:tc>
        <w:tc>
          <w:tcPr>
            <w:shd w:val="clear" w:fill="4F81BD"/>
            <w:tcW w:w="1345" w:type="dxa"/>
            <w:vAlign w:val="top"/>
            <w:tcBorders>
              <w:bottom w:val="single" w:color="4F81BD" w:sz="2" w:space="0"/>
            </w:tcBorders>
          </w:tcPr>
          <w:p>
            <w:pPr>
              <w:ind w:left="243"/>
              <w:spacing w:before="115"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公司简称</w:t>
            </w:r>
          </w:p>
        </w:tc>
        <w:tc>
          <w:tcPr>
            <w:shd w:val="clear" w:fill="4F81BD"/>
            <w:tcW w:w="5496" w:type="dxa"/>
            <w:vAlign w:val="top"/>
            <w:tcBorders>
              <w:bottom w:val="single" w:color="4F81BD" w:sz="2" w:space="0"/>
            </w:tcBorders>
          </w:tcPr>
          <w:p>
            <w:pPr>
              <w:ind w:left="2321"/>
              <w:spacing w:before="115"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rPr>
              <w:t>违规行为</w:t>
            </w:r>
          </w:p>
        </w:tc>
      </w:tr>
      <w:tr>
        <w:trPr>
          <w:trHeight w:val="1089" w:hRule="atLeast"/>
        </w:trPr>
        <w:tc>
          <w:tcPr>
            <w:shd w:val="clear" w:fill="B8CCE4"/>
            <w:tcW w:w="1214" w:type="dxa"/>
            <w:vAlign w:val="top"/>
            <w:tcBorders>
              <w:top w:val="single" w:color="4F81BD" w:sz="2" w:space="0"/>
            </w:tcBorders>
          </w:tcPr>
          <w:p>
            <w:pPr>
              <w:spacing w:line="370" w:lineRule="auto"/>
              <w:rPr>
                <w:rFonts w:ascii="Arial"/>
                <w:sz w:val="21"/>
              </w:rPr>
            </w:pPr>
            <w:r/>
          </w:p>
          <w:p>
            <w:pPr>
              <w:ind w:left="239"/>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600030</w:t>
            </w:r>
          </w:p>
        </w:tc>
        <w:tc>
          <w:tcPr>
            <w:shd w:val="clear" w:fill="B8CCE4"/>
            <w:tcW w:w="1345" w:type="dxa"/>
            <w:vAlign w:val="top"/>
            <w:tcBorders>
              <w:top w:val="single" w:color="4F81BD" w:sz="2" w:space="0"/>
            </w:tcBorders>
          </w:tcPr>
          <w:p>
            <w:pPr>
              <w:spacing w:line="361" w:lineRule="auto"/>
              <w:rPr>
                <w:rFonts w:ascii="Arial"/>
                <w:sz w:val="21"/>
              </w:rPr>
            </w:pPr>
            <w:r/>
          </w:p>
          <w:p>
            <w:pPr>
              <w:ind w:left="257"/>
              <w:spacing w:before="9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中信证券</w:t>
            </w:r>
          </w:p>
        </w:tc>
        <w:tc>
          <w:tcPr>
            <w:shd w:val="clear" w:fill="B8CCE4"/>
            <w:tcW w:w="5496" w:type="dxa"/>
            <w:vAlign w:val="top"/>
            <w:tcBorders>
              <w:top w:val="single" w:color="4F81BD" w:sz="2" w:space="0"/>
            </w:tcBorders>
          </w:tcPr>
          <w:p>
            <w:pPr>
              <w:ind w:left="101" w:right="101" w:firstLine="13"/>
              <w:spacing w:before="92"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中国证监会发现保荐人保荐的恒逸石化股份有限公司（发</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3"/>
              </w:rPr>
              <w:t>行人）</w:t>
            </w:r>
            <w:r>
              <w:rPr>
                <w:rFonts w:ascii="Microsoft YaHei" w:hAnsi="Microsoft YaHei" w:eastAsia="Microsoft YaHei" w:cs="Microsoft YaHei"/>
                <w:sz w:val="21"/>
                <w:szCs w:val="21"/>
                <w:spacing w:val="40"/>
              </w:rPr>
              <w:t xml:space="preserve"> </w:t>
            </w:r>
            <w:r>
              <w:rPr>
                <w:rFonts w:ascii="Microsoft YaHei" w:hAnsi="Microsoft YaHei" w:eastAsia="Microsoft YaHei" w:cs="Microsoft YaHei"/>
                <w:sz w:val="21"/>
                <w:szCs w:val="21"/>
                <w:b/>
                <w:bCs/>
                <w:spacing w:val="-3"/>
              </w:rPr>
              <w:t>可转债项目</w:t>
            </w:r>
            <w:r>
              <w:rPr>
                <w:rFonts w:ascii="Microsoft YaHei" w:hAnsi="Microsoft YaHei" w:eastAsia="Microsoft YaHei" w:cs="Microsoft YaHei"/>
                <w:sz w:val="21"/>
                <w:szCs w:val="21"/>
                <w:spacing w:val="-3"/>
              </w:rPr>
              <w:t>，发行人证券发行上市当年即亏损、营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业利润比上年下滑50%以上。</w:t>
            </w:r>
          </w:p>
        </w:tc>
      </w:tr>
      <w:tr>
        <w:trPr>
          <w:trHeight w:val="726" w:hRule="atLeast"/>
        </w:trPr>
        <w:tc>
          <w:tcPr>
            <w:tcW w:w="8055" w:type="dxa"/>
            <w:vAlign w:val="top"/>
            <w:gridSpan w:val="3"/>
          </w:tcPr>
          <w:p>
            <w:pPr>
              <w:ind w:left="103" w:right="100" w:firstLine="14"/>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中国证监会决定对保荐人毛某玄、朱某采取监管谈话的行政监督管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理措施。</w:t>
            </w:r>
          </w:p>
        </w:tc>
      </w:tr>
      <w:tr>
        <w:trPr>
          <w:trHeight w:val="1086" w:hRule="atLeast"/>
        </w:trPr>
        <w:tc>
          <w:tcPr>
            <w:shd w:val="clear" w:fill="B8CCE4"/>
            <w:tcW w:w="1214" w:type="dxa"/>
            <w:vAlign w:val="top"/>
          </w:tcPr>
          <w:p>
            <w:pPr>
              <w:spacing w:line="365" w:lineRule="auto"/>
              <w:rPr>
                <w:rFonts w:ascii="Arial"/>
                <w:sz w:val="21"/>
              </w:rPr>
            </w:pPr>
            <w:r/>
          </w:p>
          <w:p>
            <w:pPr>
              <w:ind w:left="239"/>
              <w:spacing w:before="91"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603058</w:t>
            </w:r>
          </w:p>
        </w:tc>
        <w:tc>
          <w:tcPr>
            <w:shd w:val="clear" w:fill="B8CCE4"/>
            <w:tcW w:w="1345" w:type="dxa"/>
            <w:vAlign w:val="top"/>
          </w:tcPr>
          <w:p>
            <w:pPr>
              <w:spacing w:line="357" w:lineRule="auto"/>
              <w:rPr>
                <w:rFonts w:ascii="Arial"/>
                <w:sz w:val="21"/>
              </w:rPr>
            </w:pPr>
            <w:r/>
          </w:p>
          <w:p>
            <w:pPr>
              <w:ind w:left="242"/>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永吉股份</w:t>
            </w:r>
          </w:p>
        </w:tc>
        <w:tc>
          <w:tcPr>
            <w:shd w:val="clear" w:fill="B8CCE4"/>
            <w:tcW w:w="5496" w:type="dxa"/>
            <w:vAlign w:val="top"/>
          </w:tcPr>
          <w:p>
            <w:pPr>
              <w:ind w:left="100" w:right="126" w:firstLine="14"/>
              <w:spacing w:before="89"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中国证监会发现保荐人保荐的贵州永吉印务股份有限公司</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3"/>
              </w:rPr>
              <w:t>（发行人） </w:t>
            </w:r>
            <w:r>
              <w:rPr>
                <w:rFonts w:ascii="Microsoft YaHei" w:hAnsi="Microsoft YaHei" w:eastAsia="Microsoft YaHei" w:cs="Microsoft YaHei"/>
                <w:sz w:val="21"/>
                <w:szCs w:val="21"/>
                <w:b/>
                <w:bCs/>
                <w:spacing w:val="-3"/>
              </w:rPr>
              <w:t>可转债项目</w:t>
            </w:r>
            <w:r>
              <w:rPr>
                <w:rFonts w:ascii="Microsoft YaHei" w:hAnsi="Microsoft YaHei" w:eastAsia="Microsoft YaHei" w:cs="Microsoft YaHei"/>
                <w:sz w:val="21"/>
                <w:szCs w:val="21"/>
                <w:spacing w:val="-3"/>
              </w:rPr>
              <w:t>，发行人证券发行上市当年营业利</w:t>
            </w:r>
            <w:r>
              <w:rPr>
                <w:rFonts w:ascii="Microsoft YaHei" w:hAnsi="Microsoft YaHei" w:eastAsia="Microsoft YaHei" w:cs="Microsoft YaHei"/>
                <w:sz w:val="21"/>
                <w:szCs w:val="21"/>
                <w:spacing w:val="18"/>
                <w:w w:val="101"/>
              </w:rPr>
              <w:t xml:space="preserve"> </w:t>
            </w:r>
            <w:r>
              <w:rPr>
                <w:rFonts w:ascii="Microsoft YaHei" w:hAnsi="Microsoft YaHei" w:eastAsia="Microsoft YaHei" w:cs="Microsoft YaHei"/>
                <w:sz w:val="21"/>
                <w:szCs w:val="21"/>
              </w:rPr>
              <w:t>润比上年下滑50%以上。</w:t>
            </w:r>
          </w:p>
        </w:tc>
      </w:tr>
      <w:tr>
        <w:trPr>
          <w:trHeight w:val="723" w:hRule="atLeast"/>
        </w:trPr>
        <w:tc>
          <w:tcPr>
            <w:tcW w:w="8055" w:type="dxa"/>
            <w:vAlign w:val="top"/>
            <w:gridSpan w:val="3"/>
          </w:tcPr>
          <w:p>
            <w:pPr>
              <w:ind w:left="103" w:right="100" w:firstLine="14"/>
              <w:spacing w:before="8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中国证监会决定对保荐人刘某、陈某昕采取监管谈话的行政监督管</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rPr>
              <w:t>理措施。</w:t>
            </w:r>
          </w:p>
        </w:tc>
      </w:tr>
      <w:tr>
        <w:trPr>
          <w:trHeight w:val="1086" w:hRule="atLeast"/>
        </w:trPr>
        <w:tc>
          <w:tcPr>
            <w:shd w:val="clear" w:fill="B8CCE4"/>
            <w:tcW w:w="1214" w:type="dxa"/>
            <w:vAlign w:val="top"/>
          </w:tcPr>
          <w:p>
            <w:pPr>
              <w:spacing w:line="370" w:lineRule="auto"/>
              <w:rPr>
                <w:rFonts w:ascii="Arial"/>
                <w:sz w:val="21"/>
              </w:rPr>
            </w:pPr>
            <w:r/>
          </w:p>
          <w:p>
            <w:pPr>
              <w:ind w:left="236"/>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002753</w:t>
            </w:r>
          </w:p>
        </w:tc>
        <w:tc>
          <w:tcPr>
            <w:shd w:val="clear" w:fill="B8CCE4"/>
            <w:tcW w:w="1345" w:type="dxa"/>
            <w:vAlign w:val="top"/>
          </w:tcPr>
          <w:p>
            <w:pPr>
              <w:spacing w:line="361" w:lineRule="auto"/>
              <w:rPr>
                <w:rFonts w:ascii="Arial"/>
                <w:sz w:val="21"/>
              </w:rPr>
            </w:pPr>
            <w:r/>
          </w:p>
          <w:p>
            <w:pPr>
              <w:ind w:left="242"/>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永东股份</w:t>
            </w:r>
          </w:p>
        </w:tc>
        <w:tc>
          <w:tcPr>
            <w:shd w:val="clear" w:fill="B8CCE4"/>
            <w:tcW w:w="5496" w:type="dxa"/>
            <w:vAlign w:val="top"/>
          </w:tcPr>
          <w:p>
            <w:pPr>
              <w:ind w:left="100" w:right="101" w:firstLine="14"/>
              <w:spacing w:before="89"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中国证监会发现保荐人保荐的山西永东化工股份有限公司</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4"/>
              </w:rPr>
              <w:t>（发行人）  </w:t>
            </w:r>
            <w:r>
              <w:rPr>
                <w:rFonts w:ascii="Microsoft YaHei" w:hAnsi="Microsoft YaHei" w:eastAsia="Microsoft YaHei" w:cs="Microsoft YaHei"/>
                <w:sz w:val="21"/>
                <w:szCs w:val="21"/>
                <w:b/>
                <w:bCs/>
                <w:spacing w:val="-4"/>
              </w:rPr>
              <w:t>可转债项目</w:t>
            </w:r>
            <w:r>
              <w:rPr>
                <w:rFonts w:ascii="Microsoft YaHei" w:hAnsi="Microsoft YaHei" w:eastAsia="Microsoft YaHei" w:cs="Microsoft YaHei"/>
                <w:sz w:val="21"/>
                <w:szCs w:val="21"/>
                <w:spacing w:val="-4"/>
              </w:rPr>
              <w:t>，发行人证券发行上市当年营业利</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rPr>
              <w:t>润比上年下滑50%以上。</w:t>
            </w:r>
          </w:p>
        </w:tc>
      </w:tr>
      <w:tr>
        <w:trPr>
          <w:trHeight w:val="723" w:hRule="atLeast"/>
        </w:trPr>
        <w:tc>
          <w:tcPr>
            <w:tcW w:w="8055" w:type="dxa"/>
            <w:vAlign w:val="top"/>
            <w:gridSpan w:val="3"/>
          </w:tcPr>
          <w:p>
            <w:pPr>
              <w:ind w:left="103" w:right="100" w:firstLine="14"/>
              <w:spacing w:before="91"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中国证监会决定对保荐人崔某良、潘某采取监管谈话的行政监督管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理措施。</w:t>
            </w:r>
          </w:p>
        </w:tc>
      </w:tr>
      <w:tr>
        <w:trPr>
          <w:trHeight w:val="1086" w:hRule="atLeast"/>
        </w:trPr>
        <w:tc>
          <w:tcPr>
            <w:shd w:val="clear" w:fill="B8CCE4"/>
            <w:tcW w:w="1214" w:type="dxa"/>
            <w:vAlign w:val="top"/>
          </w:tcPr>
          <w:p>
            <w:pPr>
              <w:spacing w:line="372" w:lineRule="auto"/>
              <w:rPr>
                <w:rFonts w:ascii="Arial"/>
                <w:sz w:val="21"/>
              </w:rPr>
            </w:pPr>
            <w:r/>
          </w:p>
          <w:p>
            <w:pPr>
              <w:ind w:left="236"/>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002753</w:t>
            </w:r>
          </w:p>
        </w:tc>
        <w:tc>
          <w:tcPr>
            <w:shd w:val="clear" w:fill="B8CCE4"/>
            <w:tcW w:w="1345" w:type="dxa"/>
            <w:vAlign w:val="top"/>
          </w:tcPr>
          <w:p>
            <w:pPr>
              <w:spacing w:line="363" w:lineRule="auto"/>
              <w:rPr>
                <w:rFonts w:ascii="Arial"/>
                <w:sz w:val="21"/>
              </w:rPr>
            </w:pPr>
            <w:r/>
          </w:p>
          <w:p>
            <w:pPr>
              <w:ind w:left="242"/>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永东股份</w:t>
            </w:r>
          </w:p>
        </w:tc>
        <w:tc>
          <w:tcPr>
            <w:shd w:val="clear" w:fill="B8CCE4"/>
            <w:tcW w:w="5496" w:type="dxa"/>
            <w:vAlign w:val="top"/>
          </w:tcPr>
          <w:p>
            <w:pPr>
              <w:ind w:left="100" w:right="101" w:firstLine="14"/>
              <w:spacing w:before="94"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中国证监会发现保荐人保荐的山西永东化工股份有限公司</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4"/>
              </w:rPr>
              <w:t>（发行人）  </w:t>
            </w:r>
            <w:r>
              <w:rPr>
                <w:rFonts w:ascii="Microsoft YaHei" w:hAnsi="Microsoft YaHei" w:eastAsia="Microsoft YaHei" w:cs="Microsoft YaHei"/>
                <w:sz w:val="21"/>
                <w:szCs w:val="21"/>
                <w:b/>
                <w:bCs/>
                <w:spacing w:val="-4"/>
              </w:rPr>
              <w:t>可转债项目</w:t>
            </w:r>
            <w:r>
              <w:rPr>
                <w:rFonts w:ascii="Microsoft YaHei" w:hAnsi="Microsoft YaHei" w:eastAsia="Microsoft YaHei" w:cs="Microsoft YaHei"/>
                <w:sz w:val="21"/>
                <w:szCs w:val="21"/>
                <w:spacing w:val="-4"/>
              </w:rPr>
              <w:t>，发行人证券发行上市当年营业利</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rPr>
              <w:t>润比上年下滑50%以上。</w:t>
            </w:r>
          </w:p>
        </w:tc>
      </w:tr>
      <w:tr>
        <w:trPr>
          <w:trHeight w:val="723" w:hRule="atLeast"/>
        </w:trPr>
        <w:tc>
          <w:tcPr>
            <w:tcW w:w="8055" w:type="dxa"/>
            <w:vAlign w:val="top"/>
            <w:gridSpan w:val="3"/>
          </w:tcPr>
          <w:p>
            <w:pPr>
              <w:ind w:left="104" w:right="100" w:firstLine="14"/>
              <w:spacing w:before="94"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中国证监会决定对中德证券有限责任公司采取出具警示函的行政监</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督管理措施。</w:t>
            </w:r>
          </w:p>
        </w:tc>
      </w:tr>
      <w:tr>
        <w:trPr>
          <w:trHeight w:val="1086" w:hRule="atLeast"/>
        </w:trPr>
        <w:tc>
          <w:tcPr>
            <w:shd w:val="clear" w:fill="B8CCE4"/>
            <w:tcW w:w="1214" w:type="dxa"/>
            <w:vAlign w:val="top"/>
          </w:tcPr>
          <w:p>
            <w:pPr>
              <w:spacing w:line="374" w:lineRule="auto"/>
              <w:rPr>
                <w:rFonts w:ascii="Arial"/>
                <w:sz w:val="21"/>
              </w:rPr>
            </w:pPr>
            <w:r/>
          </w:p>
          <w:p>
            <w:pPr>
              <w:ind w:left="239"/>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600030</w:t>
            </w:r>
          </w:p>
        </w:tc>
        <w:tc>
          <w:tcPr>
            <w:shd w:val="clear" w:fill="B8CCE4"/>
            <w:tcW w:w="1345" w:type="dxa"/>
            <w:vAlign w:val="top"/>
          </w:tcPr>
          <w:p>
            <w:pPr>
              <w:spacing w:line="365" w:lineRule="auto"/>
              <w:rPr>
                <w:rFonts w:ascii="Arial"/>
                <w:sz w:val="21"/>
              </w:rPr>
            </w:pPr>
            <w:r/>
          </w:p>
          <w:p>
            <w:pPr>
              <w:ind w:left="257"/>
              <w:spacing w:before="9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中信证券</w:t>
            </w:r>
          </w:p>
        </w:tc>
        <w:tc>
          <w:tcPr>
            <w:shd w:val="clear" w:fill="B8CCE4"/>
            <w:tcW w:w="5496" w:type="dxa"/>
            <w:vAlign w:val="top"/>
          </w:tcPr>
          <w:p>
            <w:pPr>
              <w:ind w:left="101" w:right="101" w:firstLine="13"/>
              <w:spacing w:before="98"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中国证监会发现保荐人保荐的恒逸石化股份有限公司（发</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3"/>
              </w:rPr>
              <w:t>行人）</w:t>
            </w:r>
            <w:r>
              <w:rPr>
                <w:rFonts w:ascii="Microsoft YaHei" w:hAnsi="Microsoft YaHei" w:eastAsia="Microsoft YaHei" w:cs="Microsoft YaHei"/>
                <w:sz w:val="21"/>
                <w:szCs w:val="21"/>
                <w:spacing w:val="40"/>
              </w:rPr>
              <w:t xml:space="preserve"> </w:t>
            </w:r>
            <w:r>
              <w:rPr>
                <w:rFonts w:ascii="Microsoft YaHei" w:hAnsi="Microsoft YaHei" w:eastAsia="Microsoft YaHei" w:cs="Microsoft YaHei"/>
                <w:sz w:val="21"/>
                <w:szCs w:val="21"/>
                <w:b/>
                <w:bCs/>
                <w:spacing w:val="-3"/>
              </w:rPr>
              <w:t>可转债项目</w:t>
            </w:r>
            <w:r>
              <w:rPr>
                <w:rFonts w:ascii="Microsoft YaHei" w:hAnsi="Microsoft YaHei" w:eastAsia="Microsoft YaHei" w:cs="Microsoft YaHei"/>
                <w:sz w:val="21"/>
                <w:szCs w:val="21"/>
                <w:spacing w:val="-3"/>
              </w:rPr>
              <w:t>，发行人证券发行上市当年即亏损、营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业利润比上年下滑50%以上。</w:t>
            </w:r>
          </w:p>
        </w:tc>
      </w:tr>
      <w:tr>
        <w:trPr>
          <w:trHeight w:val="724" w:hRule="atLeast"/>
        </w:trPr>
        <w:tc>
          <w:tcPr>
            <w:tcW w:w="8055" w:type="dxa"/>
            <w:vAlign w:val="top"/>
            <w:gridSpan w:val="3"/>
          </w:tcPr>
          <w:p>
            <w:pPr>
              <w:ind w:left="104" w:right="100" w:firstLine="14"/>
              <w:spacing w:before="95"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中国证监会决定对中信证券股份有限公司采取出具警示函的行政监</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rPr>
              <w:t>督管理措施。</w:t>
            </w:r>
          </w:p>
        </w:tc>
      </w:tr>
      <w:tr>
        <w:trPr>
          <w:trHeight w:val="1086" w:hRule="atLeast"/>
        </w:trPr>
        <w:tc>
          <w:tcPr>
            <w:shd w:val="clear" w:fill="B8CCE4"/>
            <w:tcW w:w="1214" w:type="dxa"/>
            <w:vAlign w:val="top"/>
          </w:tcPr>
          <w:p>
            <w:pPr>
              <w:spacing w:line="375" w:lineRule="auto"/>
              <w:rPr>
                <w:rFonts w:ascii="Arial"/>
                <w:sz w:val="21"/>
              </w:rPr>
            </w:pPr>
            <w:r/>
          </w:p>
          <w:p>
            <w:pPr>
              <w:ind w:left="239"/>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603058</w:t>
            </w:r>
          </w:p>
        </w:tc>
        <w:tc>
          <w:tcPr>
            <w:shd w:val="clear" w:fill="B8CCE4"/>
            <w:tcW w:w="1345" w:type="dxa"/>
            <w:vAlign w:val="top"/>
          </w:tcPr>
          <w:p>
            <w:pPr>
              <w:spacing w:line="366" w:lineRule="auto"/>
              <w:rPr>
                <w:rFonts w:ascii="Arial"/>
                <w:sz w:val="21"/>
              </w:rPr>
            </w:pPr>
            <w:r/>
          </w:p>
          <w:p>
            <w:pPr>
              <w:ind w:left="242"/>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永吉股份</w:t>
            </w:r>
          </w:p>
        </w:tc>
        <w:tc>
          <w:tcPr>
            <w:shd w:val="clear" w:fill="B8CCE4"/>
            <w:tcW w:w="5496" w:type="dxa"/>
            <w:vAlign w:val="top"/>
          </w:tcPr>
          <w:p>
            <w:pPr>
              <w:ind w:left="100" w:right="126" w:firstLine="14"/>
              <w:spacing w:before="98"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中国证监会发现保荐人保荐的贵州永吉印务股份有限公司</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3"/>
              </w:rPr>
              <w:t>（发行人） </w:t>
            </w:r>
            <w:r>
              <w:rPr>
                <w:rFonts w:ascii="Microsoft YaHei" w:hAnsi="Microsoft YaHei" w:eastAsia="Microsoft YaHei" w:cs="Microsoft YaHei"/>
                <w:sz w:val="21"/>
                <w:szCs w:val="21"/>
                <w:b/>
                <w:bCs/>
                <w:spacing w:val="-3"/>
              </w:rPr>
              <w:t>可转债项目</w:t>
            </w:r>
            <w:r>
              <w:rPr>
                <w:rFonts w:ascii="Microsoft YaHei" w:hAnsi="Microsoft YaHei" w:eastAsia="Microsoft YaHei" w:cs="Microsoft YaHei"/>
                <w:sz w:val="21"/>
                <w:szCs w:val="21"/>
                <w:spacing w:val="-3"/>
              </w:rPr>
              <w:t>，发行人证券发行上市当年营业利</w:t>
            </w:r>
            <w:r>
              <w:rPr>
                <w:rFonts w:ascii="Microsoft YaHei" w:hAnsi="Microsoft YaHei" w:eastAsia="Microsoft YaHei" w:cs="Microsoft YaHei"/>
                <w:sz w:val="21"/>
                <w:szCs w:val="21"/>
                <w:spacing w:val="18"/>
                <w:w w:val="101"/>
              </w:rPr>
              <w:t xml:space="preserve"> </w:t>
            </w:r>
            <w:r>
              <w:rPr>
                <w:rFonts w:ascii="Microsoft YaHei" w:hAnsi="Microsoft YaHei" w:eastAsia="Microsoft YaHei" w:cs="Microsoft YaHei"/>
                <w:sz w:val="21"/>
                <w:szCs w:val="21"/>
              </w:rPr>
              <w:t>润比上年下滑50%以上。</w:t>
            </w:r>
          </w:p>
        </w:tc>
      </w:tr>
      <w:tr>
        <w:trPr>
          <w:trHeight w:val="726" w:hRule="atLeast"/>
        </w:trPr>
        <w:tc>
          <w:tcPr>
            <w:tcW w:w="8055" w:type="dxa"/>
            <w:vAlign w:val="top"/>
            <w:gridSpan w:val="3"/>
          </w:tcPr>
          <w:p>
            <w:pPr>
              <w:ind w:left="104" w:right="100" w:firstLine="14"/>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中国证监会决定对万和证券股份有限公司采取出具警示函的行政监</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督管理措施。</w:t>
            </w:r>
          </w:p>
        </w:tc>
      </w:tr>
      <w:tr>
        <w:trPr>
          <w:trHeight w:val="1083" w:hRule="atLeast"/>
        </w:trPr>
        <w:tc>
          <w:tcPr>
            <w:shd w:val="clear" w:fill="B8CCE4"/>
            <w:tcW w:w="1214" w:type="dxa"/>
            <w:vAlign w:val="top"/>
          </w:tcPr>
          <w:p>
            <w:pPr>
              <w:spacing w:line="373" w:lineRule="auto"/>
              <w:rPr>
                <w:rFonts w:ascii="Arial"/>
                <w:sz w:val="21"/>
              </w:rPr>
            </w:pPr>
            <w:r/>
          </w:p>
          <w:p>
            <w:pPr>
              <w:ind w:left="236"/>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000415</w:t>
            </w:r>
          </w:p>
        </w:tc>
        <w:tc>
          <w:tcPr>
            <w:shd w:val="clear" w:fill="B8CCE4"/>
            <w:tcW w:w="1345" w:type="dxa"/>
            <w:vAlign w:val="top"/>
          </w:tcPr>
          <w:p>
            <w:pPr>
              <w:spacing w:line="364" w:lineRule="auto"/>
              <w:rPr>
                <w:rFonts w:ascii="Arial"/>
                <w:sz w:val="21"/>
              </w:rPr>
            </w:pPr>
            <w:r/>
          </w:p>
          <w:p>
            <w:pPr>
              <w:ind w:left="242"/>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渤海租赁</w:t>
            </w:r>
          </w:p>
        </w:tc>
        <w:tc>
          <w:tcPr>
            <w:shd w:val="clear" w:fill="B8CCE4"/>
            <w:tcW w:w="5496" w:type="dxa"/>
            <w:vAlign w:val="top"/>
          </w:tcPr>
          <w:p>
            <w:pPr>
              <w:ind w:left="100" w:right="126"/>
              <w:spacing w:before="95"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天津通万投资合伙企业（有限合伙） 企业在收购完成后的</w:t>
            </w:r>
            <w:r>
              <w:rPr>
                <w:rFonts w:ascii="Microsoft YaHei" w:hAnsi="Microsoft YaHei" w:eastAsia="Microsoft YaHei" w:cs="Microsoft YaHei"/>
                <w:sz w:val="21"/>
                <w:szCs w:val="21"/>
                <w:spacing w:val="18"/>
                <w:w w:val="101"/>
              </w:rPr>
              <w:t xml:space="preserve"> </w:t>
            </w:r>
            <w:r>
              <w:rPr>
                <w:rFonts w:ascii="Microsoft YaHei" w:hAnsi="Microsoft YaHei" w:eastAsia="Microsoft YaHei" w:cs="Microsoft YaHei"/>
                <w:sz w:val="21"/>
                <w:szCs w:val="21"/>
                <w:b/>
                <w:bCs/>
              </w:rPr>
              <w:t>18个月内转让渤海租赁股票</w:t>
            </w:r>
            <w:r>
              <w:rPr>
                <w:rFonts w:ascii="Microsoft YaHei" w:hAnsi="Microsoft YaHei" w:eastAsia="Microsoft YaHei" w:cs="Microsoft YaHei"/>
                <w:sz w:val="21"/>
                <w:szCs w:val="21"/>
              </w:rPr>
              <w:t>，且未及时公告持股比</w:t>
            </w:r>
            <w:r>
              <w:rPr>
                <w:rFonts w:ascii="Microsoft YaHei" w:hAnsi="Microsoft YaHei" w:eastAsia="Microsoft YaHei" w:cs="Microsoft YaHei"/>
                <w:sz w:val="21"/>
                <w:szCs w:val="21"/>
                <w:spacing w:val="-1"/>
              </w:rPr>
              <w:t>例</w:t>
            </w:r>
            <w:r>
              <w:rPr>
                <w:rFonts w:ascii="Microsoft YaHei" w:hAnsi="Microsoft YaHei" w:eastAsia="Microsoft YaHei" w:cs="Microsoft YaHei"/>
                <w:sz w:val="21"/>
                <w:szCs w:val="21"/>
                <w:b/>
                <w:bCs/>
                <w:spacing w:val="-1"/>
              </w:rPr>
              <w:t>变   </w:t>
            </w:r>
            <w:r>
              <w:rPr>
                <w:rFonts w:ascii="Microsoft YaHei" w:hAnsi="Microsoft YaHei" w:eastAsia="Microsoft YaHei" w:cs="Microsoft YaHei"/>
                <w:sz w:val="21"/>
                <w:szCs w:val="21"/>
                <w:b/>
                <w:bCs/>
                <w:spacing w:val="-3"/>
              </w:rPr>
              <w:t>动达到1%</w:t>
            </w:r>
            <w:r>
              <w:rPr>
                <w:rFonts w:ascii="Microsoft YaHei" w:hAnsi="Microsoft YaHei" w:eastAsia="Microsoft YaHei" w:cs="Microsoft YaHei"/>
                <w:sz w:val="21"/>
                <w:szCs w:val="21"/>
                <w:spacing w:val="-3"/>
              </w:rPr>
              <w:t>的情况。</w:t>
            </w:r>
          </w:p>
        </w:tc>
      </w:tr>
      <w:tr>
        <w:trPr>
          <w:trHeight w:val="726" w:hRule="atLeast"/>
        </w:trPr>
        <w:tc>
          <w:tcPr>
            <w:tcW w:w="8055" w:type="dxa"/>
            <w:vAlign w:val="top"/>
            <w:gridSpan w:val="3"/>
          </w:tcPr>
          <w:p>
            <w:pPr>
              <w:ind w:left="134" w:right="100" w:hanging="16"/>
              <w:spacing w:before="100"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中国证券监督管理委员会新疆监管局决定对天津通万投资合伙企业</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（有限合伙）企业采取出具警示函的监督管理措施，并记入证券期货市场诚信档案。</w:t>
            </w:r>
          </w:p>
        </w:tc>
      </w:tr>
      <w:tr>
        <w:trPr>
          <w:trHeight w:val="2174" w:hRule="atLeast"/>
        </w:trPr>
        <w:tc>
          <w:tcPr>
            <w:shd w:val="clear" w:fill="B8CCE4"/>
            <w:tcW w:w="1214" w:type="dxa"/>
            <w:vAlign w:val="top"/>
          </w:tcPr>
          <w:p>
            <w:pPr>
              <w:spacing w:line="303" w:lineRule="auto"/>
              <w:rPr>
                <w:rFonts w:ascii="Arial"/>
                <w:sz w:val="21"/>
              </w:rPr>
            </w:pPr>
            <w:r/>
          </w:p>
          <w:p>
            <w:pPr>
              <w:spacing w:line="304" w:lineRule="auto"/>
              <w:rPr>
                <w:rFonts w:ascii="Arial"/>
                <w:sz w:val="21"/>
              </w:rPr>
            </w:pPr>
            <w:r/>
          </w:p>
          <w:p>
            <w:pPr>
              <w:spacing w:line="304" w:lineRule="auto"/>
              <w:rPr>
                <w:rFonts w:ascii="Arial"/>
                <w:sz w:val="21"/>
              </w:rPr>
            </w:pPr>
            <w:r/>
          </w:p>
          <w:p>
            <w:pPr>
              <w:ind w:left="236"/>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000831</w:t>
            </w:r>
          </w:p>
        </w:tc>
        <w:tc>
          <w:tcPr>
            <w:shd w:val="clear" w:fill="B8CCE4"/>
            <w:tcW w:w="1345" w:type="dxa"/>
            <w:vAlign w:val="top"/>
          </w:tcPr>
          <w:p>
            <w:pPr>
              <w:spacing w:line="301" w:lineRule="auto"/>
              <w:rPr>
                <w:rFonts w:ascii="Arial"/>
                <w:sz w:val="21"/>
              </w:rPr>
            </w:pPr>
            <w:r/>
          </w:p>
          <w:p>
            <w:pPr>
              <w:spacing w:line="301" w:lineRule="auto"/>
              <w:rPr>
                <w:rFonts w:ascii="Arial"/>
                <w:sz w:val="21"/>
              </w:rPr>
            </w:pPr>
            <w:r/>
          </w:p>
          <w:p>
            <w:pPr>
              <w:spacing w:line="302" w:lineRule="auto"/>
              <w:rPr>
                <w:rFonts w:ascii="Arial"/>
                <w:sz w:val="21"/>
              </w:rPr>
            </w:pPr>
            <w:r/>
          </w:p>
          <w:p>
            <w:pPr>
              <w:ind w:left="257"/>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中国稀土</w:t>
            </w:r>
          </w:p>
        </w:tc>
        <w:tc>
          <w:tcPr>
            <w:shd w:val="clear" w:fill="B8CCE4"/>
            <w:tcW w:w="5496" w:type="dxa"/>
            <w:vAlign w:val="top"/>
          </w:tcPr>
          <w:p>
            <w:pPr>
              <w:ind w:left="99" w:right="97" w:firstLine="10"/>
              <w:spacing w:before="101" w:line="22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1"/>
              </w:rPr>
              <w:t>2021年12月独立董事李某国因任期达到六年辞任，</w:t>
            </w:r>
            <w:r>
              <w:rPr>
                <w:rFonts w:ascii="Microsoft YaHei" w:hAnsi="Microsoft YaHei" w:eastAsia="Microsoft YaHei" w:cs="Microsoft YaHei"/>
                <w:sz w:val="21"/>
                <w:szCs w:val="21"/>
                <w:spacing w:val="-20"/>
              </w:rPr>
              <w:t xml:space="preserve"> </w:t>
            </w:r>
            <w:r>
              <w:rPr>
                <w:rFonts w:ascii="Microsoft YaHei" w:hAnsi="Microsoft YaHei" w:eastAsia="Microsoft YaHei" w:cs="Microsoft YaHei"/>
                <w:sz w:val="21"/>
                <w:szCs w:val="21"/>
                <w:spacing w:val="11"/>
              </w:rPr>
              <w:t>至</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2023年4月第八届董事会到期换届期间，</w:t>
            </w:r>
            <w:r>
              <w:rPr>
                <w:rFonts w:ascii="Microsoft YaHei" w:hAnsi="Microsoft YaHei" w:eastAsia="Microsoft YaHei" w:cs="Microsoft YaHei"/>
                <w:sz w:val="21"/>
                <w:szCs w:val="21"/>
                <w:spacing w:val="63"/>
              </w:rPr>
              <w:t xml:space="preserve"> </w:t>
            </w:r>
            <w:r>
              <w:rPr>
                <w:rFonts w:ascii="Microsoft YaHei" w:hAnsi="Microsoft YaHei" w:eastAsia="Microsoft YaHei" w:cs="Microsoft YaHei"/>
                <w:sz w:val="21"/>
                <w:szCs w:val="21"/>
                <w:spacing w:val="-3"/>
              </w:rPr>
              <w:t>中国稀土集团资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源科技股份有限公司未再补选独立董事，上述期间中国稀</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5"/>
              </w:rPr>
              <w:t>土集团资源科技股份有限公司第八届董事会</w:t>
            </w:r>
            <w:r>
              <w:rPr>
                <w:rFonts w:ascii="Microsoft YaHei" w:hAnsi="Microsoft YaHei" w:eastAsia="Microsoft YaHei" w:cs="Microsoft YaHei"/>
                <w:sz w:val="21"/>
                <w:szCs w:val="21"/>
                <w:spacing w:val="4"/>
              </w:rPr>
              <w:t>仅有2名独立</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董事，下设的审计委员会、提名委员会、薪酬与考核委员</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rPr>
              <w:t>会在此期间长期存在</w:t>
            </w:r>
            <w:r>
              <w:rPr>
                <w:rFonts w:ascii="Microsoft YaHei" w:hAnsi="Microsoft YaHei" w:eastAsia="Microsoft YaHei" w:cs="Microsoft YaHei"/>
                <w:sz w:val="21"/>
                <w:szCs w:val="21"/>
                <w:b/>
                <w:bCs/>
              </w:rPr>
              <w:t>独立董事未占多数</w:t>
            </w:r>
            <w:r>
              <w:rPr>
                <w:rFonts w:ascii="Microsoft YaHei" w:hAnsi="Microsoft YaHei" w:eastAsia="Microsoft YaHei" w:cs="Microsoft YaHei"/>
                <w:sz w:val="21"/>
                <w:szCs w:val="21"/>
              </w:rPr>
              <w:t>的情况。</w:t>
            </w:r>
          </w:p>
        </w:tc>
      </w:tr>
    </w:tbl>
    <w:p>
      <w:pPr>
        <w:pStyle w:val="BodyText"/>
        <w:rPr/>
      </w:pPr>
      <w:r/>
    </w:p>
    <w:p>
      <w:pPr>
        <w:sectPr>
          <w:pgSz w:w="11912" w:h="16841"/>
          <w:pgMar w:top="400" w:right="1786" w:bottom="0" w:left="912"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1093" w:hRule="atLeast"/>
        </w:trPr>
        <w:tc>
          <w:tcPr>
            <w:tcW w:w="8055" w:type="dxa"/>
            <w:vAlign w:val="top"/>
            <w:gridSpan w:val="3"/>
            <w:tcBorders>
              <w:top w:val="single" w:color="4F81BD" w:sz="2" w:space="0"/>
            </w:tcBorders>
          </w:tcPr>
          <w:p>
            <w:pPr>
              <w:ind w:left="104" w:right="100" w:firstLine="13"/>
              <w:spacing w:before="96"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中国证券监督管理委员会江西监管局决定对中国稀土集团资源科技</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股份有限公司和董事会秘书王某源采取出具警示函的行政</w:t>
            </w:r>
            <w:r>
              <w:rPr>
                <w:rFonts w:ascii="Microsoft YaHei" w:hAnsi="Microsoft YaHei" w:eastAsia="Microsoft YaHei" w:cs="Microsoft YaHei"/>
                <w:sz w:val="21"/>
                <w:szCs w:val="21"/>
                <w:spacing w:val="1"/>
              </w:rPr>
              <w:t>监管措施，并记入证券期货</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市场诚信档案。</w:t>
            </w:r>
          </w:p>
        </w:tc>
      </w:tr>
      <w:tr>
        <w:trPr>
          <w:trHeight w:val="726" w:hRule="atLeast"/>
        </w:trPr>
        <w:tc>
          <w:tcPr>
            <w:shd w:val="clear" w:fill="B8CCE4"/>
            <w:tcW w:w="1214" w:type="dxa"/>
            <w:vAlign w:val="top"/>
          </w:tcPr>
          <w:p>
            <w:pPr>
              <w:ind w:left="242"/>
              <w:spacing w:before="276"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300167</w:t>
            </w:r>
          </w:p>
        </w:tc>
        <w:tc>
          <w:tcPr>
            <w:shd w:val="clear" w:fill="B8CCE4"/>
            <w:tcW w:w="1345" w:type="dxa"/>
            <w:vAlign w:val="top"/>
          </w:tcPr>
          <w:p>
            <w:pPr>
              <w:ind w:left="236"/>
              <w:spacing w:before="268" w:line="19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ST迪威迅</w:t>
            </w:r>
          </w:p>
        </w:tc>
        <w:tc>
          <w:tcPr>
            <w:shd w:val="clear" w:fill="B8CCE4"/>
            <w:tcW w:w="5496" w:type="dxa"/>
            <w:vAlign w:val="top"/>
          </w:tcPr>
          <w:p>
            <w:pPr>
              <w:ind w:left="101" w:right="102" w:hanging="1"/>
              <w:spacing w:before="88" w:line="20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在以前年度</w:t>
            </w:r>
            <w:r>
              <w:rPr>
                <w:rFonts w:ascii="Microsoft YaHei" w:hAnsi="Microsoft YaHei" w:eastAsia="Microsoft YaHei" w:cs="Microsoft YaHei"/>
                <w:sz w:val="21"/>
                <w:szCs w:val="21"/>
                <w:b/>
                <w:bCs/>
                <w:spacing w:val="1"/>
              </w:rPr>
              <w:t>未充分评估部分应收款项存在的减值迹象</w:t>
            </w:r>
            <w:r>
              <w:rPr>
                <w:rFonts w:ascii="Microsoft YaHei" w:hAnsi="Microsoft YaHei" w:eastAsia="Microsoft YaHei" w:cs="Microsoft YaHei"/>
                <w:sz w:val="21"/>
                <w:szCs w:val="21"/>
                <w:spacing w:val="1"/>
              </w:rPr>
              <w:t>，导 </w:t>
            </w:r>
            <w:r>
              <w:rPr>
                <w:rFonts w:ascii="Microsoft YaHei" w:hAnsi="Microsoft YaHei" w:eastAsia="Microsoft YaHei" w:cs="Microsoft YaHei"/>
                <w:sz w:val="21"/>
                <w:szCs w:val="21"/>
              </w:rPr>
              <w:t>致公司部分应收款项坏账准备计提不充分、不审慎。</w:t>
            </w:r>
          </w:p>
        </w:tc>
      </w:tr>
      <w:tr>
        <w:trPr>
          <w:trHeight w:val="724" w:hRule="atLeast"/>
        </w:trPr>
        <w:tc>
          <w:tcPr>
            <w:tcW w:w="8055" w:type="dxa"/>
            <w:vAlign w:val="top"/>
            <w:gridSpan w:val="3"/>
          </w:tcPr>
          <w:p>
            <w:pPr>
              <w:ind w:left="105" w:right="100" w:firstLine="13"/>
              <w:spacing w:before="89"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中国证券监督管理委员会深圳监管局决定对董事长季某、高管季某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采取出具警示函的监管措施。</w:t>
            </w:r>
          </w:p>
        </w:tc>
      </w:tr>
      <w:tr>
        <w:trPr>
          <w:trHeight w:val="2525" w:hRule="atLeast"/>
        </w:trPr>
        <w:tc>
          <w:tcPr>
            <w:shd w:val="clear" w:fill="B8CCE4"/>
            <w:tcW w:w="1214" w:type="dxa"/>
            <w:vAlign w:val="top"/>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ind w:left="236"/>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002343</w:t>
            </w:r>
          </w:p>
        </w:tc>
        <w:tc>
          <w:tcPr>
            <w:shd w:val="clear" w:fill="B8CCE4"/>
            <w:tcW w:w="1345" w:type="dxa"/>
            <w:vAlign w:val="top"/>
          </w:tcPr>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ind w:left="243"/>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慈文传媒</w:t>
            </w:r>
          </w:p>
        </w:tc>
        <w:tc>
          <w:tcPr>
            <w:shd w:val="clear" w:fill="B8CCE4"/>
            <w:tcW w:w="5496" w:type="dxa"/>
            <w:vAlign w:val="top"/>
          </w:tcPr>
          <w:p>
            <w:pPr>
              <w:ind w:left="100"/>
              <w:spacing w:before="89"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公司2022年年报未准确披露</w:t>
            </w:r>
            <w:r>
              <w:rPr>
                <w:rFonts w:ascii="Microsoft YaHei" w:hAnsi="Microsoft YaHei" w:eastAsia="Microsoft YaHei" w:cs="Microsoft YaHei"/>
                <w:sz w:val="21"/>
                <w:szCs w:val="21"/>
                <w:b/>
                <w:bCs/>
              </w:rPr>
              <w:t>前五大供应商</w:t>
            </w:r>
            <w:r>
              <w:rPr>
                <w:rFonts w:ascii="Microsoft YaHei" w:hAnsi="Microsoft YaHei" w:eastAsia="Microsoft YaHei" w:cs="Microsoft YaHei"/>
                <w:sz w:val="21"/>
                <w:szCs w:val="21"/>
              </w:rPr>
              <w:t>的采购额数</w:t>
            </w:r>
          </w:p>
          <w:p>
            <w:pPr>
              <w:ind w:left="100" w:right="268"/>
              <w:spacing w:before="71"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据；公司2022年末两项长期股权投资存在</w:t>
            </w:r>
            <w:r>
              <w:rPr>
                <w:rFonts w:ascii="Microsoft YaHei" w:hAnsi="Microsoft YaHei" w:eastAsia="Microsoft YaHei" w:cs="Microsoft YaHei"/>
                <w:sz w:val="21"/>
                <w:szCs w:val="21"/>
                <w:b/>
                <w:bCs/>
              </w:rPr>
              <w:t>减值迹象</w:t>
            </w:r>
            <w:r>
              <w:rPr>
                <w:rFonts w:ascii="Microsoft YaHei" w:hAnsi="Microsoft YaHei" w:eastAsia="Microsoft YaHei" w:cs="Microsoft YaHei"/>
                <w:sz w:val="21"/>
                <w:szCs w:val="21"/>
                <w:spacing w:val="-1"/>
              </w:rPr>
              <w:t>，但</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公司未在2022年末评估相关资产的可收回金额；公司</w:t>
            </w:r>
          </w:p>
          <w:p>
            <w:pPr>
              <w:ind w:left="100" w:right="126" w:firstLine="8"/>
              <w:spacing w:before="66" w:line="22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2022年财务报表</w:t>
            </w:r>
            <w:r>
              <w:rPr>
                <w:rFonts w:ascii="Microsoft YaHei" w:hAnsi="Microsoft YaHei" w:eastAsia="Microsoft YaHei" w:cs="Microsoft YaHei"/>
                <w:sz w:val="21"/>
                <w:szCs w:val="21"/>
                <w:spacing w:val="-4"/>
              </w:rPr>
              <w:t>披露存在瑕疵；</w:t>
            </w:r>
            <w:r>
              <w:rPr>
                <w:rFonts w:ascii="Microsoft YaHei" w:hAnsi="Microsoft YaHei" w:eastAsia="Microsoft YaHei" w:cs="Microsoft YaHei"/>
                <w:sz w:val="21"/>
                <w:szCs w:val="21"/>
                <w:spacing w:val="41"/>
              </w:rPr>
              <w:t xml:space="preserve"> </w:t>
            </w:r>
            <w:r>
              <w:rPr>
                <w:rFonts w:ascii="Microsoft YaHei" w:hAnsi="Microsoft YaHei" w:eastAsia="Microsoft YaHei" w:cs="Microsoft YaHei"/>
                <w:sz w:val="21"/>
                <w:szCs w:val="21"/>
                <w:spacing w:val="-4"/>
              </w:rPr>
              <w:t>公司2022年第二次临时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股东大会由公司监事会主席一人担任总监票人，由股东代</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6"/>
              </w:rPr>
              <w:t>表一人担任大会计票人， 律师见证，</w:t>
            </w:r>
            <w:r>
              <w:rPr>
                <w:rFonts w:ascii="Microsoft YaHei" w:hAnsi="Microsoft YaHei" w:eastAsia="Microsoft YaHei" w:cs="Microsoft YaHei"/>
                <w:sz w:val="21"/>
                <w:szCs w:val="21"/>
                <w:spacing w:val="32"/>
              </w:rPr>
              <w:t xml:space="preserve"> </w:t>
            </w:r>
            <w:r>
              <w:rPr>
                <w:rFonts w:ascii="Microsoft YaHei" w:hAnsi="Microsoft YaHei" w:eastAsia="Microsoft YaHei" w:cs="Microsoft YaHei"/>
                <w:sz w:val="21"/>
                <w:szCs w:val="21"/>
                <w:spacing w:val="-6"/>
              </w:rPr>
              <w:t>上述</w:t>
            </w:r>
            <w:r>
              <w:rPr>
                <w:rFonts w:ascii="Microsoft YaHei" w:hAnsi="Microsoft YaHei" w:eastAsia="Microsoft YaHei" w:cs="Microsoft YaHei"/>
                <w:sz w:val="21"/>
                <w:szCs w:val="21"/>
                <w:b/>
                <w:bCs/>
                <w:spacing w:val="-6"/>
              </w:rPr>
              <w:t>参与监票、计票</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spacing w:val="-3"/>
              </w:rPr>
              <w:t>的人员</w:t>
            </w:r>
            <w:r>
              <w:rPr>
                <w:rFonts w:ascii="Microsoft YaHei" w:hAnsi="Microsoft YaHei" w:eastAsia="Microsoft YaHei" w:cs="Microsoft YaHei"/>
                <w:sz w:val="21"/>
                <w:szCs w:val="21"/>
                <w:spacing w:val="-3"/>
              </w:rPr>
              <w:t>不符合规定。</w:t>
            </w:r>
          </w:p>
        </w:tc>
      </w:tr>
      <w:tr>
        <w:trPr>
          <w:trHeight w:val="726" w:hRule="atLeast"/>
        </w:trPr>
        <w:tc>
          <w:tcPr>
            <w:tcW w:w="8055" w:type="dxa"/>
            <w:vAlign w:val="top"/>
            <w:gridSpan w:val="3"/>
          </w:tcPr>
          <w:p>
            <w:pPr>
              <w:ind w:left="117" w:right="100"/>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中国证券监督管理委员会江西监管局决定对慈文传媒采取出具警示</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4"/>
              </w:rPr>
              <w:t>函的监管措施， 并记入证券期货市场诚信档案。</w:t>
            </w:r>
          </w:p>
        </w:tc>
      </w:tr>
      <w:tr>
        <w:trPr>
          <w:trHeight w:val="364" w:hRule="atLeast"/>
        </w:trPr>
        <w:tc>
          <w:tcPr>
            <w:shd w:val="clear" w:fill="B8CCE4"/>
            <w:tcW w:w="1214" w:type="dxa"/>
            <w:vAlign w:val="top"/>
          </w:tcPr>
          <w:p>
            <w:pPr>
              <w:ind w:left="242"/>
              <w:spacing w:before="101"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300056</w:t>
            </w:r>
          </w:p>
        </w:tc>
        <w:tc>
          <w:tcPr>
            <w:shd w:val="clear" w:fill="B8CCE4"/>
            <w:tcW w:w="1345" w:type="dxa"/>
            <w:vAlign w:val="top"/>
          </w:tcPr>
          <w:p>
            <w:pPr>
              <w:ind w:left="241"/>
              <w:spacing w:before="92"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众创环保</w:t>
            </w:r>
          </w:p>
        </w:tc>
        <w:tc>
          <w:tcPr>
            <w:shd w:val="clear" w:fill="B8CCE4"/>
            <w:tcW w:w="5496" w:type="dxa"/>
            <w:vAlign w:val="top"/>
          </w:tcPr>
          <w:p>
            <w:pPr>
              <w:ind w:left="102"/>
              <w:spacing w:before="92"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交易对手方</w:t>
            </w:r>
            <w:r>
              <w:rPr>
                <w:rFonts w:ascii="Microsoft YaHei" w:hAnsi="Microsoft YaHei" w:eastAsia="Microsoft YaHei" w:cs="Microsoft YaHei"/>
                <w:sz w:val="21"/>
                <w:szCs w:val="21"/>
                <w:b/>
                <w:bCs/>
                <w:spacing w:val="-2"/>
              </w:rPr>
              <w:t>未履行公开承诺。</w:t>
            </w:r>
          </w:p>
        </w:tc>
      </w:tr>
      <w:tr>
        <w:trPr>
          <w:trHeight w:val="726" w:hRule="atLeast"/>
        </w:trPr>
        <w:tc>
          <w:tcPr>
            <w:tcW w:w="8055" w:type="dxa"/>
            <w:vAlign w:val="top"/>
            <w:gridSpan w:val="3"/>
          </w:tcPr>
          <w:p>
            <w:pPr>
              <w:ind w:left="106" w:right="143" w:firstLine="12"/>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【行政监管措施】</w:t>
            </w:r>
            <w:r>
              <w:rPr>
                <w:rFonts w:ascii="Microsoft YaHei" w:hAnsi="Microsoft YaHei" w:eastAsia="Microsoft YaHei" w:cs="Microsoft YaHei"/>
                <w:sz w:val="21"/>
                <w:szCs w:val="21"/>
              </w:rPr>
              <w:t>厦门证监局决定对交易对手方华采取出具警示函的行政监管措施，</w:t>
            </w:r>
            <w:r>
              <w:rPr>
                <w:rFonts w:ascii="Microsoft YaHei" w:hAnsi="Microsoft YaHei" w:eastAsia="Microsoft YaHei" w:cs="Microsoft YaHei"/>
                <w:sz w:val="21"/>
                <w:szCs w:val="21"/>
                <w:spacing w:val="7"/>
              </w:rPr>
              <w:t xml:space="preserve"> </w:t>
            </w:r>
            <w:r>
              <w:rPr>
                <w:rFonts w:ascii="Microsoft YaHei" w:hAnsi="Microsoft YaHei" w:eastAsia="Microsoft YaHei" w:cs="Microsoft YaHei"/>
                <w:sz w:val="21"/>
                <w:szCs w:val="21"/>
              </w:rPr>
              <w:t>并将相关情况记入证券期货市场诚信档案。</w:t>
            </w:r>
          </w:p>
        </w:tc>
      </w:tr>
      <w:tr>
        <w:trPr>
          <w:trHeight w:val="1083" w:hRule="atLeast"/>
        </w:trPr>
        <w:tc>
          <w:tcPr>
            <w:shd w:val="clear" w:fill="B8CCE4"/>
            <w:tcW w:w="1214" w:type="dxa"/>
            <w:vAlign w:val="top"/>
          </w:tcPr>
          <w:p>
            <w:pPr>
              <w:spacing w:line="370" w:lineRule="auto"/>
              <w:rPr>
                <w:rFonts w:ascii="Arial"/>
                <w:sz w:val="21"/>
              </w:rPr>
            </w:pPr>
            <w:r/>
          </w:p>
          <w:p>
            <w:pPr>
              <w:ind w:left="242"/>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300506</w:t>
            </w:r>
          </w:p>
        </w:tc>
        <w:tc>
          <w:tcPr>
            <w:shd w:val="clear" w:fill="B8CCE4"/>
            <w:tcW w:w="1345" w:type="dxa"/>
            <w:vAlign w:val="top"/>
          </w:tcPr>
          <w:p>
            <w:pPr>
              <w:spacing w:line="361" w:lineRule="auto"/>
              <w:rPr>
                <w:rFonts w:ascii="Arial"/>
                <w:sz w:val="21"/>
              </w:rPr>
            </w:pPr>
            <w:r/>
          </w:p>
          <w:p>
            <w:pPr>
              <w:ind w:left="345"/>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名家汇</w:t>
            </w:r>
          </w:p>
        </w:tc>
        <w:tc>
          <w:tcPr>
            <w:shd w:val="clear" w:fill="B8CCE4"/>
            <w:tcW w:w="5496" w:type="dxa"/>
            <w:vAlign w:val="top"/>
          </w:tcPr>
          <w:p>
            <w:pPr>
              <w:ind w:left="100" w:right="126" w:firstLine="9"/>
              <w:spacing w:before="91"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2018年深圳市名家汇科技股份有限公司未披露</w:t>
            </w:r>
            <w:r>
              <w:rPr>
                <w:rFonts w:ascii="Microsoft YaHei" w:hAnsi="Microsoft YaHei" w:eastAsia="Microsoft YaHei" w:cs="Microsoft YaHei"/>
                <w:sz w:val="21"/>
                <w:szCs w:val="21"/>
                <w:spacing w:val="-2"/>
              </w:rPr>
              <w:t>实际控制   </w:t>
            </w:r>
            <w:r>
              <w:rPr>
                <w:rFonts w:ascii="Microsoft YaHei" w:hAnsi="Microsoft YaHei" w:eastAsia="Microsoft YaHei" w:cs="Microsoft YaHei"/>
                <w:sz w:val="21"/>
                <w:szCs w:val="21"/>
              </w:rPr>
              <w:t>人兼董事长及其配偶就深圳市名家汇科技股份有限公司非</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1"/>
              </w:rPr>
              <w:t>公开发行股票事项签订的</w:t>
            </w:r>
            <w:r>
              <w:rPr>
                <w:rFonts w:ascii="Microsoft YaHei" w:hAnsi="Microsoft YaHei" w:eastAsia="Microsoft YaHei" w:cs="Microsoft YaHei"/>
                <w:sz w:val="21"/>
                <w:szCs w:val="21"/>
                <w:b/>
                <w:bCs/>
                <w:spacing w:val="-1"/>
              </w:rPr>
              <w:t>收益保障协议。</w:t>
            </w:r>
          </w:p>
        </w:tc>
      </w:tr>
      <w:tr>
        <w:trPr>
          <w:trHeight w:val="726" w:hRule="atLeast"/>
        </w:trPr>
        <w:tc>
          <w:tcPr>
            <w:tcW w:w="8055" w:type="dxa"/>
            <w:vAlign w:val="top"/>
            <w:gridSpan w:val="3"/>
          </w:tcPr>
          <w:p>
            <w:pPr>
              <w:ind w:left="104" w:right="100" w:firstLine="14"/>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中国证券监督管理委员会深圳监管局决定对深圳市名家汇科技股份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有限公司及实际控制人兼董事长采取出具警示函的监管措施。</w:t>
            </w:r>
          </w:p>
        </w:tc>
      </w:tr>
      <w:tr>
        <w:trPr>
          <w:trHeight w:val="1083" w:hRule="atLeast"/>
        </w:trPr>
        <w:tc>
          <w:tcPr>
            <w:shd w:val="clear" w:fill="B8CCE4"/>
            <w:tcW w:w="1214" w:type="dxa"/>
            <w:vAlign w:val="top"/>
          </w:tcPr>
          <w:p>
            <w:pPr>
              <w:spacing w:line="371" w:lineRule="auto"/>
              <w:rPr>
                <w:rFonts w:ascii="Arial"/>
                <w:sz w:val="21"/>
              </w:rPr>
            </w:pPr>
            <w:r/>
          </w:p>
          <w:p>
            <w:pPr>
              <w:ind w:left="242"/>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300201</w:t>
            </w:r>
          </w:p>
        </w:tc>
        <w:tc>
          <w:tcPr>
            <w:shd w:val="clear" w:fill="B8CCE4"/>
            <w:tcW w:w="1345" w:type="dxa"/>
            <w:vAlign w:val="top"/>
          </w:tcPr>
          <w:p>
            <w:pPr>
              <w:spacing w:line="362" w:lineRule="auto"/>
              <w:rPr>
                <w:rFonts w:ascii="Arial"/>
                <w:sz w:val="21"/>
              </w:rPr>
            </w:pPr>
            <w:r/>
          </w:p>
          <w:p>
            <w:pPr>
              <w:ind w:left="345"/>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海伦哲</w:t>
            </w:r>
          </w:p>
        </w:tc>
        <w:tc>
          <w:tcPr>
            <w:shd w:val="clear" w:fill="B8CCE4"/>
            <w:tcW w:w="5496" w:type="dxa"/>
            <w:vAlign w:val="top"/>
          </w:tcPr>
          <w:p>
            <w:pPr>
              <w:ind w:left="100" w:right="99"/>
              <w:spacing w:before="95"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天职国际会计师事务所(特殊普通合伙)、注册</w:t>
            </w:r>
            <w:r>
              <w:rPr>
                <w:rFonts w:ascii="Microsoft YaHei" w:hAnsi="Microsoft YaHei" w:eastAsia="Microsoft YaHei" w:cs="Microsoft YaHei"/>
                <w:sz w:val="21"/>
                <w:szCs w:val="21"/>
                <w:spacing w:val="3"/>
              </w:rPr>
              <w:t>会计师执行</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的徐州海伦哲专用车辆股份有限公司</w:t>
            </w:r>
            <w:r>
              <w:rPr>
                <w:rFonts w:ascii="Microsoft YaHei" w:hAnsi="Microsoft YaHei" w:eastAsia="Microsoft YaHei" w:cs="Microsoft YaHei"/>
                <w:sz w:val="21"/>
                <w:szCs w:val="21"/>
                <w:b/>
                <w:bCs/>
                <w:spacing w:val="1"/>
              </w:rPr>
              <w:t>2016年至2019年年</w:t>
            </w:r>
            <w:r>
              <w:rPr>
                <w:rFonts w:ascii="Microsoft YaHei" w:hAnsi="Microsoft YaHei" w:eastAsia="Microsoft YaHei" w:cs="Microsoft YaHei"/>
                <w:sz w:val="21"/>
                <w:szCs w:val="21"/>
                <w:b/>
                <w:bCs/>
                <w:spacing w:val="14"/>
              </w:rPr>
              <w:t xml:space="preserve"> </w:t>
            </w:r>
            <w:r>
              <w:rPr>
                <w:rFonts w:ascii="Microsoft YaHei" w:hAnsi="Microsoft YaHei" w:eastAsia="Microsoft YaHei" w:cs="Microsoft YaHei"/>
                <w:sz w:val="21"/>
                <w:szCs w:val="21"/>
                <w:b/>
                <w:bCs/>
              </w:rPr>
              <w:t>报审计项目</w:t>
            </w:r>
            <w:r>
              <w:rPr>
                <w:rFonts w:ascii="Microsoft YaHei" w:hAnsi="Microsoft YaHei" w:eastAsia="Microsoft YaHei" w:cs="Microsoft YaHei"/>
                <w:sz w:val="21"/>
                <w:szCs w:val="21"/>
              </w:rPr>
              <w:t>存在问题。</w:t>
            </w:r>
          </w:p>
        </w:tc>
      </w:tr>
      <w:tr>
        <w:trPr>
          <w:trHeight w:val="726" w:hRule="atLeast"/>
        </w:trPr>
        <w:tc>
          <w:tcPr>
            <w:tcW w:w="8055" w:type="dxa"/>
            <w:vAlign w:val="top"/>
            <w:gridSpan w:val="3"/>
          </w:tcPr>
          <w:p>
            <w:pPr>
              <w:ind w:left="105" w:right="103" w:firstLine="12"/>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【行政监管措施】</w:t>
            </w:r>
            <w:r>
              <w:rPr>
                <w:rFonts w:ascii="Microsoft YaHei" w:hAnsi="Microsoft YaHei" w:eastAsia="Microsoft YaHei" w:cs="Microsoft YaHei"/>
                <w:sz w:val="21"/>
                <w:szCs w:val="21"/>
                <w:spacing w:val="3"/>
              </w:rPr>
              <w:t>江苏证监局决定对天职国际会计师事务所(特殊普通合伙)、注册会</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rPr>
              <w:t>计师采取出具警示函的监督管理措施,并记入证券期货市场诚信档案。</w:t>
            </w:r>
          </w:p>
        </w:tc>
      </w:tr>
      <w:tr>
        <w:trPr>
          <w:trHeight w:val="723" w:hRule="atLeast"/>
        </w:trPr>
        <w:tc>
          <w:tcPr>
            <w:shd w:val="clear" w:fill="B8CCE4"/>
            <w:tcW w:w="1214" w:type="dxa"/>
            <w:vAlign w:val="top"/>
          </w:tcPr>
          <w:p>
            <w:pPr>
              <w:ind w:left="236"/>
              <w:spacing w:before="286"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002388</w:t>
            </w:r>
          </w:p>
        </w:tc>
        <w:tc>
          <w:tcPr>
            <w:shd w:val="clear" w:fill="B8CCE4"/>
            <w:tcW w:w="1345" w:type="dxa"/>
            <w:vAlign w:val="top"/>
          </w:tcPr>
          <w:p>
            <w:pPr>
              <w:ind w:left="242"/>
              <w:spacing w:before="276"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新亚制程</w:t>
            </w:r>
          </w:p>
        </w:tc>
        <w:tc>
          <w:tcPr>
            <w:shd w:val="clear" w:fill="B8CCE4"/>
            <w:tcW w:w="5496" w:type="dxa"/>
            <w:vAlign w:val="top"/>
          </w:tcPr>
          <w:p>
            <w:pPr>
              <w:ind w:left="100" w:right="99"/>
              <w:spacing w:before="97"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资金占用事项</w:t>
            </w:r>
            <w:r>
              <w:rPr>
                <w:rFonts w:ascii="Microsoft YaHei" w:hAnsi="Microsoft YaHei" w:eastAsia="Microsoft YaHei" w:cs="Microsoft YaHei"/>
                <w:sz w:val="21"/>
                <w:szCs w:val="21"/>
                <w:spacing w:val="-4"/>
              </w:rPr>
              <w:t>未及时履行信息披露义务；  </w:t>
            </w:r>
            <w:r>
              <w:rPr>
                <w:rFonts w:ascii="Microsoft YaHei" w:hAnsi="Microsoft YaHei" w:eastAsia="Microsoft YaHei" w:cs="Microsoft YaHei"/>
                <w:sz w:val="21"/>
                <w:szCs w:val="21"/>
                <w:b/>
                <w:bCs/>
                <w:spacing w:val="-4"/>
              </w:rPr>
              <w:t>股份质押进展</w:t>
            </w:r>
            <w:r>
              <w:rPr>
                <w:rFonts w:ascii="Microsoft YaHei" w:hAnsi="Microsoft YaHei" w:eastAsia="Microsoft YaHei" w:cs="Microsoft YaHei"/>
                <w:sz w:val="21"/>
                <w:szCs w:val="21"/>
                <w:spacing w:val="-4"/>
              </w:rPr>
              <w:t>未</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3"/>
              </w:rPr>
              <w:t>及时告知新亚制程。</w:t>
            </w:r>
          </w:p>
        </w:tc>
      </w:tr>
      <w:tr>
        <w:trPr>
          <w:trHeight w:val="726" w:hRule="atLeast"/>
        </w:trPr>
        <w:tc>
          <w:tcPr>
            <w:tcW w:w="8055" w:type="dxa"/>
            <w:vAlign w:val="top"/>
            <w:gridSpan w:val="3"/>
          </w:tcPr>
          <w:p>
            <w:pPr>
              <w:ind w:left="107" w:right="100" w:firstLine="11"/>
              <w:spacing w:before="100"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浙江证监局决定对新力达集团、时任实际控制人徐某分别采取出具</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4"/>
              </w:rPr>
              <w:t>警示函的监督管理措施， 并计入证券期货市场诚信档案。</w:t>
            </w:r>
          </w:p>
        </w:tc>
      </w:tr>
      <w:tr>
        <w:trPr>
          <w:trHeight w:val="724" w:hRule="atLeast"/>
        </w:trPr>
        <w:tc>
          <w:tcPr>
            <w:shd w:val="clear" w:fill="B8CCE4"/>
            <w:tcW w:w="1214" w:type="dxa"/>
            <w:vAlign w:val="top"/>
          </w:tcPr>
          <w:p>
            <w:pPr>
              <w:ind w:left="239"/>
              <w:spacing w:before="289"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688025</w:t>
            </w:r>
          </w:p>
        </w:tc>
        <w:tc>
          <w:tcPr>
            <w:shd w:val="clear" w:fill="B8CCE4"/>
            <w:tcW w:w="1345" w:type="dxa"/>
            <w:vAlign w:val="top"/>
          </w:tcPr>
          <w:p>
            <w:pPr>
              <w:ind w:left="345"/>
              <w:spacing w:before="279"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杰普特</w:t>
            </w:r>
          </w:p>
        </w:tc>
        <w:tc>
          <w:tcPr>
            <w:shd w:val="clear" w:fill="B8CCE4"/>
            <w:tcW w:w="5496" w:type="dxa"/>
            <w:vAlign w:val="top"/>
          </w:tcPr>
          <w:p>
            <w:pPr>
              <w:ind w:left="100" w:right="301" w:firstLine="1"/>
              <w:spacing w:before="98"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高管未在超出比例股份首次卖出的15个交易日前预先披 </w:t>
            </w:r>
            <w:r>
              <w:rPr>
                <w:rFonts w:ascii="Microsoft YaHei" w:hAnsi="Microsoft YaHei" w:eastAsia="Microsoft YaHei" w:cs="Microsoft YaHei"/>
                <w:sz w:val="21"/>
                <w:szCs w:val="21"/>
              </w:rPr>
              <w:t>露</w:t>
            </w:r>
            <w:r>
              <w:rPr>
                <w:rFonts w:ascii="Microsoft YaHei" w:hAnsi="Microsoft YaHei" w:eastAsia="Microsoft YaHei" w:cs="Microsoft YaHei"/>
                <w:sz w:val="21"/>
                <w:szCs w:val="21"/>
                <w:b/>
                <w:bCs/>
              </w:rPr>
              <w:t>减持计划。</w:t>
            </w:r>
          </w:p>
        </w:tc>
      </w:tr>
      <w:tr>
        <w:trPr>
          <w:trHeight w:val="726" w:hRule="atLeast"/>
        </w:trPr>
        <w:tc>
          <w:tcPr>
            <w:tcW w:w="8055" w:type="dxa"/>
            <w:vAlign w:val="top"/>
            <w:gridSpan w:val="3"/>
          </w:tcPr>
          <w:p>
            <w:pPr>
              <w:ind w:left="114" w:right="100" w:firstLine="4"/>
              <w:spacing w:before="103"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中国证券监督管理委员会深圳监管局决定对高管刘某采取责令改正</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的监管措施。</w:t>
            </w:r>
          </w:p>
        </w:tc>
      </w:tr>
      <w:tr>
        <w:trPr>
          <w:trHeight w:val="723" w:hRule="atLeast"/>
        </w:trPr>
        <w:tc>
          <w:tcPr>
            <w:shd w:val="clear" w:fill="B8CCE4"/>
            <w:tcW w:w="1214" w:type="dxa"/>
            <w:vAlign w:val="top"/>
          </w:tcPr>
          <w:p>
            <w:pPr>
              <w:ind w:left="242"/>
              <w:spacing w:before="288"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300167</w:t>
            </w:r>
          </w:p>
        </w:tc>
        <w:tc>
          <w:tcPr>
            <w:shd w:val="clear" w:fill="B8CCE4"/>
            <w:tcW w:w="1345" w:type="dxa"/>
            <w:vAlign w:val="top"/>
          </w:tcPr>
          <w:p>
            <w:pPr>
              <w:ind w:left="236"/>
              <w:spacing w:before="279" w:line="19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ST迪威迅</w:t>
            </w:r>
          </w:p>
        </w:tc>
        <w:tc>
          <w:tcPr>
            <w:shd w:val="clear" w:fill="B8CCE4"/>
            <w:tcW w:w="5496" w:type="dxa"/>
            <w:vAlign w:val="top"/>
          </w:tcPr>
          <w:p>
            <w:pPr>
              <w:ind w:left="101" w:right="102" w:hanging="1"/>
              <w:spacing w:before="100"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在以前年度</w:t>
            </w:r>
            <w:r>
              <w:rPr>
                <w:rFonts w:ascii="Microsoft YaHei" w:hAnsi="Microsoft YaHei" w:eastAsia="Microsoft YaHei" w:cs="Microsoft YaHei"/>
                <w:sz w:val="21"/>
                <w:szCs w:val="21"/>
                <w:b/>
                <w:bCs/>
                <w:spacing w:val="1"/>
              </w:rPr>
              <w:t>未充分评估部分应收款项存在的减值迹象</w:t>
            </w:r>
            <w:r>
              <w:rPr>
                <w:rFonts w:ascii="Microsoft YaHei" w:hAnsi="Microsoft YaHei" w:eastAsia="Microsoft YaHei" w:cs="Microsoft YaHei"/>
                <w:sz w:val="21"/>
                <w:szCs w:val="21"/>
                <w:spacing w:val="1"/>
              </w:rPr>
              <w:t>，导 </w:t>
            </w:r>
            <w:r>
              <w:rPr>
                <w:rFonts w:ascii="Microsoft YaHei" w:hAnsi="Microsoft YaHei" w:eastAsia="Microsoft YaHei" w:cs="Microsoft YaHei"/>
                <w:sz w:val="21"/>
                <w:szCs w:val="21"/>
              </w:rPr>
              <w:t>致公司部分应收款项坏账准备计提不充分、不审慎。</w:t>
            </w:r>
          </w:p>
        </w:tc>
      </w:tr>
      <w:tr>
        <w:trPr>
          <w:trHeight w:val="726" w:hRule="atLeast"/>
        </w:trPr>
        <w:tc>
          <w:tcPr>
            <w:tcW w:w="8055" w:type="dxa"/>
            <w:vAlign w:val="top"/>
            <w:gridSpan w:val="3"/>
          </w:tcPr>
          <w:p>
            <w:pPr>
              <w:ind w:left="105" w:right="100" w:firstLine="13"/>
              <w:spacing w:before="103"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中国证券监督管理委员会深圳监管局决定对深圳市迪威迅股份有限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公司采取责令改正的行政监管措施。</w:t>
            </w:r>
          </w:p>
        </w:tc>
      </w:tr>
      <w:tr>
        <w:trPr>
          <w:trHeight w:val="736" w:hRule="atLeast"/>
        </w:trPr>
        <w:tc>
          <w:tcPr>
            <w:shd w:val="clear" w:fill="B8CCE4"/>
            <w:tcW w:w="1214" w:type="dxa"/>
            <w:vAlign w:val="top"/>
          </w:tcPr>
          <w:p>
            <w:pPr>
              <w:ind w:left="236"/>
              <w:spacing w:before="291"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002388</w:t>
            </w:r>
          </w:p>
        </w:tc>
        <w:tc>
          <w:tcPr>
            <w:shd w:val="clear" w:fill="B8CCE4"/>
            <w:tcW w:w="1345" w:type="dxa"/>
            <w:vAlign w:val="top"/>
          </w:tcPr>
          <w:p>
            <w:pPr>
              <w:ind w:left="242"/>
              <w:spacing w:before="281"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新亚制程</w:t>
            </w:r>
          </w:p>
        </w:tc>
        <w:tc>
          <w:tcPr>
            <w:shd w:val="clear" w:fill="B8CCE4"/>
            <w:tcW w:w="5496" w:type="dxa"/>
            <w:vAlign w:val="top"/>
          </w:tcPr>
          <w:p>
            <w:pPr>
              <w:ind w:left="100" w:right="126"/>
              <w:spacing w:before="10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资金占用事项</w:t>
            </w:r>
            <w:r>
              <w:rPr>
                <w:rFonts w:ascii="Microsoft YaHei" w:hAnsi="Microsoft YaHei" w:eastAsia="Microsoft YaHei" w:cs="Microsoft YaHei"/>
                <w:sz w:val="21"/>
                <w:szCs w:val="21"/>
                <w:spacing w:val="-3"/>
              </w:rPr>
              <w:t>未及时履行信息披露义务； 应收账款</w:t>
            </w:r>
            <w:r>
              <w:rPr>
                <w:rFonts w:ascii="Microsoft YaHei" w:hAnsi="Microsoft YaHei" w:eastAsia="Microsoft YaHei" w:cs="Microsoft YaHei"/>
                <w:sz w:val="21"/>
                <w:szCs w:val="21"/>
                <w:b/>
                <w:bCs/>
                <w:spacing w:val="-3"/>
              </w:rPr>
              <w:t>坏账准</w:t>
            </w:r>
            <w:r>
              <w:rPr>
                <w:rFonts w:ascii="Microsoft YaHei" w:hAnsi="Microsoft YaHei" w:eastAsia="Microsoft YaHei" w:cs="Microsoft YaHei"/>
                <w:sz w:val="21"/>
                <w:szCs w:val="21"/>
                <w:b/>
                <w:bCs/>
                <w:spacing w:val="18"/>
                <w:w w:val="101"/>
              </w:rPr>
              <w:t xml:space="preserve"> </w:t>
            </w:r>
            <w:r>
              <w:rPr>
                <w:rFonts w:ascii="Microsoft YaHei" w:hAnsi="Microsoft YaHei" w:eastAsia="Microsoft YaHei" w:cs="Microsoft YaHei"/>
                <w:sz w:val="21"/>
                <w:szCs w:val="21"/>
                <w:b/>
                <w:bCs/>
                <w:spacing w:val="-3"/>
              </w:rPr>
              <w:t>备计提</w:t>
            </w:r>
            <w:r>
              <w:rPr>
                <w:rFonts w:ascii="Microsoft YaHei" w:hAnsi="Microsoft YaHei" w:eastAsia="Microsoft YaHei" w:cs="Microsoft YaHei"/>
                <w:sz w:val="21"/>
                <w:szCs w:val="21"/>
                <w:spacing w:val="-3"/>
              </w:rPr>
              <w:t>不准确； 部分</w:t>
            </w:r>
            <w:r>
              <w:rPr>
                <w:rFonts w:ascii="Microsoft YaHei" w:hAnsi="Microsoft YaHei" w:eastAsia="Microsoft YaHei" w:cs="Microsoft YaHei"/>
                <w:sz w:val="21"/>
                <w:szCs w:val="21"/>
                <w:b/>
                <w:bCs/>
                <w:spacing w:val="-3"/>
              </w:rPr>
              <w:t>主营业务收入确认方法</w:t>
            </w:r>
            <w:r>
              <w:rPr>
                <w:rFonts w:ascii="Microsoft YaHei" w:hAnsi="Microsoft YaHei" w:eastAsia="Microsoft YaHei" w:cs="Microsoft YaHei"/>
                <w:sz w:val="21"/>
                <w:szCs w:val="21"/>
                <w:spacing w:val="-3"/>
              </w:rPr>
              <w:t>不恰当；</w:t>
            </w:r>
          </w:p>
        </w:tc>
      </w:tr>
    </w:tbl>
    <w:p>
      <w:pPr>
        <w:pStyle w:val="BodyText"/>
        <w:rPr/>
      </w:pPr>
      <w:r/>
    </w:p>
    <w:p>
      <w:pPr>
        <w:sectPr>
          <w:pgSz w:w="11912" w:h="16841"/>
          <w:pgMar w:top="400" w:right="1786" w:bottom="0" w:left="1786" w:header="0" w:footer="0" w:gutter="0"/>
        </w:sectPr>
        <w:rPr/>
      </w:pPr>
    </w:p>
    <w:tbl>
      <w:tblPr>
        <w:tblStyle w:val="TableNormal"/>
        <w:tblW w:w="8055" w:type="dxa"/>
        <w:tblInd w:w="1005"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726" w:hRule="atLeast"/>
        </w:trPr>
        <w:tc>
          <w:tcPr>
            <w:shd w:val="clear" w:fill="B8CCE4"/>
            <w:tcW w:w="1214" w:type="dxa"/>
            <w:vAlign w:val="top"/>
            <w:tcBorders>
              <w:top w:val="single" w:color="4F81BD" w:sz="2" w:space="0"/>
            </w:tcBorders>
          </w:tcPr>
          <w:p>
            <w:pPr>
              <w:rPr>
                <w:rFonts w:ascii="Arial"/>
                <w:sz w:val="21"/>
              </w:rPr>
            </w:pPr>
            <w:r/>
          </w:p>
        </w:tc>
        <w:tc>
          <w:tcPr>
            <w:shd w:val="clear" w:fill="B8CCE4"/>
            <w:tcW w:w="1345" w:type="dxa"/>
            <w:vAlign w:val="top"/>
            <w:tcBorders>
              <w:top w:val="single" w:color="4F81BD" w:sz="2" w:space="0"/>
            </w:tcBorders>
          </w:tcPr>
          <w:p>
            <w:pPr>
              <w:rPr>
                <w:rFonts w:ascii="Arial"/>
                <w:sz w:val="21"/>
              </w:rPr>
            </w:pPr>
            <w:r/>
          </w:p>
        </w:tc>
        <w:tc>
          <w:tcPr>
            <w:shd w:val="clear" w:fill="B8CCE4"/>
            <w:tcW w:w="5496" w:type="dxa"/>
            <w:vAlign w:val="top"/>
            <w:tcBorders>
              <w:top w:val="single" w:color="4F81BD" w:sz="2" w:space="0"/>
            </w:tcBorders>
          </w:tcPr>
          <w:p>
            <w:pPr>
              <w:ind w:left="100" w:right="241" w:firstLine="8"/>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2022年度报告部分信息</w:t>
            </w:r>
            <w:r>
              <w:rPr>
                <w:rFonts w:ascii="Microsoft YaHei" w:hAnsi="Microsoft YaHei" w:eastAsia="Microsoft YaHei" w:cs="Microsoft YaHei"/>
                <w:sz w:val="21"/>
                <w:szCs w:val="21"/>
                <w:spacing w:val="-3"/>
              </w:rPr>
              <w:t>披露不准确； 原控股股东</w:t>
            </w:r>
            <w:r>
              <w:rPr>
                <w:rFonts w:ascii="Microsoft YaHei" w:hAnsi="Microsoft YaHei" w:eastAsia="Microsoft YaHei" w:cs="Microsoft YaHei"/>
                <w:sz w:val="21"/>
                <w:szCs w:val="21"/>
                <w:b/>
                <w:bCs/>
                <w:spacing w:val="-3"/>
              </w:rPr>
              <w:t>股份质</w:t>
            </w:r>
            <w:r>
              <w:rPr>
                <w:rFonts w:ascii="Microsoft YaHei" w:hAnsi="Microsoft YaHei" w:eastAsia="Microsoft YaHei" w:cs="Microsoft YaHei"/>
                <w:sz w:val="21"/>
                <w:szCs w:val="21"/>
                <w:b/>
                <w:bCs/>
                <w:spacing w:val="10"/>
              </w:rPr>
              <w:t xml:space="preserve"> </w:t>
            </w:r>
            <w:r>
              <w:rPr>
                <w:rFonts w:ascii="Microsoft YaHei" w:hAnsi="Microsoft YaHei" w:eastAsia="Microsoft YaHei" w:cs="Microsoft YaHei"/>
                <w:sz w:val="21"/>
                <w:szCs w:val="21"/>
                <w:b/>
                <w:bCs/>
                <w:spacing w:val="-3"/>
              </w:rPr>
              <w:t>押</w:t>
            </w:r>
            <w:r>
              <w:rPr>
                <w:rFonts w:ascii="Microsoft YaHei" w:hAnsi="Microsoft YaHei" w:eastAsia="Microsoft YaHei" w:cs="Microsoft YaHei"/>
                <w:sz w:val="21"/>
                <w:szCs w:val="21"/>
                <w:spacing w:val="-3"/>
              </w:rPr>
              <w:t>信息披露不准确。</w:t>
            </w:r>
          </w:p>
        </w:tc>
      </w:tr>
      <w:tr>
        <w:trPr>
          <w:trHeight w:val="729" w:hRule="atLeast"/>
        </w:trPr>
        <w:tc>
          <w:tcPr>
            <w:tcW w:w="8055" w:type="dxa"/>
            <w:vAlign w:val="top"/>
            <w:gridSpan w:val="3"/>
          </w:tcPr>
          <w:p>
            <w:pPr>
              <w:ind w:left="105" w:right="99" w:firstLine="12"/>
              <w:spacing w:before="94"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浙江证监局决定对新亚制程采取责令改正的行政监管措施，对相关</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2"/>
              </w:rPr>
              <w:t>责任人分别采取出具警示函的监督管理措施， 并计入证券期货市场诚信档案。</w:t>
            </w:r>
          </w:p>
        </w:tc>
      </w:tr>
    </w:tbl>
    <w:p>
      <w:pPr>
        <w:pStyle w:val="BodyText"/>
        <w:spacing w:line="296" w:lineRule="auto"/>
        <w:rPr/>
      </w:pPr>
      <w:r/>
    </w:p>
    <w:p>
      <w:pPr>
        <w:pStyle w:val="BodyText"/>
        <w:spacing w:line="296" w:lineRule="auto"/>
        <w:rPr/>
      </w:pPr>
      <w:r/>
    </w:p>
    <w:p>
      <w:pPr>
        <w:pStyle w:val="BodyText"/>
        <w:spacing w:line="296" w:lineRule="auto"/>
        <w:rPr/>
      </w:pPr>
      <w:r/>
    </w:p>
    <w:p>
      <w:pPr>
        <w:spacing w:before="103" w:line="19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（4）立案调查</w:t>
      </w:r>
    </w:p>
    <w:p>
      <w:pPr>
        <w:spacing w:line="220" w:lineRule="exact"/>
        <w:rPr/>
      </w:pPr>
      <w:r/>
    </w:p>
    <w:tbl>
      <w:tblPr>
        <w:tblStyle w:val="TableNormal"/>
        <w:tblW w:w="8055" w:type="dxa"/>
        <w:tblInd w:w="1005"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386" w:hRule="atLeast"/>
        </w:trPr>
        <w:tc>
          <w:tcPr>
            <w:shd w:val="clear" w:fill="4F81BD"/>
            <w:tcW w:w="1214" w:type="dxa"/>
            <w:vAlign w:val="top"/>
            <w:tcBorders>
              <w:bottom w:val="single" w:color="4F81BD" w:sz="2" w:space="0"/>
            </w:tcBorders>
          </w:tcPr>
          <w:p>
            <w:pPr>
              <w:ind w:left="181"/>
              <w:spacing w:before="113"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公司代码</w:t>
            </w:r>
          </w:p>
        </w:tc>
        <w:tc>
          <w:tcPr>
            <w:shd w:val="clear" w:fill="4F81BD"/>
            <w:tcW w:w="1345" w:type="dxa"/>
            <w:vAlign w:val="top"/>
            <w:tcBorders>
              <w:bottom w:val="single" w:color="4F81BD" w:sz="2" w:space="0"/>
            </w:tcBorders>
          </w:tcPr>
          <w:p>
            <w:pPr>
              <w:ind w:left="243"/>
              <w:spacing w:before="113"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公司简称</w:t>
            </w:r>
          </w:p>
        </w:tc>
        <w:tc>
          <w:tcPr>
            <w:shd w:val="clear" w:fill="4F81BD"/>
            <w:tcW w:w="5496" w:type="dxa"/>
            <w:vAlign w:val="top"/>
            <w:tcBorders>
              <w:bottom w:val="single" w:color="4F81BD" w:sz="2" w:space="0"/>
            </w:tcBorders>
          </w:tcPr>
          <w:p>
            <w:pPr>
              <w:ind w:left="2321"/>
              <w:spacing w:before="113"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rPr>
              <w:t>违规行为</w:t>
            </w:r>
          </w:p>
        </w:tc>
      </w:tr>
      <w:tr>
        <w:trPr>
          <w:trHeight w:val="1085" w:hRule="atLeast"/>
        </w:trPr>
        <w:tc>
          <w:tcPr>
            <w:tcW w:w="1214" w:type="dxa"/>
            <w:vAlign w:val="top"/>
            <w:tcBorders>
              <w:top w:val="single" w:color="4F81BD" w:sz="2" w:space="0"/>
            </w:tcBorders>
          </w:tcPr>
          <w:p>
            <w:pPr>
              <w:spacing w:line="369" w:lineRule="auto"/>
              <w:rPr>
                <w:rFonts w:ascii="Arial"/>
                <w:sz w:val="21"/>
              </w:rPr>
            </w:pPr>
            <w:r/>
          </w:p>
          <w:p>
            <w:pPr>
              <w:ind w:left="236"/>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002388</w:t>
            </w:r>
          </w:p>
        </w:tc>
        <w:tc>
          <w:tcPr>
            <w:tcW w:w="1345" w:type="dxa"/>
            <w:vAlign w:val="top"/>
            <w:tcBorders>
              <w:top w:val="single" w:color="4F81BD" w:sz="2" w:space="0"/>
            </w:tcBorders>
          </w:tcPr>
          <w:p>
            <w:pPr>
              <w:spacing w:line="359" w:lineRule="auto"/>
              <w:rPr>
                <w:rFonts w:ascii="Arial"/>
                <w:sz w:val="21"/>
              </w:rPr>
            </w:pPr>
            <w:r/>
          </w:p>
          <w:p>
            <w:pPr>
              <w:ind w:left="242"/>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新亚制程</w:t>
            </w:r>
          </w:p>
        </w:tc>
        <w:tc>
          <w:tcPr>
            <w:tcW w:w="5496" w:type="dxa"/>
            <w:vAlign w:val="top"/>
            <w:tcBorders>
              <w:top w:val="single" w:color="4F81BD" w:sz="2" w:space="0"/>
            </w:tcBorders>
          </w:tcPr>
          <w:p>
            <w:pPr>
              <w:ind w:left="100" w:right="130" w:firstLine="14"/>
              <w:spacing w:before="92"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因实际控制人</w:t>
            </w:r>
            <w:r>
              <w:rPr>
                <w:rFonts w:ascii="Microsoft YaHei" w:hAnsi="Microsoft YaHei" w:eastAsia="Microsoft YaHei" w:cs="Microsoft YaHei"/>
                <w:sz w:val="21"/>
                <w:szCs w:val="21"/>
                <w:b/>
                <w:bCs/>
                <w:spacing w:val="-1"/>
              </w:rPr>
              <w:t>涉嫌信息披露违法违规</w:t>
            </w:r>
            <w:r>
              <w:rPr>
                <w:rFonts w:ascii="Microsoft YaHei" w:hAnsi="Microsoft YaHei" w:eastAsia="Microsoft YaHei" w:cs="Microsoft YaHei"/>
                <w:sz w:val="21"/>
                <w:szCs w:val="21"/>
                <w:spacing w:val="-1"/>
              </w:rPr>
              <w:t>，根据《中华人民共</w:t>
            </w:r>
            <w:r>
              <w:rPr>
                <w:rFonts w:ascii="Microsoft YaHei" w:hAnsi="Microsoft YaHei" w:eastAsia="Microsoft YaHei" w:cs="Microsoft YaHei"/>
                <w:sz w:val="21"/>
                <w:szCs w:val="21"/>
                <w:spacing w:val="9"/>
              </w:rPr>
              <w:t xml:space="preserve"> </w:t>
            </w:r>
            <w:r>
              <w:rPr>
                <w:rFonts w:ascii="Microsoft YaHei" w:hAnsi="Microsoft YaHei" w:eastAsia="Microsoft YaHei" w:cs="Microsoft YaHei"/>
                <w:sz w:val="21"/>
                <w:szCs w:val="21"/>
              </w:rPr>
              <w:t>和国证券法》《中华人民共和国行政处罚法》等法律法</w:t>
            </w:r>
          </w:p>
          <w:p>
            <w:pPr>
              <w:ind w:left="100"/>
              <w:spacing w:before="68"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规，中国证监会决定对其立案。</w:t>
            </w:r>
          </w:p>
        </w:tc>
      </w:tr>
      <w:tr>
        <w:trPr>
          <w:trHeight w:val="1442" w:hRule="atLeast"/>
        </w:trPr>
        <w:tc>
          <w:tcPr>
            <w:shd w:val="clear" w:fill="C7D9F1"/>
            <w:tcW w:w="1214" w:type="dxa"/>
            <w:vAlign w:val="top"/>
          </w:tcPr>
          <w:p>
            <w:pPr>
              <w:spacing w:line="275" w:lineRule="auto"/>
              <w:rPr>
                <w:rFonts w:ascii="Arial"/>
                <w:sz w:val="21"/>
              </w:rPr>
            </w:pPr>
            <w:r/>
          </w:p>
          <w:p>
            <w:pPr>
              <w:spacing w:line="275" w:lineRule="auto"/>
              <w:rPr>
                <w:rFonts w:ascii="Arial"/>
                <w:sz w:val="21"/>
              </w:rPr>
            </w:pPr>
            <w:r/>
          </w:p>
          <w:p>
            <w:pPr>
              <w:ind w:left="236"/>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002388</w:t>
            </w:r>
          </w:p>
        </w:tc>
        <w:tc>
          <w:tcPr>
            <w:shd w:val="clear" w:fill="C7D9F1"/>
            <w:tcW w:w="1345" w:type="dxa"/>
            <w:vAlign w:val="top"/>
          </w:tcPr>
          <w:p>
            <w:pPr>
              <w:spacing w:line="270" w:lineRule="auto"/>
              <w:rPr>
                <w:rFonts w:ascii="Arial"/>
                <w:sz w:val="21"/>
              </w:rPr>
            </w:pPr>
            <w:r/>
          </w:p>
          <w:p>
            <w:pPr>
              <w:spacing w:line="270" w:lineRule="auto"/>
              <w:rPr>
                <w:rFonts w:ascii="Arial"/>
                <w:sz w:val="21"/>
              </w:rPr>
            </w:pPr>
            <w:r/>
          </w:p>
          <w:p>
            <w:pPr>
              <w:ind w:left="242"/>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新亚制程</w:t>
            </w:r>
          </w:p>
        </w:tc>
        <w:tc>
          <w:tcPr>
            <w:shd w:val="clear" w:fill="C7D9F1"/>
            <w:tcW w:w="5496" w:type="dxa"/>
            <w:vAlign w:val="top"/>
          </w:tcPr>
          <w:p>
            <w:pPr>
              <w:ind w:left="115"/>
              <w:spacing w:before="96"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因新亚制程(浙江)股份有限公司</w:t>
            </w:r>
            <w:r>
              <w:rPr>
                <w:rFonts w:ascii="Microsoft YaHei" w:hAnsi="Microsoft YaHei" w:eastAsia="Microsoft YaHei" w:cs="Microsoft YaHei"/>
                <w:sz w:val="21"/>
                <w:szCs w:val="21"/>
                <w:b/>
                <w:bCs/>
                <w:spacing w:val="-1"/>
              </w:rPr>
              <w:t>涉嫌信息披露违法违规</w:t>
            </w:r>
            <w:r>
              <w:rPr>
                <w:rFonts w:ascii="Microsoft YaHei" w:hAnsi="Microsoft YaHei" w:eastAsia="Microsoft YaHei" w:cs="Microsoft YaHei"/>
                <w:sz w:val="21"/>
                <w:szCs w:val="21"/>
                <w:spacing w:val="-1"/>
              </w:rPr>
              <w:t>，</w:t>
            </w:r>
          </w:p>
          <w:p>
            <w:pPr>
              <w:ind w:left="100" w:right="126"/>
              <w:spacing w:before="73"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根据《中华人民共和国证券法》《中华人民共和国行政处</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4"/>
              </w:rPr>
              <w:t>罚法》等法律法规，</w:t>
            </w:r>
            <w:r>
              <w:rPr>
                <w:rFonts w:ascii="Microsoft YaHei" w:hAnsi="Microsoft YaHei" w:eastAsia="Microsoft YaHei" w:cs="Microsoft YaHei"/>
                <w:sz w:val="21"/>
                <w:szCs w:val="21"/>
                <w:spacing w:val="43"/>
              </w:rPr>
              <w:t xml:space="preserve"> </w:t>
            </w:r>
            <w:r>
              <w:rPr>
                <w:rFonts w:ascii="Microsoft YaHei" w:hAnsi="Microsoft YaHei" w:eastAsia="Microsoft YaHei" w:cs="Microsoft YaHei"/>
                <w:sz w:val="21"/>
                <w:szCs w:val="21"/>
                <w:spacing w:val="-4"/>
              </w:rPr>
              <w:t>中国证监会决定对新亚制程(浙江)股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份有限公司立案。</w:t>
            </w:r>
          </w:p>
        </w:tc>
      </w:tr>
      <w:tr>
        <w:trPr>
          <w:trHeight w:val="1092" w:hRule="atLeast"/>
        </w:trPr>
        <w:tc>
          <w:tcPr>
            <w:tcW w:w="1214" w:type="dxa"/>
            <w:vAlign w:val="top"/>
          </w:tcPr>
          <w:p>
            <w:pPr>
              <w:spacing w:line="376" w:lineRule="auto"/>
              <w:rPr>
                <w:rFonts w:ascii="Arial"/>
                <w:sz w:val="21"/>
              </w:rPr>
            </w:pPr>
            <w:r/>
          </w:p>
          <w:p>
            <w:pPr>
              <w:ind w:left="239"/>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603022</w:t>
            </w:r>
          </w:p>
        </w:tc>
        <w:tc>
          <w:tcPr>
            <w:tcW w:w="1345" w:type="dxa"/>
            <w:vAlign w:val="top"/>
          </w:tcPr>
          <w:p>
            <w:pPr>
              <w:spacing w:line="366" w:lineRule="auto"/>
              <w:rPr>
                <w:rFonts w:ascii="Arial"/>
                <w:sz w:val="21"/>
              </w:rPr>
            </w:pPr>
            <w:r/>
          </w:p>
          <w:p>
            <w:pPr>
              <w:ind w:left="345"/>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新通联</w:t>
            </w:r>
          </w:p>
        </w:tc>
        <w:tc>
          <w:tcPr>
            <w:tcW w:w="5496" w:type="dxa"/>
            <w:vAlign w:val="top"/>
          </w:tcPr>
          <w:p>
            <w:pPr>
              <w:ind w:left="95" w:right="144" w:firstLine="19"/>
              <w:spacing w:before="100"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因大股东</w:t>
            </w:r>
            <w:r>
              <w:rPr>
                <w:rFonts w:ascii="Microsoft YaHei" w:hAnsi="Microsoft YaHei" w:eastAsia="Microsoft YaHei" w:cs="Microsoft YaHei"/>
                <w:sz w:val="21"/>
                <w:szCs w:val="21"/>
                <w:b/>
                <w:bCs/>
                <w:spacing w:val="-2"/>
              </w:rPr>
              <w:t>涉嫌“新通联”持股变动相关违法违规</w:t>
            </w:r>
            <w:r>
              <w:rPr>
                <w:rFonts w:ascii="Microsoft YaHei" w:hAnsi="Microsoft YaHei" w:eastAsia="Microsoft YaHei" w:cs="Microsoft YaHei"/>
                <w:sz w:val="21"/>
                <w:szCs w:val="21"/>
                <w:spacing w:val="-2"/>
              </w:rPr>
              <w:t>，根据    </w:t>
            </w:r>
            <w:r>
              <w:rPr>
                <w:rFonts w:ascii="Microsoft YaHei" w:hAnsi="Microsoft YaHei" w:eastAsia="Microsoft YaHei" w:cs="Microsoft YaHei"/>
                <w:sz w:val="21"/>
                <w:szCs w:val="21"/>
                <w:spacing w:val="-1"/>
              </w:rPr>
              <w:t>《中华人民共和国证券法》、《中华人民共和国行政处罚</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rPr>
              <w:t>法》等法律法规，中国证监会决定对毕方投资立案。</w:t>
            </w:r>
          </w:p>
        </w:tc>
      </w:tr>
    </w:tbl>
    <w:p>
      <w:pPr>
        <w:pStyle w:val="BodyText"/>
        <w:rPr/>
      </w:pPr>
      <w:r/>
    </w:p>
    <w:p>
      <w:pPr>
        <w:sectPr>
          <w:pgSz w:w="11912" w:h="16841"/>
          <w:pgMar w:top="400" w:right="1786" w:bottom="0" w:left="912" w:header="0" w:footer="0" w:gutter="0"/>
        </w:sectPr>
        <w:rPr/>
      </w:pPr>
    </w:p>
    <w:p>
      <w:pPr>
        <w:spacing w:line="820" w:lineRule="exact"/>
        <w:rPr/>
      </w:pPr>
      <w:r>
        <w:rPr>
          <w:position w:val="-16"/>
        </w:rPr>
        <w:pict>
          <v:group id="_x0000_s14" style="mso-position-vertical-relative:line;mso-position-horizontal-relative:char;width:132pt;height:41.05pt;" filled="false" stroked="false" coordsize="2640,820" coordorigin="0,0">
            <v:shape id="_x0000_s16" style="position:absolute;left:0;top:0;width:2640;height:820;" filled="false" stroked="false" type="#_x0000_t75">
              <v:imagedata o:title="" r:id="rId17"/>
            </v:shape>
            <v:shape id="_x0000_s18" style="position:absolute;left:-20;top:-20;width:2680;height:860;" filled="false" stroked="false" type="#_x0000_t202">
              <v:fill on="false"/>
              <v:stroke on="false"/>
              <v:path/>
              <v:imagedata o:title=""/>
              <o:lock v:ext="edit" aspectratio="false"/>
              <v:textbox inset="0mm,0mm,0mm,0mm">
                <w:txbxContent>
                  <w:p>
                    <w:pPr>
                      <w:ind w:left="400"/>
                      <w:spacing w:before="271" w:line="222" w:lineRule="auto"/>
                      <w:rPr>
                        <w:rFonts w:ascii="SimHei" w:hAnsi="SimHei" w:eastAsia="SimHei" w:cs="SimHei"/>
                        <w:sz w:val="32"/>
                        <w:szCs w:val="32"/>
                      </w:rPr>
                    </w:pPr>
                    <w:r>
                      <w:rPr>
                        <w:rFonts w:ascii="SimHei" w:hAnsi="SimHei" w:eastAsia="SimHei" w:cs="SimHei"/>
                        <w:sz w:val="32"/>
                        <w:szCs w:val="32"/>
                        <w:color w:val="FFFFFF"/>
                        <w:spacing w:val="-29"/>
                        <w:w w:val="98"/>
                      </w:rPr>
                      <w:t>上交所监管动态</w:t>
                    </w:r>
                  </w:p>
                </w:txbxContent>
              </v:textbox>
            </v:shape>
          </v:group>
        </w:pict>
      </w:r>
    </w:p>
    <w:p>
      <w:pPr>
        <w:pStyle w:val="BodyText"/>
        <w:spacing w:line="345" w:lineRule="auto"/>
        <w:rPr/>
      </w:pPr>
      <w:r/>
    </w:p>
    <w:p>
      <w:pPr>
        <w:ind w:left="720"/>
        <w:spacing w:before="81" w:line="222" w:lineRule="auto"/>
        <w:rPr>
          <w:rFonts w:ascii="SimHei" w:hAnsi="SimHei" w:eastAsia="SimHei" w:cs="SimHei"/>
          <w:sz w:val="25"/>
          <w:szCs w:val="25"/>
        </w:rPr>
      </w:pPr>
      <w:r>
        <w:rPr>
          <w:rFonts w:ascii="SimHei" w:hAnsi="SimHei" w:eastAsia="SimHei" w:cs="SimHei"/>
          <w:sz w:val="25"/>
          <w:szCs w:val="25"/>
          <w:spacing w:val="-11"/>
        </w:rPr>
        <w:t>1、上市公司监管动态</w:t>
      </w:r>
    </w:p>
    <w:p>
      <w:pPr>
        <w:pStyle w:val="BodyText"/>
        <w:spacing w:line="264" w:lineRule="auto"/>
        <w:rPr/>
      </w:pPr>
      <w:r/>
    </w:p>
    <w:p>
      <w:pPr>
        <w:ind w:left="219" w:right="4" w:firstLine="460"/>
        <w:spacing w:before="82" w:line="255" w:lineRule="auto"/>
        <w:jc w:val="both"/>
        <w:rPr>
          <w:rFonts w:ascii="SimHei" w:hAnsi="SimHei" w:eastAsia="SimHei" w:cs="SimHei"/>
          <w:sz w:val="25"/>
          <w:szCs w:val="25"/>
        </w:rPr>
      </w:pPr>
      <w:r>
        <w:rPr>
          <w:rFonts w:ascii="SimHei" w:hAnsi="SimHei" w:eastAsia="SimHei" w:cs="SimHei"/>
          <w:sz w:val="25"/>
          <w:szCs w:val="25"/>
          <w:spacing w:val="-23"/>
        </w:rPr>
        <w:t>2024年</w:t>
      </w:r>
      <w:r>
        <w:rPr>
          <w:rFonts w:ascii="SimHei" w:hAnsi="SimHei" w:eastAsia="SimHei" w:cs="SimHei"/>
          <w:sz w:val="25"/>
          <w:szCs w:val="25"/>
          <w:spacing w:val="-22"/>
        </w:rPr>
        <w:t>1月8日-1月14日，上交所</w:t>
      </w:r>
      <w:r>
        <w:rPr>
          <w:rFonts w:ascii="SimHei" w:hAnsi="SimHei" w:eastAsia="SimHei" w:cs="SimHei"/>
          <w:sz w:val="25"/>
          <w:szCs w:val="25"/>
          <w:spacing w:val="-23"/>
        </w:rPr>
        <w:t>公司监管部门作出5份监管警示函，对1宗行为予以纪律处分。同时，加大</w:t>
      </w:r>
      <w:r>
        <w:rPr>
          <w:rFonts w:ascii="SimHei" w:hAnsi="SimHei" w:eastAsia="SimHei" w:cs="SimHei"/>
          <w:sz w:val="25"/>
          <w:szCs w:val="25"/>
          <w:spacing w:val="-18"/>
        </w:rPr>
        <w:t>信</w:t>
      </w:r>
      <w:r>
        <w:rPr>
          <w:rFonts w:ascii="SimHei" w:hAnsi="SimHei" w:eastAsia="SimHei" w:cs="SimHei"/>
          <w:sz w:val="25"/>
          <w:szCs w:val="25"/>
        </w:rPr>
        <w:t xml:space="preserve"> </w:t>
      </w:r>
      <w:r>
        <w:rPr>
          <w:rFonts w:ascii="SimHei" w:hAnsi="SimHei" w:eastAsia="SimHei" w:cs="SimHei"/>
          <w:sz w:val="25"/>
          <w:szCs w:val="25"/>
          <w:spacing w:val="-25"/>
          <w:w w:val="98"/>
        </w:rPr>
        <w:t>息披露和股价异常的联动监管，针对公司披露敏感信息或股价发生明显异常的，提请启动内幕交易、异常交易</w:t>
      </w:r>
      <w:r>
        <w:rPr>
          <w:rFonts w:ascii="SimHei" w:hAnsi="SimHei" w:eastAsia="SimHei" w:cs="SimHei"/>
          <w:sz w:val="25"/>
          <w:szCs w:val="25"/>
          <w:spacing w:val="-26"/>
          <w:w w:val="98"/>
        </w:rPr>
        <w:t>核查</w:t>
      </w:r>
      <w:r>
        <w:rPr>
          <w:rFonts w:ascii="SimHei" w:hAnsi="SimHei" w:eastAsia="SimHei" w:cs="SimHei"/>
          <w:sz w:val="25"/>
          <w:szCs w:val="25"/>
        </w:rPr>
        <w:t xml:space="preserve"> </w:t>
      </w:r>
      <w:r>
        <w:rPr>
          <w:rFonts w:ascii="SimHei" w:hAnsi="SimHei" w:eastAsia="SimHei" w:cs="SimHei"/>
          <w:sz w:val="25"/>
          <w:szCs w:val="25"/>
          <w:spacing w:val="-16"/>
        </w:rPr>
        <w:t>5单。</w:t>
      </w:r>
    </w:p>
    <w:p>
      <w:pPr>
        <w:pStyle w:val="BodyText"/>
        <w:spacing w:line="252" w:lineRule="auto"/>
        <w:rPr/>
      </w:pPr>
      <w:r/>
    </w:p>
    <w:p>
      <w:pPr>
        <w:ind w:left="219" w:firstLine="470"/>
        <w:spacing w:before="81" w:line="244" w:lineRule="auto"/>
        <w:rPr>
          <w:rFonts w:ascii="SimHei" w:hAnsi="SimHei" w:eastAsia="SimHei" w:cs="SimHei"/>
          <w:sz w:val="25"/>
          <w:szCs w:val="25"/>
        </w:rPr>
      </w:pPr>
      <w:r>
        <w:rPr>
          <w:rFonts w:ascii="SimHei" w:hAnsi="SimHei" w:eastAsia="SimHei" w:cs="SimHei"/>
          <w:sz w:val="25"/>
          <w:szCs w:val="25"/>
          <w:spacing w:val="-24"/>
        </w:rPr>
        <w:t>1月12日，关注到*</w:t>
      </w:r>
      <w:r>
        <w:rPr>
          <w:rFonts w:ascii="SimSun" w:hAnsi="SimSun" w:eastAsia="SimSun" w:cs="SimSun"/>
          <w:sz w:val="25"/>
          <w:szCs w:val="25"/>
          <w:spacing w:val="-24"/>
        </w:rPr>
        <w:t>ST</w:t>
      </w:r>
      <w:r>
        <w:rPr>
          <w:rFonts w:ascii="SimHei" w:hAnsi="SimHei" w:eastAsia="SimHei" w:cs="SimHei"/>
          <w:sz w:val="25"/>
          <w:szCs w:val="25"/>
          <w:spacing w:val="-24"/>
        </w:rPr>
        <w:t>博天股价出现大幅波动后，已督促公司充分提示退市等风险，提醒广大投资</w:t>
      </w:r>
      <w:r>
        <w:rPr>
          <w:rFonts w:ascii="SimHei" w:hAnsi="SimHei" w:eastAsia="SimHei" w:cs="SimHei"/>
          <w:sz w:val="25"/>
          <w:szCs w:val="25"/>
          <w:spacing w:val="-25"/>
        </w:rPr>
        <w:t>者注意交易</w:t>
      </w:r>
      <w:r>
        <w:rPr>
          <w:rFonts w:ascii="SimHei" w:hAnsi="SimHei" w:eastAsia="SimHei" w:cs="SimHei"/>
          <w:sz w:val="25"/>
          <w:szCs w:val="25"/>
        </w:rPr>
        <w:t xml:space="preserve"> </w:t>
      </w:r>
      <w:r>
        <w:rPr>
          <w:rFonts w:ascii="SimHei" w:hAnsi="SimHei" w:eastAsia="SimHei" w:cs="SimHei"/>
          <w:sz w:val="25"/>
          <w:szCs w:val="25"/>
          <w:spacing w:val="-29"/>
        </w:rPr>
        <w:t>风险、理性投资。</w:t>
      </w:r>
    </w:p>
    <w:p>
      <w:pPr>
        <w:pStyle w:val="BodyText"/>
        <w:spacing w:line="474" w:lineRule="auto"/>
        <w:rPr/>
      </w:pPr>
      <w:r/>
    </w:p>
    <w:p>
      <w:pPr>
        <w:ind w:left="3729"/>
        <w:spacing w:before="81" w:line="221" w:lineRule="auto"/>
        <w:rPr>
          <w:rFonts w:ascii="SimHei" w:hAnsi="SimHei" w:eastAsia="SimHei" w:cs="SimHei"/>
          <w:sz w:val="25"/>
          <w:szCs w:val="25"/>
        </w:rPr>
      </w:pPr>
      <w:r>
        <w:rPr>
          <w:rFonts w:ascii="SimHei" w:hAnsi="SimHei" w:eastAsia="SimHei" w:cs="SimHei"/>
          <w:sz w:val="25"/>
          <w:szCs w:val="25"/>
          <w:spacing w:val="39"/>
        </w:rPr>
        <w:t>上周上交所发出的函件统计(份)</w:t>
      </w:r>
    </w:p>
    <w:p>
      <w:pPr>
        <w:ind w:left="2419"/>
        <w:spacing w:before="222" w:line="183" w:lineRule="auto"/>
        <w:rPr>
          <w:rFonts w:ascii="SimSun" w:hAnsi="SimSun" w:eastAsia="SimSun" w:cs="SimSun"/>
          <w:sz w:val="18"/>
          <w:szCs w:val="18"/>
        </w:rPr>
      </w:pPr>
      <w:r>
        <w:rPr>
          <w:rFonts w:ascii="SimSun" w:hAnsi="SimSun" w:eastAsia="SimSun" w:cs="SimSun"/>
          <w:sz w:val="20"/>
          <w:szCs w:val="20"/>
          <w:spacing w:val="-5"/>
        </w:rPr>
        <w:t>6</w:t>
      </w:r>
      <w:r>
        <w:rPr>
          <w:rFonts w:ascii="SimSun" w:hAnsi="SimSun" w:eastAsia="SimSun" w:cs="SimSun"/>
          <w:sz w:val="20"/>
          <w:szCs w:val="20"/>
          <w:spacing w:val="8"/>
        </w:rPr>
        <w:t xml:space="preserve">           </w:t>
      </w:r>
      <w:r>
        <w:rPr>
          <w:rFonts w:ascii="SimSun" w:hAnsi="SimSun" w:eastAsia="SimSun" w:cs="SimSun"/>
          <w:sz w:val="18"/>
          <w:szCs w:val="18"/>
          <w:spacing w:val="-5"/>
        </w:rPr>
        <w:t>5</w:t>
      </w:r>
    </w:p>
    <w:p>
      <w:pPr>
        <w:ind w:left="2419"/>
        <w:spacing w:before="83" w:line="182" w:lineRule="auto"/>
        <w:rPr>
          <w:rFonts w:ascii="SimSun" w:hAnsi="SimSun" w:eastAsia="SimSun" w:cs="SimSun"/>
          <w:sz w:val="20"/>
          <w:szCs w:val="20"/>
        </w:rPr>
      </w:pPr>
      <w:r>
        <w:rPr>
          <w:rFonts w:ascii="SimSun" w:hAnsi="SimSun" w:eastAsia="SimSun" w:cs="SimSun"/>
          <w:sz w:val="20"/>
          <w:szCs w:val="20"/>
        </w:rPr>
        <w:t>5</w:t>
      </w:r>
    </w:p>
    <w:p>
      <w:pPr>
        <w:ind w:left="2419"/>
        <w:spacing w:before="70" w:line="183" w:lineRule="auto"/>
        <w:rPr>
          <w:rFonts w:ascii="SimSun" w:hAnsi="SimSun" w:eastAsia="SimSun" w:cs="SimSun"/>
          <w:sz w:val="16"/>
          <w:szCs w:val="16"/>
        </w:rPr>
      </w:pPr>
      <w:r>
        <w:rPr>
          <w:rFonts w:ascii="SimSun" w:hAnsi="SimSun" w:eastAsia="SimSun" w:cs="SimSun"/>
          <w:sz w:val="16"/>
          <w:szCs w:val="16"/>
        </w:rPr>
        <w:t>4</w:t>
      </w:r>
    </w:p>
    <w:p>
      <w:pPr>
        <w:ind w:left="2419"/>
        <w:spacing w:before="128" w:line="183" w:lineRule="auto"/>
        <w:rPr>
          <w:rFonts w:ascii="SimSun" w:hAnsi="SimSun" w:eastAsia="SimSun" w:cs="SimSun"/>
          <w:sz w:val="18"/>
          <w:szCs w:val="18"/>
        </w:rPr>
      </w:pPr>
      <w:r>
        <w:rPr>
          <w:rFonts w:ascii="SimSun" w:hAnsi="SimSun" w:eastAsia="SimSun" w:cs="SimSun"/>
          <w:sz w:val="18"/>
          <w:szCs w:val="18"/>
        </w:rPr>
        <w:t>3</w:t>
      </w:r>
    </w:p>
    <w:p>
      <w:pPr>
        <w:ind w:left="2419"/>
        <w:spacing w:before="88" w:line="199" w:lineRule="auto"/>
        <w:rPr>
          <w:rFonts w:ascii="SimSun" w:hAnsi="SimSun" w:eastAsia="SimSun" w:cs="SimSun"/>
          <w:sz w:val="19"/>
          <w:szCs w:val="19"/>
        </w:rPr>
      </w:pPr>
      <w:r>
        <w:rPr>
          <w:rFonts w:ascii="SimSun" w:hAnsi="SimSun" w:eastAsia="SimSun" w:cs="SimSun"/>
          <w:sz w:val="17"/>
          <w:szCs w:val="17"/>
          <w:spacing w:val="-11"/>
          <w:position w:val="2"/>
        </w:rPr>
        <w:t>2</w:t>
      </w:r>
      <w:r>
        <w:rPr>
          <w:rFonts w:ascii="SimSun" w:hAnsi="SimSun" w:eastAsia="SimSun" w:cs="SimSun"/>
          <w:sz w:val="17"/>
          <w:szCs w:val="17"/>
          <w:spacing w:val="2"/>
          <w:position w:val="2"/>
        </w:rPr>
        <w:t xml:space="preserve">                          </w:t>
      </w:r>
      <w:r>
        <w:rPr>
          <w:rFonts w:ascii="SimSun" w:hAnsi="SimSun" w:eastAsia="SimSun" w:cs="SimSun"/>
          <w:sz w:val="17"/>
          <w:szCs w:val="17"/>
          <w:spacing w:val="1"/>
          <w:position w:val="2"/>
        </w:rPr>
        <w:t xml:space="preserve">            </w:t>
      </w:r>
      <w:r>
        <w:rPr>
          <w:rFonts w:ascii="SimSun" w:hAnsi="SimSun" w:eastAsia="SimSun" w:cs="SimSun"/>
          <w:sz w:val="19"/>
          <w:szCs w:val="19"/>
          <w:spacing w:val="-11"/>
          <w:position w:val="-1"/>
        </w:rPr>
        <w:t>1</w:t>
      </w:r>
      <w:r>
        <w:rPr>
          <w:rFonts w:ascii="SimSun" w:hAnsi="SimSun" w:eastAsia="SimSun" w:cs="SimSun"/>
          <w:sz w:val="19"/>
          <w:szCs w:val="19"/>
          <w:spacing w:val="1"/>
          <w:position w:val="-1"/>
        </w:rPr>
        <w:t xml:space="preserve">                     </w:t>
      </w:r>
      <w:r>
        <w:rPr>
          <w:rFonts w:ascii="SimSun" w:hAnsi="SimSun" w:eastAsia="SimSun" w:cs="SimSun"/>
          <w:sz w:val="19"/>
          <w:szCs w:val="19"/>
          <w:spacing w:val="-11"/>
          <w:position w:val="-1"/>
        </w:rPr>
        <w:t>1</w:t>
      </w:r>
    </w:p>
    <w:p>
      <w:pPr>
        <w:ind w:left="2429"/>
        <w:spacing w:before="32" w:line="184" w:lineRule="auto"/>
        <w:rPr>
          <w:rFonts w:ascii="SimSun" w:hAnsi="SimSun" w:eastAsia="SimSun" w:cs="SimSun"/>
          <w:sz w:val="16"/>
          <w:szCs w:val="16"/>
        </w:rPr>
      </w:pPr>
      <w:r>
        <w:rPr>
          <w:rFonts w:ascii="SimSun" w:hAnsi="SimSun" w:eastAsia="SimSun" w:cs="SimSun"/>
          <w:sz w:val="16"/>
          <w:szCs w:val="16"/>
        </w:rPr>
        <w:t>1</w:t>
      </w:r>
    </w:p>
    <w:p>
      <w:pPr>
        <w:ind w:left="2450"/>
        <w:spacing w:before="61" w:line="117" w:lineRule="exact"/>
        <w:rPr>
          <w:rFonts w:ascii="SimSun" w:hAnsi="SimSun" w:eastAsia="SimSun" w:cs="SimSun"/>
          <w:sz w:val="16"/>
          <w:szCs w:val="16"/>
        </w:rPr>
      </w:pPr>
      <w:r>
        <w:rPr>
          <w:rFonts w:ascii="SimSun" w:hAnsi="SimSun" w:eastAsia="SimSun" w:cs="SimSun"/>
          <w:sz w:val="16"/>
          <w:szCs w:val="16"/>
          <w:position w:val="-2"/>
        </w:rPr>
        <w:t>0</w:t>
      </w:r>
    </w:p>
    <w:tbl>
      <w:tblPr>
        <w:tblStyle w:val="TableNormal"/>
        <w:tblW w:w="6929" w:type="dxa"/>
        <w:tblInd w:w="204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93"/>
        <w:gridCol w:w="2077"/>
        <w:gridCol w:w="2087"/>
        <w:gridCol w:w="2072"/>
      </w:tblGrid>
      <w:tr>
        <w:trPr>
          <w:trHeight w:val="390" w:hRule="atLeast"/>
        </w:trPr>
        <w:tc>
          <w:tcPr>
            <w:tcW w:w="693" w:type="dxa"/>
            <w:vAlign w:val="top"/>
          </w:tcPr>
          <w:p>
            <w:pPr>
              <w:rPr>
                <w:rFonts w:ascii="Arial"/>
                <w:sz w:val="21"/>
              </w:rPr>
            </w:pPr>
            <w:r/>
          </w:p>
        </w:tc>
        <w:tc>
          <w:tcPr>
            <w:tcW w:w="2077" w:type="dxa"/>
            <w:vAlign w:val="top"/>
          </w:tcPr>
          <w:p>
            <w:pPr>
              <w:pStyle w:val="TableText"/>
              <w:ind w:left="631"/>
              <w:spacing w:before="103" w:line="219" w:lineRule="auto"/>
              <w:rPr>
                <w:sz w:val="20"/>
                <w:szCs w:val="20"/>
              </w:rPr>
            </w:pPr>
            <w:r>
              <w:rPr>
                <w:sz w:val="20"/>
                <w:szCs w:val="20"/>
                <w:spacing w:val="-2"/>
              </w:rPr>
              <w:t>监管警示</w:t>
            </w:r>
          </w:p>
        </w:tc>
        <w:tc>
          <w:tcPr>
            <w:tcW w:w="2087" w:type="dxa"/>
            <w:vAlign w:val="top"/>
          </w:tcPr>
          <w:p>
            <w:pPr>
              <w:pStyle w:val="TableText"/>
              <w:ind w:left="634"/>
              <w:spacing w:before="103" w:line="219" w:lineRule="auto"/>
              <w:rPr>
                <w:sz w:val="20"/>
                <w:szCs w:val="20"/>
              </w:rPr>
            </w:pPr>
            <w:r>
              <w:rPr>
                <w:sz w:val="20"/>
                <w:szCs w:val="20"/>
                <w:spacing w:val="2"/>
              </w:rPr>
              <w:t>纪律处分</w:t>
            </w:r>
          </w:p>
        </w:tc>
        <w:tc>
          <w:tcPr>
            <w:tcW w:w="2072" w:type="dxa"/>
            <w:vAlign w:val="top"/>
          </w:tcPr>
          <w:p>
            <w:pPr>
              <w:pStyle w:val="TableText"/>
              <w:ind w:left="727"/>
              <w:spacing w:before="104" w:line="221" w:lineRule="auto"/>
              <w:rPr>
                <w:sz w:val="20"/>
                <w:szCs w:val="20"/>
              </w:rPr>
            </w:pPr>
            <w:r>
              <w:rPr>
                <w:sz w:val="20"/>
                <w:szCs w:val="20"/>
                <w:spacing w:val="7"/>
              </w:rPr>
              <w:t>问询函</w:t>
            </w:r>
          </w:p>
        </w:tc>
      </w:tr>
      <w:tr>
        <w:trPr>
          <w:trHeight w:val="399" w:hRule="atLeast"/>
        </w:trPr>
        <w:tc>
          <w:tcPr>
            <w:tcW w:w="693" w:type="dxa"/>
            <w:vAlign w:val="top"/>
          </w:tcPr>
          <w:p>
            <w:pPr>
              <w:pStyle w:val="TableText"/>
              <w:ind w:left="25"/>
              <w:spacing w:before="103" w:line="219" w:lineRule="auto"/>
              <w:rPr>
                <w:sz w:val="20"/>
                <w:szCs w:val="20"/>
              </w:rPr>
            </w:pPr>
            <w:r>
              <w:rPr>
                <w:sz w:val="20"/>
                <w:szCs w:val="20"/>
                <w:color w:val="78000C"/>
                <w:spacing w:val="2"/>
              </w:rPr>
              <w:t>■份数</w:t>
            </w:r>
          </w:p>
        </w:tc>
        <w:tc>
          <w:tcPr>
            <w:tcW w:w="2077" w:type="dxa"/>
            <w:vAlign w:val="top"/>
          </w:tcPr>
          <w:p>
            <w:pPr>
              <w:pStyle w:val="TableText"/>
              <w:ind w:left="981"/>
              <w:spacing w:before="155" w:line="182" w:lineRule="auto"/>
              <w:rPr>
                <w:sz w:val="20"/>
                <w:szCs w:val="20"/>
              </w:rPr>
            </w:pPr>
            <w:r>
              <w:rPr>
                <w:sz w:val="20"/>
                <w:szCs w:val="20"/>
              </w:rPr>
              <w:t>5</w:t>
            </w:r>
          </w:p>
        </w:tc>
        <w:tc>
          <w:tcPr>
            <w:tcW w:w="2087" w:type="dxa"/>
            <w:vAlign w:val="top"/>
          </w:tcPr>
          <w:p>
            <w:pPr>
              <w:rPr>
                <w:rFonts w:ascii="Arial"/>
                <w:sz w:val="21"/>
              </w:rPr>
            </w:pPr>
            <w:r/>
          </w:p>
        </w:tc>
        <w:tc>
          <w:tcPr>
            <w:tcW w:w="2072" w:type="dxa"/>
            <w:vAlign w:val="top"/>
          </w:tcPr>
          <w:p>
            <w:pPr>
              <w:pStyle w:val="TableText"/>
              <w:ind w:left="977"/>
              <w:spacing w:before="153" w:line="184" w:lineRule="auto"/>
              <w:rPr>
                <w:sz w:val="20"/>
                <w:szCs w:val="20"/>
              </w:rPr>
            </w:pPr>
            <w:r>
              <w:rPr>
                <w:sz w:val="20"/>
                <w:szCs w:val="20"/>
              </w:rPr>
              <w:t>1</w:t>
            </w:r>
          </w:p>
        </w:tc>
      </w:tr>
    </w:tbl>
    <w:p>
      <w:pPr>
        <w:pStyle w:val="BodyText"/>
        <w:spacing w:line="389" w:lineRule="auto"/>
        <w:rPr/>
      </w:pPr>
      <w:r/>
    </w:p>
    <w:p>
      <w:pPr>
        <w:ind w:left="799"/>
        <w:spacing w:before="82" w:line="221" w:lineRule="auto"/>
        <w:rPr>
          <w:rFonts w:ascii="SimHei" w:hAnsi="SimHei" w:eastAsia="SimHei" w:cs="SimHei"/>
          <w:sz w:val="25"/>
          <w:szCs w:val="25"/>
        </w:rPr>
      </w:pPr>
      <w:r>
        <w:rPr>
          <w:rFonts w:ascii="SimHei" w:hAnsi="SimHei" w:eastAsia="SimHei" w:cs="SimHei"/>
          <w:sz w:val="25"/>
          <w:szCs w:val="25"/>
        </w:rPr>
        <w:t>(1)监管措施统计</w:t>
      </w:r>
    </w:p>
    <w:p>
      <w:pPr>
        <w:spacing w:before="36"/>
        <w:rPr/>
      </w:pPr>
      <w:r/>
    </w:p>
    <w:tbl>
      <w:tblPr>
        <w:tblStyle w:val="TableNormal"/>
        <w:tblW w:w="8820" w:type="dxa"/>
        <w:tblInd w:w="154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84"/>
        <w:gridCol w:w="1209"/>
        <w:gridCol w:w="1328"/>
        <w:gridCol w:w="4999"/>
      </w:tblGrid>
      <w:tr>
        <w:trPr>
          <w:trHeight w:val="364" w:hRule="atLeast"/>
        </w:trPr>
        <w:tc>
          <w:tcPr>
            <w:shd w:val="clear" w:fill="C0504D"/>
            <w:tcW w:w="8820" w:type="dxa"/>
            <w:vAlign w:val="top"/>
            <w:gridSpan w:val="4"/>
          </w:tcPr>
          <w:p>
            <w:pPr>
              <w:pStyle w:val="TableText"/>
              <w:ind w:left="218"/>
              <w:spacing w:before="100" w:line="223" w:lineRule="auto"/>
              <w:rPr/>
            </w:pPr>
            <w:r>
              <w:rPr>
                <w:b/>
                <w:bCs/>
                <w:color w:val="FFFFFF"/>
                <w:spacing w:val="-1"/>
              </w:rPr>
              <w:t>公司代码</w:t>
            </w:r>
            <w:r>
              <w:rPr>
                <w:color w:val="FFFFFF"/>
                <w:spacing w:val="-1"/>
              </w:rPr>
              <w:t xml:space="preserve">    </w:t>
            </w:r>
            <w:r>
              <w:rPr>
                <w:b/>
                <w:bCs/>
                <w:color w:val="FFFFFF"/>
                <w:spacing w:val="-1"/>
              </w:rPr>
              <w:t>公司简称</w:t>
            </w:r>
            <w:r>
              <w:rPr>
                <w:color w:val="FFFFFF"/>
                <w:spacing w:val="-1"/>
              </w:rPr>
              <w:t xml:space="preserve">    </w:t>
            </w:r>
            <w:r>
              <w:rPr>
                <w:b/>
                <w:bCs/>
                <w:color w:val="FFFFFF"/>
                <w:spacing w:val="-1"/>
              </w:rPr>
              <w:t>函件类别</w:t>
            </w:r>
            <w:r>
              <w:rPr>
                <w:color w:val="FFFFFF"/>
                <w:spacing w:val="-1"/>
              </w:rPr>
              <w:t xml:space="preserve">                      </w:t>
            </w:r>
            <w:r>
              <w:rPr>
                <w:b/>
                <w:bCs/>
                <w:color w:val="FFFFFF"/>
                <w:spacing w:val="-1"/>
              </w:rPr>
              <w:t>违规类型</w:t>
            </w:r>
          </w:p>
        </w:tc>
      </w:tr>
      <w:tr>
        <w:trPr>
          <w:trHeight w:val="379" w:hRule="atLeast"/>
        </w:trPr>
        <w:tc>
          <w:tcPr>
            <w:tcW w:w="1284" w:type="dxa"/>
            <w:vAlign w:val="top"/>
          </w:tcPr>
          <w:p>
            <w:pPr>
              <w:pStyle w:val="TableText"/>
              <w:ind w:left="315"/>
              <w:spacing w:before="143" w:line="183" w:lineRule="auto"/>
              <w:rPr/>
            </w:pPr>
            <w:r>
              <w:rPr>
                <w:spacing w:val="-2"/>
              </w:rPr>
              <w:t>605056</w:t>
            </w:r>
          </w:p>
        </w:tc>
        <w:tc>
          <w:tcPr>
            <w:tcW w:w="1209" w:type="dxa"/>
            <w:vAlign w:val="top"/>
          </w:tcPr>
          <w:p>
            <w:pPr>
              <w:pStyle w:val="TableText"/>
              <w:ind w:left="171"/>
              <w:spacing w:before="89" w:line="219" w:lineRule="auto"/>
              <w:rPr/>
            </w:pPr>
            <w:r>
              <w:rPr>
                <w:spacing w:val="-2"/>
              </w:rPr>
              <w:t>咸亨国际</w:t>
            </w:r>
          </w:p>
        </w:tc>
        <w:tc>
          <w:tcPr>
            <w:tcW w:w="1328" w:type="dxa"/>
            <w:vAlign w:val="top"/>
          </w:tcPr>
          <w:p>
            <w:pPr>
              <w:pStyle w:val="TableText"/>
              <w:ind w:left="232"/>
              <w:spacing w:before="89" w:line="219" w:lineRule="auto"/>
              <w:rPr/>
            </w:pPr>
            <w:r>
              <w:rPr>
                <w:spacing w:val="-2"/>
              </w:rPr>
              <w:t>监管警示</w:t>
            </w:r>
          </w:p>
        </w:tc>
        <w:tc>
          <w:tcPr>
            <w:tcW w:w="4999" w:type="dxa"/>
            <w:vAlign w:val="top"/>
          </w:tcPr>
          <w:p>
            <w:pPr>
              <w:pStyle w:val="TableText"/>
              <w:ind w:left="14"/>
              <w:spacing w:before="86" w:line="219" w:lineRule="auto"/>
              <w:rPr/>
            </w:pPr>
            <w:r>
              <w:rPr>
                <w:spacing w:val="-2"/>
              </w:rPr>
              <w:t>公司</w:t>
            </w:r>
            <w:r>
              <w:rPr>
                <w:b/>
                <w:bCs/>
                <w:spacing w:val="-2"/>
              </w:rPr>
              <w:t>募集资金管理和使用</w:t>
            </w:r>
            <w:r>
              <w:rPr>
                <w:spacing w:val="-2"/>
              </w:rPr>
              <w:t>不规范。</w:t>
            </w:r>
          </w:p>
        </w:tc>
      </w:tr>
      <w:tr>
        <w:trPr>
          <w:trHeight w:val="379" w:hRule="atLeast"/>
        </w:trPr>
        <w:tc>
          <w:tcPr>
            <w:shd w:val="clear" w:fill="F1DCDC"/>
            <w:tcW w:w="1284" w:type="dxa"/>
            <w:vAlign w:val="top"/>
          </w:tcPr>
          <w:p>
            <w:pPr>
              <w:pStyle w:val="TableText"/>
              <w:ind w:left="315"/>
              <w:spacing w:before="144" w:line="183" w:lineRule="auto"/>
              <w:rPr/>
            </w:pPr>
            <w:r>
              <w:rPr>
                <w:spacing w:val="-2"/>
              </w:rPr>
              <w:t>603667</w:t>
            </w:r>
          </w:p>
        </w:tc>
        <w:tc>
          <w:tcPr>
            <w:shd w:val="clear" w:fill="F1DCDC"/>
            <w:tcW w:w="1209" w:type="dxa"/>
            <w:vAlign w:val="top"/>
          </w:tcPr>
          <w:p>
            <w:pPr>
              <w:pStyle w:val="TableText"/>
              <w:ind w:left="171"/>
              <w:spacing w:before="91" w:line="220" w:lineRule="auto"/>
              <w:rPr/>
            </w:pPr>
            <w:r>
              <w:rPr>
                <w:spacing w:val="-3"/>
              </w:rPr>
              <w:t>五洲新春</w:t>
            </w:r>
          </w:p>
        </w:tc>
        <w:tc>
          <w:tcPr>
            <w:shd w:val="clear" w:fill="F2DCDC"/>
            <w:tcW w:w="1328" w:type="dxa"/>
            <w:vAlign w:val="top"/>
          </w:tcPr>
          <w:p>
            <w:pPr>
              <w:pStyle w:val="TableText"/>
              <w:ind w:left="232"/>
              <w:spacing w:before="90" w:line="219" w:lineRule="auto"/>
              <w:rPr/>
            </w:pPr>
            <w:r>
              <w:rPr>
                <w:spacing w:val="-2"/>
              </w:rPr>
              <w:t>监管警示</w:t>
            </w:r>
          </w:p>
        </w:tc>
        <w:tc>
          <w:tcPr>
            <w:shd w:val="clear" w:fill="F1DBDB"/>
            <w:tcW w:w="4999" w:type="dxa"/>
            <w:vAlign w:val="top"/>
          </w:tcPr>
          <w:p>
            <w:pPr>
              <w:pStyle w:val="TableText"/>
              <w:ind w:left="14"/>
              <w:spacing w:before="87" w:line="219" w:lineRule="auto"/>
              <w:rPr/>
            </w:pPr>
            <w:r>
              <w:rPr>
                <w:spacing w:val="-2"/>
              </w:rPr>
              <w:t>公司高级管理人</w:t>
            </w:r>
            <w:r>
              <w:rPr>
                <w:b/>
                <w:bCs/>
                <w:spacing w:val="-2"/>
              </w:rPr>
              <w:t>员超比例减持股份。</w:t>
            </w:r>
          </w:p>
        </w:tc>
      </w:tr>
      <w:tr>
        <w:trPr>
          <w:trHeight w:val="718" w:hRule="atLeast"/>
        </w:trPr>
        <w:tc>
          <w:tcPr>
            <w:tcW w:w="1284" w:type="dxa"/>
            <w:vAlign w:val="top"/>
          </w:tcPr>
          <w:p>
            <w:pPr>
              <w:pStyle w:val="TableText"/>
              <w:ind w:left="315"/>
              <w:spacing w:before="164" w:line="184" w:lineRule="auto"/>
              <w:rPr/>
            </w:pPr>
            <w:r>
              <w:rPr>
                <w:spacing w:val="-2"/>
              </w:rPr>
              <w:t>600715</w:t>
            </w:r>
          </w:p>
        </w:tc>
        <w:tc>
          <w:tcPr>
            <w:tcW w:w="1209" w:type="dxa"/>
            <w:vAlign w:val="top"/>
          </w:tcPr>
          <w:p>
            <w:pPr>
              <w:pStyle w:val="TableText"/>
              <w:ind w:left="171"/>
              <w:spacing w:before="92" w:line="220" w:lineRule="auto"/>
              <w:rPr/>
            </w:pPr>
            <w:r>
              <w:rPr>
                <w:spacing w:val="2"/>
              </w:rPr>
              <w:t>文投控股</w:t>
            </w:r>
          </w:p>
        </w:tc>
        <w:tc>
          <w:tcPr>
            <w:tcW w:w="1328" w:type="dxa"/>
            <w:vAlign w:val="top"/>
          </w:tcPr>
          <w:p>
            <w:pPr>
              <w:pStyle w:val="TableText"/>
              <w:ind w:left="232"/>
              <w:spacing w:before="91" w:line="219" w:lineRule="auto"/>
              <w:rPr/>
            </w:pPr>
            <w:r>
              <w:rPr>
                <w:spacing w:val="-2"/>
              </w:rPr>
              <w:t>监管警示</w:t>
            </w:r>
          </w:p>
        </w:tc>
        <w:tc>
          <w:tcPr>
            <w:tcW w:w="4999" w:type="dxa"/>
            <w:vAlign w:val="top"/>
          </w:tcPr>
          <w:p>
            <w:pPr>
              <w:pStyle w:val="TableText"/>
              <w:ind w:left="14" w:right="131"/>
              <w:spacing w:before="107" w:line="264" w:lineRule="auto"/>
              <w:rPr/>
            </w:pPr>
            <w:r>
              <w:rPr>
                <w:spacing w:val="-1"/>
              </w:rPr>
              <w:t>公司未及时披露</w:t>
            </w:r>
            <w:r>
              <w:rPr>
                <w:b/>
                <w:bCs/>
                <w:spacing w:val="-1"/>
              </w:rPr>
              <w:t>重大债务未能清偿</w:t>
            </w:r>
            <w:r>
              <w:rPr>
                <w:spacing w:val="-1"/>
              </w:rPr>
              <w:t>的相关情况，损害</w:t>
            </w:r>
            <w:r>
              <w:rPr>
                <w:spacing w:val="18"/>
              </w:rPr>
              <w:t xml:space="preserve"> </w:t>
            </w:r>
            <w:r>
              <w:rPr>
                <w:spacing w:val="-1"/>
              </w:rPr>
              <w:t>了投资者的知情权。</w:t>
            </w:r>
          </w:p>
        </w:tc>
      </w:tr>
      <w:tr>
        <w:trPr>
          <w:trHeight w:val="738" w:hRule="atLeast"/>
        </w:trPr>
        <w:tc>
          <w:tcPr>
            <w:shd w:val="clear" w:fill="F1DBDB"/>
            <w:tcW w:w="1284" w:type="dxa"/>
            <w:vAlign w:val="top"/>
          </w:tcPr>
          <w:p>
            <w:pPr>
              <w:pStyle w:val="TableText"/>
              <w:ind w:left="315"/>
              <w:spacing w:before="157" w:line="183" w:lineRule="auto"/>
              <w:rPr/>
            </w:pPr>
            <w:r>
              <w:rPr>
                <w:spacing w:val="-2"/>
              </w:rPr>
              <w:t>603042</w:t>
            </w:r>
          </w:p>
        </w:tc>
        <w:tc>
          <w:tcPr>
            <w:shd w:val="clear" w:fill="F1DBDB"/>
            <w:tcW w:w="1209" w:type="dxa"/>
            <w:vAlign w:val="top"/>
          </w:tcPr>
          <w:p>
            <w:pPr>
              <w:pStyle w:val="TableText"/>
              <w:ind w:left="171"/>
              <w:spacing w:before="92" w:line="219" w:lineRule="auto"/>
              <w:rPr/>
            </w:pPr>
            <w:r>
              <w:rPr>
                <w:spacing w:val="-2"/>
              </w:rPr>
              <w:t>华脉科技</w:t>
            </w:r>
          </w:p>
        </w:tc>
        <w:tc>
          <w:tcPr>
            <w:shd w:val="clear" w:fill="F1DBDB"/>
            <w:tcW w:w="1328" w:type="dxa"/>
            <w:vAlign w:val="top"/>
          </w:tcPr>
          <w:p>
            <w:pPr>
              <w:pStyle w:val="TableText"/>
              <w:ind w:left="232"/>
              <w:spacing w:before="93" w:line="219" w:lineRule="auto"/>
              <w:rPr/>
            </w:pPr>
            <w:r>
              <w:rPr>
                <w:spacing w:val="-2"/>
              </w:rPr>
              <w:t>监管警示</w:t>
            </w:r>
          </w:p>
        </w:tc>
        <w:tc>
          <w:tcPr>
            <w:shd w:val="clear" w:fill="F1DBDB"/>
            <w:tcW w:w="4999" w:type="dxa"/>
            <w:vAlign w:val="top"/>
          </w:tcPr>
          <w:p>
            <w:pPr>
              <w:pStyle w:val="TableText"/>
              <w:ind w:left="14"/>
              <w:spacing w:before="100" w:line="372" w:lineRule="exact"/>
              <w:rPr/>
            </w:pPr>
            <w:r>
              <w:rPr>
                <w:position w:val="12"/>
              </w:rPr>
              <w:t>公司未及时将</w:t>
            </w:r>
            <w:r>
              <w:rPr>
                <w:b/>
                <w:bCs/>
                <w:position w:val="12"/>
              </w:rPr>
              <w:t>放弃申请再审</w:t>
            </w:r>
            <w:r>
              <w:rPr>
                <w:position w:val="12"/>
              </w:rPr>
              <w:t>的事项公告，也未</w:t>
            </w:r>
            <w:r>
              <w:rPr>
                <w:spacing w:val="-1"/>
                <w:position w:val="12"/>
              </w:rPr>
              <w:t>根据二</w:t>
            </w:r>
          </w:p>
          <w:p>
            <w:pPr>
              <w:pStyle w:val="TableText"/>
              <w:ind w:left="14"/>
              <w:spacing w:line="218" w:lineRule="auto"/>
              <w:rPr/>
            </w:pPr>
            <w:r>
              <w:rPr>
                <w:spacing w:val="-1"/>
              </w:rPr>
              <w:t>审判决结果进行会计差错更正。</w:t>
            </w:r>
          </w:p>
        </w:tc>
      </w:tr>
      <w:tr>
        <w:trPr>
          <w:trHeight w:val="718" w:hRule="atLeast"/>
        </w:trPr>
        <w:tc>
          <w:tcPr>
            <w:tcW w:w="1284" w:type="dxa"/>
            <w:vAlign w:val="top"/>
          </w:tcPr>
          <w:p>
            <w:pPr>
              <w:pStyle w:val="TableText"/>
              <w:ind w:left="315"/>
              <w:spacing w:before="149" w:line="183" w:lineRule="auto"/>
              <w:rPr/>
            </w:pPr>
            <w:r>
              <w:rPr>
                <w:spacing w:val="-2"/>
              </w:rPr>
              <w:t>603007</w:t>
            </w:r>
          </w:p>
        </w:tc>
        <w:tc>
          <w:tcPr>
            <w:tcW w:w="1209" w:type="dxa"/>
            <w:vAlign w:val="top"/>
          </w:tcPr>
          <w:p>
            <w:pPr>
              <w:pStyle w:val="TableText"/>
              <w:ind w:left="281"/>
              <w:spacing w:before="96" w:line="221" w:lineRule="auto"/>
              <w:rPr/>
            </w:pPr>
            <w:r>
              <w:rPr>
                <w:spacing w:val="-2"/>
              </w:rPr>
              <w:t>ST花王</w:t>
            </w:r>
          </w:p>
        </w:tc>
        <w:tc>
          <w:tcPr>
            <w:tcW w:w="1328" w:type="dxa"/>
            <w:vAlign w:val="top"/>
          </w:tcPr>
          <w:p>
            <w:pPr>
              <w:pStyle w:val="TableText"/>
              <w:ind w:left="232"/>
              <w:spacing w:before="95" w:line="219" w:lineRule="auto"/>
              <w:rPr/>
            </w:pPr>
            <w:r>
              <w:rPr>
                <w:spacing w:val="-2"/>
              </w:rPr>
              <w:t>通报批评</w:t>
            </w:r>
          </w:p>
        </w:tc>
        <w:tc>
          <w:tcPr>
            <w:tcW w:w="4999" w:type="dxa"/>
            <w:vAlign w:val="top"/>
          </w:tcPr>
          <w:p>
            <w:pPr>
              <w:pStyle w:val="TableText"/>
              <w:ind w:left="14" w:right="134"/>
              <w:spacing w:before="92" w:line="269" w:lineRule="auto"/>
              <w:rPr/>
            </w:pPr>
            <w:r>
              <w:rPr>
                <w:spacing w:val="-1"/>
              </w:rPr>
              <w:t>公司对前期</w:t>
            </w:r>
            <w:r>
              <w:rPr>
                <w:b/>
                <w:bCs/>
                <w:spacing w:val="-1"/>
              </w:rPr>
              <w:t>收购事项的重要进展</w:t>
            </w:r>
            <w:r>
              <w:rPr>
                <w:spacing w:val="-1"/>
              </w:rPr>
              <w:t>未履行审议程序且未</w:t>
            </w:r>
            <w:r>
              <w:rPr>
                <w:spacing w:val="12"/>
              </w:rPr>
              <w:t xml:space="preserve"> </w:t>
            </w:r>
            <w:r>
              <w:rPr>
                <w:spacing w:val="-1"/>
              </w:rPr>
              <w:t>按规定披露。</w:t>
            </w:r>
          </w:p>
        </w:tc>
      </w:tr>
      <w:tr>
        <w:trPr>
          <w:trHeight w:val="383" w:hRule="atLeast"/>
        </w:trPr>
        <w:tc>
          <w:tcPr>
            <w:shd w:val="clear" w:fill="F2DCDC"/>
            <w:tcW w:w="1284" w:type="dxa"/>
            <w:vAlign w:val="top"/>
          </w:tcPr>
          <w:p>
            <w:pPr>
              <w:pStyle w:val="TableText"/>
              <w:ind w:left="315"/>
              <w:spacing w:before="151" w:line="183" w:lineRule="auto"/>
              <w:rPr/>
            </w:pPr>
            <w:r>
              <w:rPr>
                <w:spacing w:val="-2"/>
              </w:rPr>
              <w:t>688626</w:t>
            </w:r>
          </w:p>
        </w:tc>
        <w:tc>
          <w:tcPr>
            <w:shd w:val="clear" w:fill="F2DCDC"/>
            <w:tcW w:w="1209" w:type="dxa"/>
            <w:vAlign w:val="top"/>
          </w:tcPr>
          <w:p>
            <w:pPr>
              <w:pStyle w:val="TableText"/>
              <w:ind w:left="171"/>
              <w:spacing w:before="97" w:line="219" w:lineRule="auto"/>
              <w:rPr/>
            </w:pPr>
            <w:r>
              <w:rPr>
                <w:spacing w:val="2"/>
              </w:rPr>
              <w:t>翔宇医疗</w:t>
            </w:r>
          </w:p>
        </w:tc>
        <w:tc>
          <w:tcPr>
            <w:shd w:val="clear" w:fill="F2DCDC"/>
            <w:tcW w:w="1328" w:type="dxa"/>
            <w:vAlign w:val="top"/>
          </w:tcPr>
          <w:p>
            <w:pPr>
              <w:pStyle w:val="TableText"/>
              <w:ind w:left="232"/>
              <w:spacing w:before="97" w:line="219" w:lineRule="auto"/>
              <w:rPr/>
            </w:pPr>
            <w:r>
              <w:rPr>
                <w:spacing w:val="-2"/>
              </w:rPr>
              <w:t>监管警示</w:t>
            </w:r>
          </w:p>
        </w:tc>
        <w:tc>
          <w:tcPr>
            <w:shd w:val="clear" w:fill="F1DBDB"/>
            <w:tcW w:w="4999" w:type="dxa"/>
            <w:vAlign w:val="top"/>
          </w:tcPr>
          <w:p>
            <w:pPr>
              <w:pStyle w:val="TableText"/>
              <w:ind w:left="14"/>
              <w:spacing w:before="95" w:line="220" w:lineRule="auto"/>
              <w:rPr/>
            </w:pPr>
            <w:r>
              <w:rPr>
                <w:spacing w:val="-2"/>
              </w:rPr>
              <w:t>公司未及时披露</w:t>
            </w:r>
            <w:r>
              <w:rPr>
                <w:b/>
                <w:bCs/>
                <w:spacing w:val="-2"/>
              </w:rPr>
              <w:t>诉讼事项。</w:t>
            </w:r>
          </w:p>
        </w:tc>
      </w:tr>
    </w:tbl>
    <w:p>
      <w:pPr>
        <w:pStyle w:val="BodyText"/>
        <w:spacing w:line="268" w:lineRule="auto"/>
        <w:rPr/>
      </w:pPr>
      <w:r/>
    </w:p>
    <w:p>
      <w:pPr>
        <w:pStyle w:val="BodyText"/>
        <w:spacing w:line="268" w:lineRule="auto"/>
        <w:rPr/>
      </w:pPr>
      <w:r/>
    </w:p>
    <w:p>
      <w:pPr>
        <w:pStyle w:val="BodyText"/>
        <w:spacing w:line="268" w:lineRule="auto"/>
        <w:rPr/>
      </w:pPr>
      <w:r/>
    </w:p>
    <w:p>
      <w:pPr>
        <w:pStyle w:val="BodyText"/>
        <w:spacing w:line="269" w:lineRule="auto"/>
        <w:rPr/>
      </w:pPr>
      <w:r/>
    </w:p>
    <w:p>
      <w:pPr>
        <w:pStyle w:val="BodyText"/>
        <w:spacing w:line="269" w:lineRule="auto"/>
        <w:rPr/>
      </w:pPr>
      <w:r/>
    </w:p>
    <w:p>
      <w:pPr>
        <w:pStyle w:val="BodyText"/>
        <w:spacing w:line="269" w:lineRule="auto"/>
        <w:rPr/>
      </w:pPr>
      <w:r/>
    </w:p>
    <w:p>
      <w:pPr>
        <w:ind w:left="799"/>
        <w:spacing w:before="82" w:line="221" w:lineRule="auto"/>
        <w:rPr>
          <w:rFonts w:ascii="SimHei" w:hAnsi="SimHei" w:eastAsia="SimHei" w:cs="SimHei"/>
          <w:sz w:val="25"/>
          <w:szCs w:val="25"/>
        </w:rPr>
      </w:pPr>
      <w:r>
        <w:rPr>
          <w:rFonts w:ascii="SimHei" w:hAnsi="SimHei" w:eastAsia="SimHei" w:cs="SimHei"/>
          <w:sz w:val="25"/>
          <w:szCs w:val="25"/>
          <w:spacing w:val="3"/>
        </w:rPr>
        <w:t>(2)函件统计</w:t>
      </w:r>
    </w:p>
    <w:p>
      <w:pPr>
        <w:pStyle w:val="BodyText"/>
        <w:spacing w:line="247" w:lineRule="auto"/>
        <w:rPr/>
      </w:pPr>
      <w:r/>
    </w:p>
    <w:p>
      <w:pPr>
        <w:ind w:left="680"/>
        <w:spacing w:before="82" w:line="213" w:lineRule="auto"/>
        <w:rPr>
          <w:rFonts w:ascii="SimHei" w:hAnsi="SimHei" w:eastAsia="SimHei" w:cs="SimHei"/>
          <w:sz w:val="25"/>
          <w:szCs w:val="25"/>
        </w:rPr>
      </w:pPr>
      <w:r>
        <w:rPr>
          <w:rFonts w:ascii="SimHei" w:hAnsi="SimHei" w:eastAsia="SimHei" w:cs="SimHei"/>
          <w:sz w:val="25"/>
          <w:szCs w:val="25"/>
          <w:spacing w:val="-19"/>
        </w:rPr>
        <w:t>2024年1月8日-1月14日，上交所发出1份监管问询函。</w:t>
      </w:r>
    </w:p>
    <w:p>
      <w:pPr>
        <w:spacing w:before="28"/>
        <w:rPr/>
      </w:pPr>
      <w:r/>
    </w:p>
    <w:tbl>
      <w:tblPr>
        <w:tblStyle w:val="TableNormal"/>
        <w:tblW w:w="8810" w:type="dxa"/>
        <w:tblInd w:w="154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84"/>
        <w:gridCol w:w="1218"/>
        <w:gridCol w:w="6308"/>
      </w:tblGrid>
      <w:tr>
        <w:trPr>
          <w:trHeight w:val="370" w:hRule="atLeast"/>
        </w:trPr>
        <w:tc>
          <w:tcPr>
            <w:shd w:val="clear" w:fill="C0504D"/>
            <w:tcW w:w="8810" w:type="dxa"/>
            <w:vAlign w:val="top"/>
            <w:gridSpan w:val="3"/>
          </w:tcPr>
          <w:p>
            <w:pPr>
              <w:pStyle w:val="TableText"/>
              <w:ind w:left="228"/>
              <w:spacing w:before="90" w:line="219" w:lineRule="auto"/>
              <w:rPr/>
            </w:pPr>
            <w:r>
              <w:rPr>
                <w:b/>
                <w:bCs/>
                <w:color w:val="FFFFFF"/>
                <w:spacing w:val="-1"/>
              </w:rPr>
              <w:t>公司代码</w:t>
            </w:r>
            <w:r>
              <w:rPr>
                <w:color w:val="FFFFFF"/>
                <w:spacing w:val="29"/>
              </w:rPr>
              <w:t xml:space="preserve">   </w:t>
            </w:r>
            <w:r>
              <w:rPr>
                <w:b/>
                <w:bCs/>
                <w:color w:val="FFFFFF"/>
                <w:spacing w:val="-1"/>
              </w:rPr>
              <w:t>公司简称</w:t>
            </w:r>
            <w:r>
              <w:rPr>
                <w:color w:val="FFFFFF"/>
                <w:spacing w:val="-1"/>
              </w:rPr>
              <w:t xml:space="preserve">                     </w:t>
            </w:r>
            <w:r>
              <w:rPr>
                <w:color w:val="FFFFFF"/>
                <w:spacing w:val="-2"/>
              </w:rPr>
              <w:t xml:space="preserve">       </w:t>
            </w:r>
            <w:r>
              <w:rPr>
                <w:b/>
                <w:bCs/>
                <w:color w:val="FFFFFF"/>
                <w:spacing w:val="-2"/>
              </w:rPr>
              <w:t>函件类别</w:t>
            </w:r>
          </w:p>
        </w:tc>
      </w:tr>
      <w:tr>
        <w:trPr>
          <w:trHeight w:val="390" w:hRule="atLeast"/>
        </w:trPr>
        <w:tc>
          <w:tcPr>
            <w:tcW w:w="1284" w:type="dxa"/>
            <w:vAlign w:val="top"/>
          </w:tcPr>
          <w:p>
            <w:pPr>
              <w:pStyle w:val="TableText"/>
              <w:ind w:left="268"/>
              <w:spacing w:before="146" w:line="183" w:lineRule="auto"/>
              <w:rPr/>
            </w:pPr>
            <w:r>
              <w:rPr>
                <w:b/>
                <w:bCs/>
                <w:spacing w:val="-4"/>
              </w:rPr>
              <w:t>603358</w:t>
            </w:r>
          </w:p>
        </w:tc>
        <w:tc>
          <w:tcPr>
            <w:tcW w:w="1218" w:type="dxa"/>
            <w:vAlign w:val="top"/>
          </w:tcPr>
          <w:p>
            <w:pPr>
              <w:pStyle w:val="TableText"/>
              <w:ind w:left="184"/>
              <w:spacing w:before="89" w:line="219" w:lineRule="auto"/>
              <w:rPr/>
            </w:pPr>
            <w:r>
              <w:rPr>
                <w:b/>
                <w:bCs/>
                <w:spacing w:val="-4"/>
              </w:rPr>
              <w:t>华达科技</w:t>
            </w:r>
          </w:p>
        </w:tc>
        <w:tc>
          <w:tcPr>
            <w:tcW w:w="6308" w:type="dxa"/>
            <w:vAlign w:val="top"/>
          </w:tcPr>
          <w:p>
            <w:pPr>
              <w:pStyle w:val="TableText"/>
              <w:ind w:left="1793"/>
              <w:spacing w:before="93" w:line="219" w:lineRule="auto"/>
              <w:rPr/>
            </w:pPr>
            <w:r>
              <w:rPr>
                <w:spacing w:val="1"/>
              </w:rPr>
              <w:t>重大资产重组预案审核意见函</w:t>
            </w:r>
          </w:p>
        </w:tc>
      </w:tr>
    </w:tbl>
    <w:p>
      <w:pPr>
        <w:pStyle w:val="BodyText"/>
        <w:rPr/>
      </w:pPr>
      <w:r/>
    </w:p>
    <w:p>
      <w:pPr>
        <w:sectPr>
          <w:pgSz w:w="11910" w:h="16840"/>
          <w:pgMar w:top="399" w:right="463" w:bottom="0" w:left="209" w:header="0" w:footer="0" w:gutter="0"/>
        </w:sectPr>
        <w:rPr/>
      </w:pPr>
    </w:p>
    <w:p>
      <w:pPr>
        <w:ind w:left="451"/>
        <w:spacing w:before="108" w:line="194"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w:t>
      </w:r>
    </w:p>
    <w:p>
      <w:pPr>
        <w:ind w:firstLine="451"/>
        <w:spacing w:before="305" w:line="217" w:lineRule="auto"/>
        <w:rPr>
          <w:rFonts w:ascii="Microsoft YaHei" w:hAnsi="Microsoft YaHei" w:eastAsia="Microsoft YaHei" w:cs="Microsoft YaHei"/>
          <w:sz w:val="22"/>
          <w:szCs w:val="22"/>
        </w:rPr>
      </w:pPr>
      <w:r>
        <w:rPr>
          <w:rFonts w:ascii="Microsoft YaHei" w:hAnsi="Microsoft YaHei" w:eastAsia="Microsoft YaHei" w:cs="Microsoft YaHei"/>
          <w:sz w:val="22"/>
          <w:szCs w:val="22"/>
        </w:rPr>
        <w:t>2024年1月8日-1月14日，上交所对27起拉抬打压、虚假申报等证券</w:t>
      </w:r>
      <w:r>
        <w:rPr>
          <w:rFonts w:ascii="Microsoft YaHei" w:hAnsi="Microsoft YaHei" w:eastAsia="Microsoft YaHei" w:cs="Microsoft YaHei"/>
          <w:sz w:val="22"/>
          <w:szCs w:val="22"/>
          <w:spacing w:val="-1"/>
        </w:rPr>
        <w:t>异常交易行为采取了书面警示等监管措施，</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
        </w:rPr>
        <w:t>对20起上市公司重大事项等进行专项核查。</w:t>
      </w:r>
    </w:p>
    <w:p>
      <w:pPr>
        <w:spacing w:line="217" w:lineRule="auto"/>
        <w:sectPr>
          <w:pgSz w:w="11912" w:h="16841"/>
          <w:pgMar w:top="400" w:right="280" w:bottom="0" w:left="442" w:header="0" w:footer="0" w:gutter="0"/>
        </w:sectPr>
        <w:rPr>
          <w:rFonts w:ascii="Microsoft YaHei" w:hAnsi="Microsoft YaHei" w:eastAsia="Microsoft YaHei" w:cs="Microsoft YaHei"/>
          <w:sz w:val="22"/>
          <w:szCs w:val="22"/>
        </w:rPr>
      </w:pPr>
    </w:p>
    <w:p>
      <w:pPr>
        <w:spacing w:line="830" w:lineRule="exact"/>
        <w:rPr/>
      </w:pPr>
      <w:r>
        <w:rPr>
          <w:position w:val="-16"/>
        </w:rPr>
        <w:pict>
          <v:group id="_x0000_s20" style="mso-position-vertical-relative:line;mso-position-horizontal-relative:char;width:135.05pt;height:41.55pt;" filled="false" stroked="false" coordsize="2701,830" coordorigin="0,0">
            <v:shape id="_x0000_s22" style="position:absolute;left:0;top:0;width:2701;height:830;" filled="false" stroked="false" type="#_x0000_t75">
              <v:imagedata o:title="" r:id="rId18"/>
            </v:shape>
            <v:shape id="_x0000_s24" style="position:absolute;left:-20;top:-20;width:2741;height:870;" filled="false" stroked="false" type="#_x0000_t202">
              <v:fill on="false"/>
              <v:stroke on="false"/>
              <v:path/>
              <v:imagedata o:title=""/>
              <o:lock v:ext="edit" aspectratio="false"/>
              <v:textbox inset="0mm,0mm,0mm,0mm">
                <w:txbxContent>
                  <w:p>
                    <w:pPr>
                      <w:ind w:left="404"/>
                      <w:spacing w:before="285" w:line="222" w:lineRule="auto"/>
                      <w:rPr>
                        <w:rFonts w:ascii="SimHei" w:hAnsi="SimHei" w:eastAsia="SimHei" w:cs="SimHei"/>
                        <w:sz w:val="29"/>
                        <w:szCs w:val="29"/>
                      </w:rPr>
                    </w:pPr>
                    <w:r>
                      <w:rPr>
                        <w:rFonts w:ascii="SimHei" w:hAnsi="SimHei" w:eastAsia="SimHei" w:cs="SimHei"/>
                        <w:sz w:val="29"/>
                        <w:szCs w:val="29"/>
                        <w:b/>
                        <w:bCs/>
                        <w:color w:val="FFFFFF"/>
                        <w:spacing w:val="-11"/>
                      </w:rPr>
                      <w:t>深交所监管动态</w:t>
                    </w:r>
                  </w:p>
                </w:txbxContent>
              </v:textbox>
            </v:shape>
          </v:group>
        </w:pict>
      </w:r>
    </w:p>
    <w:p>
      <w:pPr>
        <w:pStyle w:val="BodyText"/>
        <w:spacing w:line="354" w:lineRule="auto"/>
        <w:rPr/>
      </w:pPr>
      <w:r/>
    </w:p>
    <w:p>
      <w:pPr>
        <w:ind w:left="803"/>
        <w:spacing w:before="78" w:line="222" w:lineRule="auto"/>
        <w:outlineLvl w:val="0"/>
        <w:rPr>
          <w:rFonts w:ascii="SimHei" w:hAnsi="SimHei" w:eastAsia="SimHei" w:cs="SimHei"/>
          <w:sz w:val="24"/>
          <w:szCs w:val="24"/>
        </w:rPr>
      </w:pPr>
      <w:r>
        <w:rPr>
          <w:rFonts w:ascii="SimHei" w:hAnsi="SimHei" w:eastAsia="SimHei" w:cs="SimHei"/>
          <w:sz w:val="24"/>
          <w:szCs w:val="24"/>
          <w:b/>
          <w:bCs/>
          <w:spacing w:val="-7"/>
        </w:rPr>
        <w:t>1、上市公司监管动态</w:t>
      </w:r>
    </w:p>
    <w:p>
      <w:pPr>
        <w:pStyle w:val="BodyText"/>
        <w:spacing w:line="274" w:lineRule="auto"/>
        <w:rPr/>
      </w:pPr>
      <w:r/>
    </w:p>
    <w:p>
      <w:pPr>
        <w:ind w:left="740"/>
        <w:spacing w:before="78" w:line="213" w:lineRule="auto"/>
        <w:rPr>
          <w:rFonts w:ascii="SimHei" w:hAnsi="SimHei" w:eastAsia="SimHei" w:cs="SimHei"/>
          <w:sz w:val="24"/>
          <w:szCs w:val="24"/>
        </w:rPr>
      </w:pPr>
      <w:r>
        <w:rPr>
          <w:rFonts w:ascii="SimHei" w:hAnsi="SimHei" w:eastAsia="SimHei" w:cs="SimHei"/>
          <w:sz w:val="24"/>
          <w:szCs w:val="24"/>
          <w:spacing w:val="-13"/>
        </w:rPr>
        <w:t>2024年1月8日-1月14日，深交所发出5份监管函，对9宗行为予以纪律</w:t>
      </w:r>
      <w:r>
        <w:rPr>
          <w:rFonts w:ascii="SimHei" w:hAnsi="SimHei" w:eastAsia="SimHei" w:cs="SimHei"/>
          <w:sz w:val="24"/>
          <w:szCs w:val="24"/>
          <w:spacing w:val="-14"/>
        </w:rPr>
        <w:t>处分；共发出关注函3份。</w:t>
      </w:r>
    </w:p>
    <w:p>
      <w:pPr>
        <w:ind w:firstLine="1700"/>
        <w:spacing w:before="195" w:line="5500" w:lineRule="exact"/>
        <w:rPr/>
      </w:pPr>
      <w:r>
        <w:rPr>
          <w:position w:val="-110"/>
        </w:rPr>
        <w:drawing>
          <wp:inline distT="0" distB="0" distL="0" distR="0">
            <wp:extent cx="5460982" cy="3492570"/>
            <wp:effectExtent l="0" t="0" r="0" b="0"/>
            <wp:docPr id="28" name="IM 28"/>
            <wp:cNvGraphicFramePr/>
            <a:graphic>
              <a:graphicData uri="http://schemas.openxmlformats.org/drawingml/2006/picture">
                <pic:pic>
                  <pic:nvPicPr>
                    <pic:cNvPr id="28" name="IM 28"/>
                    <pic:cNvPicPr/>
                  </pic:nvPicPr>
                  <pic:blipFill>
                    <a:blip r:embed="rId19"/>
                    <a:stretch>
                      <a:fillRect/>
                    </a:stretch>
                  </pic:blipFill>
                  <pic:spPr>
                    <a:xfrm rot="0">
                      <a:off x="0" y="0"/>
                      <a:ext cx="5460982" cy="3492570"/>
                    </a:xfrm>
                    <a:prstGeom prst="rect">
                      <a:avLst/>
                    </a:prstGeom>
                  </pic:spPr>
                </pic:pic>
              </a:graphicData>
            </a:graphic>
          </wp:inline>
        </w:drawing>
      </w:r>
    </w:p>
    <w:p>
      <w:pPr>
        <w:ind w:left="893"/>
        <w:spacing w:before="296" w:line="222" w:lineRule="auto"/>
        <w:rPr>
          <w:rFonts w:ascii="SimHei" w:hAnsi="SimHei" w:eastAsia="SimHei" w:cs="SimHei"/>
          <w:sz w:val="24"/>
          <w:szCs w:val="24"/>
        </w:rPr>
      </w:pPr>
      <w:r>
        <w:rPr>
          <w:rFonts w:ascii="SimHei" w:hAnsi="SimHei" w:eastAsia="SimHei" w:cs="SimHei"/>
          <w:sz w:val="24"/>
          <w:szCs w:val="24"/>
          <w:b/>
          <w:bCs/>
          <w:spacing w:val="4"/>
        </w:rPr>
        <w:t>(1)纪律处分及监管措施</w:t>
      </w:r>
    </w:p>
    <w:p>
      <w:pPr>
        <w:spacing w:line="240" w:lineRule="exact"/>
        <w:rPr/>
      </w:pPr>
      <w:r/>
    </w:p>
    <w:tbl>
      <w:tblPr>
        <w:tblStyle w:val="TableNormal"/>
        <w:tblW w:w="9009" w:type="dxa"/>
        <w:tblInd w:w="129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463"/>
        <w:gridCol w:w="1488"/>
        <w:gridCol w:w="1508"/>
        <w:gridCol w:w="4550"/>
      </w:tblGrid>
      <w:tr>
        <w:trPr>
          <w:trHeight w:val="644" w:hRule="atLeast"/>
        </w:trPr>
        <w:tc>
          <w:tcPr>
            <w:shd w:val="clear" w:fill="4BACC6"/>
            <w:tcW w:w="1463" w:type="dxa"/>
            <w:vAlign w:val="top"/>
          </w:tcPr>
          <w:p>
            <w:pPr>
              <w:pStyle w:val="TableText"/>
              <w:ind w:left="308"/>
              <w:spacing w:before="110" w:line="219" w:lineRule="auto"/>
              <w:rPr/>
            </w:pPr>
            <w:r>
              <w:rPr>
                <w:b/>
                <w:bCs/>
                <w:color w:val="FFFFFF"/>
                <w:spacing w:val="-5"/>
              </w:rPr>
              <w:t>公司代码</w:t>
            </w:r>
          </w:p>
        </w:tc>
        <w:tc>
          <w:tcPr>
            <w:shd w:val="clear" w:fill="4BACC6"/>
            <w:tcW w:w="1488" w:type="dxa"/>
            <w:vAlign w:val="top"/>
          </w:tcPr>
          <w:p>
            <w:pPr>
              <w:pStyle w:val="TableText"/>
              <w:ind w:left="314"/>
              <w:spacing w:before="109" w:line="219" w:lineRule="auto"/>
              <w:rPr/>
            </w:pPr>
            <w:r>
              <w:rPr>
                <w:b/>
                <w:bCs/>
                <w:color w:val="FFFFFF"/>
                <w:spacing w:val="-5"/>
              </w:rPr>
              <w:t>公司简称</w:t>
            </w:r>
          </w:p>
        </w:tc>
        <w:tc>
          <w:tcPr>
            <w:shd w:val="clear" w:fill="4BACC6"/>
            <w:tcW w:w="1508" w:type="dxa"/>
            <w:vAlign w:val="top"/>
          </w:tcPr>
          <w:p>
            <w:pPr>
              <w:pStyle w:val="TableText"/>
              <w:ind w:left="327"/>
              <w:spacing w:before="110" w:line="219" w:lineRule="auto"/>
              <w:rPr/>
            </w:pPr>
            <w:r>
              <w:rPr>
                <w:b/>
                <w:bCs/>
                <w:color w:val="FFFFFF"/>
                <w:spacing w:val="-4"/>
              </w:rPr>
              <w:t>监管类型</w:t>
            </w:r>
          </w:p>
        </w:tc>
        <w:tc>
          <w:tcPr>
            <w:shd w:val="clear" w:fill="4BACC6"/>
            <w:tcW w:w="4550" w:type="dxa"/>
            <w:vAlign w:val="top"/>
          </w:tcPr>
          <w:p>
            <w:pPr>
              <w:pStyle w:val="TableText"/>
              <w:ind w:left="1848"/>
              <w:spacing w:before="111" w:line="220" w:lineRule="auto"/>
              <w:rPr/>
            </w:pPr>
            <w:r>
              <w:rPr>
                <w:b/>
                <w:bCs/>
                <w:color w:val="FFFFFF"/>
                <w:spacing w:val="2"/>
              </w:rPr>
              <w:t>处理事由</w:t>
            </w:r>
          </w:p>
        </w:tc>
      </w:tr>
      <w:tr>
        <w:trPr>
          <w:trHeight w:val="709" w:hRule="atLeast"/>
        </w:trPr>
        <w:tc>
          <w:tcPr>
            <w:tcW w:w="1463" w:type="dxa"/>
            <w:vAlign w:val="top"/>
          </w:tcPr>
          <w:p>
            <w:pPr>
              <w:pStyle w:val="TableText"/>
              <w:ind w:left="404"/>
              <w:spacing w:before="303" w:line="183" w:lineRule="auto"/>
              <w:rPr/>
            </w:pPr>
            <w:r>
              <w:rPr>
                <w:spacing w:val="-2"/>
              </w:rPr>
              <w:t>300297</w:t>
            </w:r>
          </w:p>
        </w:tc>
        <w:tc>
          <w:tcPr>
            <w:tcW w:w="1488" w:type="dxa"/>
            <w:vAlign w:val="top"/>
          </w:tcPr>
          <w:p>
            <w:pPr>
              <w:pStyle w:val="TableText"/>
              <w:ind w:left="361"/>
              <w:spacing w:before="248" w:line="219" w:lineRule="auto"/>
              <w:rPr/>
            </w:pPr>
            <w:r>
              <w:rPr>
                <w:spacing w:val="6"/>
              </w:rPr>
              <w:t>*</w:t>
            </w:r>
            <w:r>
              <w:rPr/>
              <w:t>ST</w:t>
            </w:r>
            <w:r>
              <w:rPr>
                <w:spacing w:val="6"/>
              </w:rPr>
              <w:t>蓝盾</w:t>
            </w:r>
          </w:p>
        </w:tc>
        <w:tc>
          <w:tcPr>
            <w:tcW w:w="1508" w:type="dxa"/>
            <w:vAlign w:val="top"/>
          </w:tcPr>
          <w:p>
            <w:pPr>
              <w:pStyle w:val="TableText"/>
              <w:ind w:left="433"/>
              <w:spacing w:before="249" w:line="219" w:lineRule="auto"/>
              <w:rPr/>
            </w:pPr>
            <w:r>
              <w:rPr>
                <w:spacing w:val="7"/>
              </w:rPr>
              <w:t>监管函</w:t>
            </w:r>
          </w:p>
        </w:tc>
        <w:tc>
          <w:tcPr>
            <w:tcW w:w="4550" w:type="dxa"/>
            <w:vAlign w:val="top"/>
          </w:tcPr>
          <w:p>
            <w:pPr>
              <w:pStyle w:val="TableText"/>
              <w:ind w:left="105" w:right="284" w:firstLine="169"/>
              <w:spacing w:before="107" w:line="260" w:lineRule="auto"/>
              <w:rPr/>
            </w:pPr>
            <w:r>
              <w:rPr>
                <w:spacing w:val="-1"/>
              </w:rPr>
              <w:t>2017年年度报告、2018年年度报告和2019年</w:t>
            </w:r>
            <w:r>
              <w:rPr>
                <w:spacing w:val="13"/>
              </w:rPr>
              <w:t xml:space="preserve"> </w:t>
            </w:r>
            <w:r>
              <w:rPr>
                <w:spacing w:val="-2"/>
              </w:rPr>
              <w:t>年度报告存在</w:t>
            </w:r>
            <w:r>
              <w:rPr>
                <w:b/>
                <w:bCs/>
                <w:spacing w:val="-2"/>
              </w:rPr>
              <w:t>虚假记载。</w:t>
            </w:r>
          </w:p>
        </w:tc>
      </w:tr>
      <w:tr>
        <w:trPr>
          <w:trHeight w:val="359" w:hRule="atLeast"/>
        </w:trPr>
        <w:tc>
          <w:tcPr>
            <w:shd w:val="clear" w:fill="B8CCE4"/>
            <w:tcW w:w="1463" w:type="dxa"/>
            <w:vAlign w:val="top"/>
          </w:tcPr>
          <w:p>
            <w:pPr>
              <w:pStyle w:val="TableText"/>
              <w:ind w:left="404"/>
              <w:spacing w:before="134" w:line="183" w:lineRule="auto"/>
              <w:rPr/>
            </w:pPr>
            <w:r>
              <w:rPr>
                <w:spacing w:val="-2"/>
              </w:rPr>
              <w:t>002864</w:t>
            </w:r>
          </w:p>
        </w:tc>
        <w:tc>
          <w:tcPr>
            <w:shd w:val="clear" w:fill="B8CCE4"/>
            <w:tcW w:w="1488" w:type="dxa"/>
            <w:vAlign w:val="top"/>
          </w:tcPr>
          <w:p>
            <w:pPr>
              <w:pStyle w:val="TableText"/>
              <w:ind w:left="311"/>
              <w:spacing w:before="80" w:line="219" w:lineRule="auto"/>
              <w:rPr/>
            </w:pPr>
            <w:r>
              <w:rPr>
                <w:spacing w:val="-2"/>
              </w:rPr>
              <w:t>盘龙药业</w:t>
            </w:r>
          </w:p>
        </w:tc>
        <w:tc>
          <w:tcPr>
            <w:shd w:val="clear" w:fill="B8CCE4"/>
            <w:tcW w:w="1508" w:type="dxa"/>
            <w:vAlign w:val="top"/>
          </w:tcPr>
          <w:p>
            <w:pPr>
              <w:pStyle w:val="TableText"/>
              <w:ind w:left="433"/>
              <w:spacing w:before="80" w:line="219" w:lineRule="auto"/>
              <w:rPr/>
            </w:pPr>
            <w:r>
              <w:rPr>
                <w:spacing w:val="7"/>
              </w:rPr>
              <w:t>监管函</w:t>
            </w:r>
          </w:p>
        </w:tc>
        <w:tc>
          <w:tcPr>
            <w:shd w:val="clear" w:fill="B8CCE4"/>
            <w:tcW w:w="4550" w:type="dxa"/>
            <w:vAlign w:val="top"/>
          </w:tcPr>
          <w:p>
            <w:pPr>
              <w:pStyle w:val="TableText"/>
              <w:ind w:left="105"/>
              <w:spacing w:before="77" w:line="219" w:lineRule="auto"/>
              <w:rPr/>
            </w:pPr>
            <w:r>
              <w:rPr>
                <w:spacing w:val="-2"/>
              </w:rPr>
              <w:t>公司</w:t>
            </w:r>
            <w:r>
              <w:rPr>
                <w:b/>
                <w:bCs/>
                <w:spacing w:val="-2"/>
              </w:rPr>
              <w:t>募集资金使用情况</w:t>
            </w:r>
            <w:r>
              <w:rPr>
                <w:spacing w:val="-2"/>
              </w:rPr>
              <w:t>披露不准确。</w:t>
            </w:r>
          </w:p>
        </w:tc>
      </w:tr>
      <w:tr>
        <w:trPr>
          <w:trHeight w:val="1079" w:hRule="atLeast"/>
        </w:trPr>
        <w:tc>
          <w:tcPr>
            <w:tcW w:w="1463" w:type="dxa"/>
            <w:vAlign w:val="top"/>
          </w:tcPr>
          <w:p>
            <w:pPr>
              <w:spacing w:line="425" w:lineRule="auto"/>
              <w:rPr>
                <w:rFonts w:ascii="Arial"/>
                <w:sz w:val="21"/>
              </w:rPr>
            </w:pPr>
            <w:r/>
          </w:p>
          <w:p>
            <w:pPr>
              <w:pStyle w:val="TableText"/>
              <w:ind w:left="404"/>
              <w:spacing w:before="68" w:line="183" w:lineRule="auto"/>
              <w:rPr/>
            </w:pPr>
            <w:r>
              <w:rPr>
                <w:spacing w:val="-2"/>
              </w:rPr>
              <w:t>300956</w:t>
            </w:r>
          </w:p>
        </w:tc>
        <w:tc>
          <w:tcPr>
            <w:tcW w:w="1488" w:type="dxa"/>
            <w:vAlign w:val="top"/>
          </w:tcPr>
          <w:p>
            <w:pPr>
              <w:spacing w:line="371" w:lineRule="auto"/>
              <w:rPr>
                <w:rFonts w:ascii="Arial"/>
                <w:sz w:val="21"/>
              </w:rPr>
            </w:pPr>
            <w:r/>
          </w:p>
          <w:p>
            <w:pPr>
              <w:pStyle w:val="TableText"/>
              <w:ind w:left="311"/>
              <w:spacing w:before="68" w:line="219" w:lineRule="auto"/>
              <w:rPr/>
            </w:pPr>
            <w:r>
              <w:rPr>
                <w:spacing w:val="-2"/>
              </w:rPr>
              <w:t>英力股份</w:t>
            </w:r>
          </w:p>
        </w:tc>
        <w:tc>
          <w:tcPr>
            <w:tcW w:w="1508" w:type="dxa"/>
            <w:vAlign w:val="top"/>
          </w:tcPr>
          <w:p>
            <w:pPr>
              <w:spacing w:line="371" w:lineRule="auto"/>
              <w:rPr>
                <w:rFonts w:ascii="Arial"/>
                <w:sz w:val="21"/>
              </w:rPr>
            </w:pPr>
            <w:r/>
          </w:p>
          <w:p>
            <w:pPr>
              <w:pStyle w:val="TableText"/>
              <w:ind w:left="433"/>
              <w:spacing w:before="68" w:line="219" w:lineRule="auto"/>
              <w:rPr/>
            </w:pPr>
            <w:r>
              <w:rPr>
                <w:spacing w:val="7"/>
              </w:rPr>
              <w:t>监管函</w:t>
            </w:r>
          </w:p>
        </w:tc>
        <w:tc>
          <w:tcPr>
            <w:tcW w:w="4550" w:type="dxa"/>
            <w:vAlign w:val="top"/>
          </w:tcPr>
          <w:p>
            <w:pPr>
              <w:pStyle w:val="TableText"/>
              <w:ind w:left="115" w:right="158" w:firstLine="50"/>
              <w:spacing w:before="110" w:line="281" w:lineRule="auto"/>
              <w:jc w:val="both"/>
              <w:rPr/>
            </w:pPr>
            <w:r>
              <w:rPr/>
              <w:t>公司</w:t>
            </w:r>
            <w:r>
              <w:rPr>
                <w:b/>
                <w:bCs/>
              </w:rPr>
              <w:t>内控制度</w:t>
            </w:r>
            <w:r>
              <w:rPr/>
              <w:t>不健全，未制定销售返利的规章</w:t>
            </w:r>
            <w:r>
              <w:rPr>
                <w:spacing w:val="5"/>
              </w:rPr>
              <w:t xml:space="preserve"> </w:t>
            </w:r>
            <w:r>
              <w:rPr>
                <w:spacing w:val="2"/>
              </w:rPr>
              <w:t>制度；公司执行会计政策不到位，导致部分收</w:t>
            </w:r>
            <w:r>
              <w:rPr/>
              <w:t xml:space="preserve"> </w:t>
            </w:r>
            <w:r>
              <w:rPr>
                <w:spacing w:val="-2"/>
              </w:rPr>
              <w:t>入确认存在</w:t>
            </w:r>
            <w:r>
              <w:rPr>
                <w:b/>
                <w:bCs/>
                <w:spacing w:val="-2"/>
              </w:rPr>
              <w:t>会计差错未更正。</w:t>
            </w:r>
          </w:p>
        </w:tc>
      </w:tr>
      <w:tr>
        <w:trPr>
          <w:trHeight w:val="1797" w:hRule="atLeast"/>
        </w:trPr>
        <w:tc>
          <w:tcPr>
            <w:shd w:val="clear" w:fill="B8CCE4"/>
            <w:tcW w:w="1463"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404"/>
              <w:spacing w:before="69" w:line="183" w:lineRule="auto"/>
              <w:rPr/>
            </w:pPr>
            <w:r>
              <w:rPr>
                <w:spacing w:val="-2"/>
              </w:rPr>
              <w:t>002343</w:t>
            </w:r>
          </w:p>
        </w:tc>
        <w:tc>
          <w:tcPr>
            <w:shd w:val="clear" w:fill="B8CCE4"/>
            <w:tcW w:w="1488" w:type="dxa"/>
            <w:vAlign w:val="top"/>
          </w:tcPr>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311"/>
              <w:spacing w:before="68" w:line="219" w:lineRule="auto"/>
              <w:rPr/>
            </w:pPr>
            <w:r>
              <w:rPr>
                <w:spacing w:val="2"/>
              </w:rPr>
              <w:t>慈文传媒</w:t>
            </w:r>
          </w:p>
        </w:tc>
        <w:tc>
          <w:tcPr>
            <w:shd w:val="clear" w:fill="B8CCE4"/>
            <w:tcW w:w="1508" w:type="dxa"/>
            <w:vAlign w:val="top"/>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pStyle w:val="TableText"/>
              <w:ind w:left="433"/>
              <w:spacing w:before="68" w:line="219" w:lineRule="auto"/>
              <w:rPr/>
            </w:pPr>
            <w:r>
              <w:rPr>
                <w:spacing w:val="7"/>
              </w:rPr>
              <w:t>监管函</w:t>
            </w:r>
          </w:p>
        </w:tc>
        <w:tc>
          <w:tcPr>
            <w:shd w:val="clear" w:fill="B7CBE3"/>
            <w:tcW w:w="4550" w:type="dxa"/>
            <w:vAlign w:val="top"/>
          </w:tcPr>
          <w:p>
            <w:pPr>
              <w:pStyle w:val="TableText"/>
              <w:ind w:left="75" w:right="158" w:firstLine="90"/>
              <w:spacing w:before="88" w:line="296" w:lineRule="auto"/>
              <w:jc w:val="both"/>
              <w:rPr/>
            </w:pPr>
            <w:r>
              <w:rPr>
                <w:spacing w:val="-1"/>
              </w:rPr>
              <w:t>公司2022年年报末准确披露</w:t>
            </w:r>
            <w:r>
              <w:rPr>
                <w:b/>
                <w:bCs/>
                <w:spacing w:val="-1"/>
              </w:rPr>
              <w:t>前五大供应商</w:t>
            </w:r>
            <w:r>
              <w:rPr>
                <w:spacing w:val="-1"/>
              </w:rPr>
              <w:t>的采</w:t>
            </w:r>
            <w:r>
              <w:rPr>
                <w:spacing w:val="16"/>
              </w:rPr>
              <w:t xml:space="preserve"> </w:t>
            </w:r>
            <w:r>
              <w:rPr>
                <w:spacing w:val="3"/>
              </w:rPr>
              <w:t>购额数据；公司2022年末两项长期股权投资存</w:t>
            </w:r>
            <w:r>
              <w:rPr>
                <w:spacing w:val="16"/>
              </w:rPr>
              <w:t xml:space="preserve"> </w:t>
            </w:r>
            <w:r>
              <w:rPr>
                <w:b/>
                <w:bCs/>
                <w:spacing w:val="4"/>
              </w:rPr>
              <w:t>在减值迹象，</w:t>
            </w:r>
            <w:r>
              <w:rPr>
                <w:spacing w:val="4"/>
              </w:rPr>
              <w:t>但公司未在2022年未评估相关资</w:t>
            </w:r>
            <w:r>
              <w:rPr>
                <w:spacing w:val="3"/>
              </w:rPr>
              <w:t xml:space="preserve"> </w:t>
            </w:r>
            <w:r>
              <w:rPr>
                <w:spacing w:val="2"/>
              </w:rPr>
              <w:t>产的可收回金额；公司</w:t>
            </w:r>
            <w:r>
              <w:rPr>
                <w:b/>
                <w:bCs/>
                <w:spacing w:val="2"/>
              </w:rPr>
              <w:t>2022年财务报表</w:t>
            </w:r>
            <w:r>
              <w:rPr>
                <w:spacing w:val="2"/>
              </w:rPr>
              <w:t>披露存</w:t>
            </w:r>
            <w:r>
              <w:rPr>
                <w:spacing w:val="16"/>
              </w:rPr>
              <w:t xml:space="preserve"> </w:t>
            </w:r>
            <w:r>
              <w:rPr>
                <w:spacing w:val="-1"/>
              </w:rPr>
              <w:t>在瑕疵。</w:t>
            </w:r>
          </w:p>
        </w:tc>
      </w:tr>
      <w:tr>
        <w:trPr>
          <w:trHeight w:val="1428" w:hRule="atLeast"/>
        </w:trPr>
        <w:tc>
          <w:tcPr>
            <w:tcW w:w="1463" w:type="dxa"/>
            <w:vAlign w:val="top"/>
          </w:tcPr>
          <w:p>
            <w:pPr>
              <w:spacing w:line="298" w:lineRule="auto"/>
              <w:rPr>
                <w:rFonts w:ascii="Arial"/>
                <w:sz w:val="21"/>
              </w:rPr>
            </w:pPr>
            <w:r/>
          </w:p>
          <w:p>
            <w:pPr>
              <w:spacing w:line="299" w:lineRule="auto"/>
              <w:rPr>
                <w:rFonts w:ascii="Arial"/>
                <w:sz w:val="21"/>
              </w:rPr>
            </w:pPr>
            <w:r/>
          </w:p>
          <w:p>
            <w:pPr>
              <w:pStyle w:val="TableText"/>
              <w:ind w:left="404"/>
              <w:spacing w:before="69" w:line="183" w:lineRule="auto"/>
              <w:rPr/>
            </w:pPr>
            <w:r>
              <w:rPr>
                <w:spacing w:val="-2"/>
              </w:rPr>
              <w:t>300003</w:t>
            </w:r>
          </w:p>
        </w:tc>
        <w:tc>
          <w:tcPr>
            <w:tcW w:w="1488" w:type="dxa"/>
            <w:vAlign w:val="top"/>
          </w:tcPr>
          <w:p>
            <w:pPr>
              <w:spacing w:line="272" w:lineRule="auto"/>
              <w:rPr>
                <w:rFonts w:ascii="Arial"/>
                <w:sz w:val="21"/>
              </w:rPr>
            </w:pPr>
            <w:r/>
          </w:p>
          <w:p>
            <w:pPr>
              <w:spacing w:line="272" w:lineRule="auto"/>
              <w:rPr>
                <w:rFonts w:ascii="Arial"/>
                <w:sz w:val="21"/>
              </w:rPr>
            </w:pPr>
            <w:r/>
          </w:p>
          <w:p>
            <w:pPr>
              <w:pStyle w:val="TableText"/>
              <w:ind w:left="311"/>
              <w:spacing w:before="68" w:line="219" w:lineRule="auto"/>
              <w:rPr/>
            </w:pPr>
            <w:r>
              <w:rPr>
                <w:spacing w:val="2"/>
              </w:rPr>
              <w:t>乐普医疗</w:t>
            </w:r>
          </w:p>
        </w:tc>
        <w:tc>
          <w:tcPr>
            <w:tcW w:w="1508" w:type="dxa"/>
            <w:vAlign w:val="top"/>
          </w:tcPr>
          <w:p>
            <w:pPr>
              <w:spacing w:line="272" w:lineRule="auto"/>
              <w:rPr>
                <w:rFonts w:ascii="Arial"/>
                <w:sz w:val="21"/>
              </w:rPr>
            </w:pPr>
            <w:r/>
          </w:p>
          <w:p>
            <w:pPr>
              <w:spacing w:line="272" w:lineRule="auto"/>
              <w:rPr>
                <w:rFonts w:ascii="Arial"/>
                <w:sz w:val="21"/>
              </w:rPr>
            </w:pPr>
            <w:r/>
          </w:p>
          <w:p>
            <w:pPr>
              <w:pStyle w:val="TableText"/>
              <w:ind w:left="433"/>
              <w:spacing w:before="68" w:line="219" w:lineRule="auto"/>
              <w:rPr/>
            </w:pPr>
            <w:r>
              <w:rPr>
                <w:spacing w:val="7"/>
              </w:rPr>
              <w:t>监管函</w:t>
            </w:r>
          </w:p>
        </w:tc>
        <w:tc>
          <w:tcPr>
            <w:tcW w:w="4550" w:type="dxa"/>
            <w:vAlign w:val="top"/>
          </w:tcPr>
          <w:p>
            <w:pPr>
              <w:pStyle w:val="TableText"/>
              <w:ind w:left="85" w:right="101" w:firstLine="30"/>
              <w:spacing w:before="112" w:line="287" w:lineRule="auto"/>
              <w:jc w:val="both"/>
              <w:rPr/>
            </w:pPr>
            <w:r>
              <w:rPr>
                <w:spacing w:val="-1"/>
              </w:rPr>
              <w:t>公司未在预计</w:t>
            </w:r>
            <w:r>
              <w:rPr>
                <w:b/>
                <w:bCs/>
                <w:spacing w:val="-1"/>
              </w:rPr>
              <w:t>触发转股价格修正条件</w:t>
            </w:r>
            <w:r>
              <w:rPr>
                <w:spacing w:val="-1"/>
              </w:rPr>
              <w:t>的5个交易</w:t>
            </w:r>
            <w:r>
              <w:rPr>
                <w:spacing w:val="15"/>
              </w:rPr>
              <w:t xml:space="preserve"> </w:t>
            </w:r>
            <w:r>
              <w:rPr>
                <w:spacing w:val="4"/>
              </w:rPr>
              <w:t>日前及时披露提示性公告，未在触发转股价格</w:t>
            </w:r>
            <w:r>
              <w:rPr>
                <w:spacing w:val="7"/>
              </w:rPr>
              <w:t xml:space="preserve"> </w:t>
            </w:r>
            <w:r>
              <w:rPr>
                <w:spacing w:val="3"/>
              </w:rPr>
              <w:t>修正条件当日履行相应审议程序并披露相关提 </w:t>
            </w:r>
            <w:r>
              <w:rPr>
                <w:spacing w:val="-1"/>
              </w:rPr>
              <w:t>示性公告。</w:t>
            </w:r>
          </w:p>
        </w:tc>
      </w:tr>
      <w:tr>
        <w:trPr>
          <w:trHeight w:val="724" w:hRule="atLeast"/>
        </w:trPr>
        <w:tc>
          <w:tcPr>
            <w:shd w:val="clear" w:fill="B8CCE4"/>
            <w:tcW w:w="1463" w:type="dxa"/>
            <w:vAlign w:val="top"/>
          </w:tcPr>
          <w:p>
            <w:pPr>
              <w:spacing w:line="252" w:lineRule="auto"/>
              <w:rPr>
                <w:rFonts w:ascii="Arial"/>
                <w:sz w:val="21"/>
              </w:rPr>
            </w:pPr>
            <w:r/>
          </w:p>
          <w:p>
            <w:pPr>
              <w:pStyle w:val="TableText"/>
              <w:ind w:left="404"/>
              <w:spacing w:before="68" w:line="183" w:lineRule="auto"/>
              <w:rPr/>
            </w:pPr>
            <w:r>
              <w:rPr>
                <w:spacing w:val="-2"/>
              </w:rPr>
              <w:t>300297</w:t>
            </w:r>
          </w:p>
        </w:tc>
        <w:tc>
          <w:tcPr>
            <w:shd w:val="clear" w:fill="B8CCE4"/>
            <w:tcW w:w="1488" w:type="dxa"/>
            <w:vAlign w:val="top"/>
          </w:tcPr>
          <w:p>
            <w:pPr>
              <w:pStyle w:val="TableText"/>
              <w:ind w:left="421"/>
              <w:spacing w:before="266" w:line="219" w:lineRule="auto"/>
              <w:rPr/>
            </w:pPr>
            <w:r>
              <w:rPr>
                <w:spacing w:val="-3"/>
              </w:rPr>
              <w:t>蓝盾退</w:t>
            </w:r>
          </w:p>
        </w:tc>
        <w:tc>
          <w:tcPr>
            <w:shd w:val="clear" w:fill="B8CCE4"/>
            <w:tcW w:w="1508" w:type="dxa"/>
            <w:vAlign w:val="top"/>
          </w:tcPr>
          <w:p>
            <w:pPr>
              <w:pStyle w:val="TableText"/>
              <w:ind w:left="324"/>
              <w:spacing w:before="268" w:line="221" w:lineRule="auto"/>
              <w:rPr/>
            </w:pPr>
            <w:r>
              <w:rPr>
                <w:spacing w:val="3"/>
              </w:rPr>
              <w:t>公开谴责</w:t>
            </w:r>
          </w:p>
        </w:tc>
        <w:tc>
          <w:tcPr>
            <w:shd w:val="clear" w:fill="B7CBE3"/>
            <w:tcW w:w="4550" w:type="dxa"/>
            <w:vAlign w:val="top"/>
          </w:tcPr>
          <w:p>
            <w:pPr>
              <w:pStyle w:val="TableText"/>
              <w:ind w:left="105" w:right="284" w:firstLine="169"/>
              <w:spacing w:before="115" w:line="263" w:lineRule="auto"/>
              <w:rPr/>
            </w:pPr>
            <w:r>
              <w:rPr>
                <w:spacing w:val="-1"/>
              </w:rPr>
              <w:t>2017年年度报告、2018年年度报告和2019年</w:t>
            </w:r>
            <w:r>
              <w:rPr>
                <w:spacing w:val="13"/>
              </w:rPr>
              <w:t xml:space="preserve"> </w:t>
            </w:r>
            <w:r>
              <w:rPr>
                <w:spacing w:val="-2"/>
              </w:rPr>
              <w:t>年度报告存在</w:t>
            </w:r>
            <w:r>
              <w:rPr>
                <w:b/>
                <w:bCs/>
                <w:spacing w:val="-2"/>
              </w:rPr>
              <w:t>虚假记载。</w:t>
            </w:r>
          </w:p>
        </w:tc>
      </w:tr>
    </w:tbl>
    <w:p>
      <w:pPr>
        <w:pStyle w:val="BodyText"/>
        <w:rPr/>
      </w:pPr>
      <w:r/>
    </w:p>
    <w:p>
      <w:pPr>
        <w:sectPr>
          <w:pgSz w:w="11910" w:h="16840"/>
          <w:pgMar w:top="399" w:right="1465" w:bottom="0" w:left="139" w:header="0" w:footer="0" w:gutter="0"/>
        </w:sectPr>
        <w:rPr/>
      </w:pPr>
    </w:p>
    <w:tbl>
      <w:tblPr>
        <w:tblStyle w:val="TableNormal"/>
        <w:tblW w:w="9018" w:type="dxa"/>
        <w:tblInd w:w="992"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0"/>
        <w:gridCol w:w="1486"/>
        <w:gridCol w:w="1499"/>
        <w:gridCol w:w="4563"/>
      </w:tblGrid>
      <w:tr>
        <w:trPr>
          <w:trHeight w:val="2891" w:hRule="atLeast"/>
        </w:trPr>
        <w:tc>
          <w:tcPr>
            <w:tcW w:w="1470"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ind w:left="379"/>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300297</w:t>
            </w:r>
          </w:p>
        </w:tc>
        <w:tc>
          <w:tcPr>
            <w:tcW w:w="1486"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ind w:left="430"/>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蓝盾退</w:t>
            </w:r>
          </w:p>
        </w:tc>
        <w:tc>
          <w:tcPr>
            <w:tcW w:w="1499" w:type="dxa"/>
            <w:vAlign w:val="top"/>
          </w:tcPr>
          <w:p>
            <w:pPr>
              <w:ind w:left="121" w:right="112"/>
              <w:spacing w:before="99" w:line="23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公开认定一定 </w:t>
            </w:r>
            <w:r>
              <w:rPr>
                <w:rFonts w:ascii="Microsoft YaHei" w:hAnsi="Microsoft YaHei" w:eastAsia="Microsoft YaHei" w:cs="Microsoft YaHei"/>
                <w:sz w:val="21"/>
                <w:szCs w:val="21"/>
              </w:rPr>
              <w:t>期限内不适合 </w:t>
            </w:r>
            <w:r>
              <w:rPr>
                <w:rFonts w:ascii="Microsoft YaHei" w:hAnsi="Microsoft YaHei" w:eastAsia="Microsoft YaHei" w:cs="Microsoft YaHei"/>
                <w:sz w:val="21"/>
                <w:szCs w:val="21"/>
              </w:rPr>
              <w:t>担任上市公司 </w:t>
            </w:r>
            <w:r>
              <w:rPr>
                <w:rFonts w:ascii="Microsoft YaHei" w:hAnsi="Microsoft YaHei" w:eastAsia="Microsoft YaHei" w:cs="Microsoft YaHei"/>
                <w:sz w:val="21"/>
                <w:szCs w:val="21"/>
              </w:rPr>
              <w:t>董事、监事、 </w:t>
            </w:r>
            <w:r>
              <w:rPr>
                <w:rFonts w:ascii="Microsoft YaHei" w:hAnsi="Microsoft YaHei" w:eastAsia="Microsoft YaHei" w:cs="Microsoft YaHei"/>
                <w:sz w:val="21"/>
                <w:szCs w:val="21"/>
              </w:rPr>
              <w:t>高级管理人员 </w:t>
            </w:r>
            <w:r>
              <w:rPr>
                <w:rFonts w:ascii="Microsoft YaHei" w:hAnsi="Microsoft YaHei" w:eastAsia="Microsoft YaHei" w:cs="Microsoft YaHei"/>
                <w:sz w:val="21"/>
                <w:szCs w:val="21"/>
              </w:rPr>
              <w:t>或者境外发行 </w:t>
            </w:r>
            <w:r>
              <w:rPr>
                <w:rFonts w:ascii="Microsoft YaHei" w:hAnsi="Microsoft YaHei" w:eastAsia="Microsoft YaHei" w:cs="Microsoft YaHei"/>
                <w:sz w:val="21"/>
                <w:szCs w:val="21"/>
              </w:rPr>
              <w:t>人信息披露境</w:t>
            </w:r>
          </w:p>
          <w:p>
            <w:pPr>
              <w:ind w:left="454"/>
              <w:spacing w:before="67" w:line="17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内代表</w:t>
            </w:r>
          </w:p>
        </w:tc>
        <w:tc>
          <w:tcPr>
            <w:tcW w:w="4563" w:type="dxa"/>
            <w:vAlign w:val="top"/>
          </w:tcPr>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ind w:left="109" w:right="242" w:firstLine="8"/>
              <w:spacing w:before="90"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2017年年度报告、2018年年度报告和2019年</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spacing w:val="-2"/>
              </w:rPr>
              <w:t>年度报告存在</w:t>
            </w:r>
            <w:r>
              <w:rPr>
                <w:rFonts w:ascii="Microsoft YaHei" w:hAnsi="Microsoft YaHei" w:eastAsia="Microsoft YaHei" w:cs="Microsoft YaHei"/>
                <w:sz w:val="21"/>
                <w:szCs w:val="21"/>
                <w:b/>
                <w:bCs/>
                <w:spacing w:val="-2"/>
              </w:rPr>
              <w:t>虚假记载。</w:t>
            </w:r>
          </w:p>
        </w:tc>
      </w:tr>
      <w:tr>
        <w:trPr>
          <w:trHeight w:val="724" w:hRule="atLeast"/>
        </w:trPr>
        <w:tc>
          <w:tcPr>
            <w:shd w:val="clear" w:fill="B8CCE4"/>
            <w:tcW w:w="1470" w:type="dxa"/>
            <w:vAlign w:val="top"/>
          </w:tcPr>
          <w:p>
            <w:pPr>
              <w:ind w:left="379"/>
              <w:spacing w:before="28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300297</w:t>
            </w:r>
          </w:p>
        </w:tc>
        <w:tc>
          <w:tcPr>
            <w:shd w:val="clear" w:fill="B8CCE4"/>
            <w:tcW w:w="1486" w:type="dxa"/>
            <w:vAlign w:val="top"/>
          </w:tcPr>
          <w:p>
            <w:pPr>
              <w:ind w:left="430"/>
              <w:spacing w:before="271"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蓝盾退</w:t>
            </w:r>
          </w:p>
        </w:tc>
        <w:tc>
          <w:tcPr>
            <w:shd w:val="clear" w:fill="B8CCE4"/>
            <w:tcW w:w="1499" w:type="dxa"/>
            <w:vAlign w:val="top"/>
          </w:tcPr>
          <w:p>
            <w:pPr>
              <w:ind w:left="330"/>
              <w:spacing w:before="27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通报批评</w:t>
            </w:r>
          </w:p>
        </w:tc>
        <w:tc>
          <w:tcPr>
            <w:shd w:val="clear" w:fill="B8CCE4"/>
            <w:tcW w:w="4563" w:type="dxa"/>
            <w:vAlign w:val="top"/>
          </w:tcPr>
          <w:p>
            <w:pPr>
              <w:ind w:left="109" w:right="242" w:firstLine="8"/>
              <w:spacing w:before="92"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2017年年度报告、2018年年度报告和2019年</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spacing w:val="-2"/>
              </w:rPr>
              <w:t>年度报告存在</w:t>
            </w:r>
            <w:r>
              <w:rPr>
                <w:rFonts w:ascii="Microsoft YaHei" w:hAnsi="Microsoft YaHei" w:eastAsia="Microsoft YaHei" w:cs="Microsoft YaHei"/>
                <w:sz w:val="21"/>
                <w:szCs w:val="21"/>
                <w:b/>
                <w:bCs/>
                <w:spacing w:val="-2"/>
              </w:rPr>
              <w:t>虚假记载。</w:t>
            </w:r>
          </w:p>
        </w:tc>
      </w:tr>
      <w:tr>
        <w:trPr>
          <w:trHeight w:val="1084" w:hRule="atLeast"/>
        </w:trPr>
        <w:tc>
          <w:tcPr>
            <w:tcW w:w="1470" w:type="dxa"/>
            <w:vAlign w:val="top"/>
          </w:tcPr>
          <w:p>
            <w:pPr>
              <w:spacing w:line="369" w:lineRule="auto"/>
              <w:rPr>
                <w:rFonts w:ascii="Arial"/>
                <w:sz w:val="21"/>
              </w:rPr>
            </w:pPr>
            <w:r/>
          </w:p>
          <w:p>
            <w:pPr>
              <w:ind w:left="379"/>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300008</w:t>
            </w:r>
          </w:p>
        </w:tc>
        <w:tc>
          <w:tcPr>
            <w:tcW w:w="1486" w:type="dxa"/>
            <w:vAlign w:val="top"/>
          </w:tcPr>
          <w:p>
            <w:pPr>
              <w:spacing w:line="358" w:lineRule="auto"/>
              <w:rPr>
                <w:rFonts w:ascii="Arial"/>
                <w:sz w:val="21"/>
              </w:rPr>
            </w:pPr>
            <w:r/>
          </w:p>
          <w:p>
            <w:pPr>
              <w:ind w:left="323"/>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天海防务</w:t>
            </w:r>
          </w:p>
        </w:tc>
        <w:tc>
          <w:tcPr>
            <w:tcW w:w="1499" w:type="dxa"/>
            <w:vAlign w:val="top"/>
          </w:tcPr>
          <w:p>
            <w:pPr>
              <w:spacing w:line="359" w:lineRule="auto"/>
              <w:rPr>
                <w:rFonts w:ascii="Arial"/>
                <w:sz w:val="21"/>
              </w:rPr>
            </w:pPr>
            <w:r/>
          </w:p>
          <w:p>
            <w:pPr>
              <w:ind w:left="330"/>
              <w:spacing w:before="9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通报批评</w:t>
            </w:r>
          </w:p>
        </w:tc>
        <w:tc>
          <w:tcPr>
            <w:tcW w:w="4563" w:type="dxa"/>
            <w:vAlign w:val="top"/>
          </w:tcPr>
          <w:p>
            <w:pPr>
              <w:ind w:left="108" w:right="250"/>
              <w:spacing w:before="92"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天海防务未能遵守法律法规和本所业务规则， </w:t>
            </w:r>
            <w:r>
              <w:rPr>
                <w:rFonts w:ascii="Microsoft YaHei" w:hAnsi="Microsoft YaHei" w:eastAsia="Microsoft YaHei" w:cs="Microsoft YaHei"/>
                <w:sz w:val="21"/>
                <w:szCs w:val="21"/>
                <w:spacing w:val="-1"/>
              </w:rPr>
              <w:t>年度报告存在</w:t>
            </w:r>
            <w:r>
              <w:rPr>
                <w:rFonts w:ascii="Microsoft YaHei" w:hAnsi="Microsoft YaHei" w:eastAsia="Microsoft YaHei" w:cs="Microsoft YaHei"/>
                <w:sz w:val="21"/>
                <w:szCs w:val="21"/>
                <w:b/>
                <w:bCs/>
                <w:spacing w:val="-1"/>
              </w:rPr>
              <w:t>虚假记载</w:t>
            </w:r>
            <w:r>
              <w:rPr>
                <w:rFonts w:ascii="Microsoft YaHei" w:hAnsi="Microsoft YaHei" w:eastAsia="Microsoft YaHei" w:cs="Microsoft YaHei"/>
                <w:sz w:val="21"/>
                <w:szCs w:val="21"/>
                <w:spacing w:val="-1"/>
              </w:rPr>
              <w:t>，未能真实、准确地披</w:t>
            </w:r>
            <w:r>
              <w:rPr>
                <w:rFonts w:ascii="Microsoft YaHei" w:hAnsi="Microsoft YaHei" w:eastAsia="Microsoft YaHei" w:cs="Microsoft YaHei"/>
                <w:sz w:val="21"/>
                <w:szCs w:val="21"/>
                <w:spacing w:val="17"/>
                <w:w w:val="101"/>
              </w:rPr>
              <w:t xml:space="preserve"> </w:t>
            </w:r>
            <w:r>
              <w:rPr>
                <w:rFonts w:ascii="Microsoft YaHei" w:hAnsi="Microsoft YaHei" w:eastAsia="Microsoft YaHei" w:cs="Microsoft YaHei"/>
                <w:sz w:val="21"/>
                <w:szCs w:val="21"/>
                <w:spacing w:val="-1"/>
              </w:rPr>
              <w:t>露2017年财务报告。</w:t>
            </w:r>
          </w:p>
        </w:tc>
      </w:tr>
      <w:tr>
        <w:trPr>
          <w:trHeight w:val="1087" w:hRule="atLeast"/>
        </w:trPr>
        <w:tc>
          <w:tcPr>
            <w:shd w:val="clear" w:fill="B8CCE4"/>
            <w:tcW w:w="1470" w:type="dxa"/>
            <w:vAlign w:val="top"/>
          </w:tcPr>
          <w:p>
            <w:pPr>
              <w:spacing w:line="372" w:lineRule="auto"/>
              <w:rPr>
                <w:rFonts w:ascii="Arial"/>
                <w:sz w:val="21"/>
              </w:rPr>
            </w:pPr>
            <w:r/>
          </w:p>
          <w:p>
            <w:pPr>
              <w:ind w:left="379"/>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300008</w:t>
            </w:r>
          </w:p>
        </w:tc>
        <w:tc>
          <w:tcPr>
            <w:shd w:val="clear" w:fill="B8CCE4"/>
            <w:tcW w:w="1486" w:type="dxa"/>
            <w:vAlign w:val="top"/>
          </w:tcPr>
          <w:p>
            <w:pPr>
              <w:spacing w:line="362" w:lineRule="auto"/>
              <w:rPr>
                <w:rFonts w:ascii="Arial"/>
                <w:sz w:val="21"/>
              </w:rPr>
            </w:pPr>
            <w:r/>
          </w:p>
          <w:p>
            <w:pPr>
              <w:ind w:left="323"/>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天海防务</w:t>
            </w:r>
          </w:p>
        </w:tc>
        <w:tc>
          <w:tcPr>
            <w:shd w:val="clear" w:fill="B8CCE4"/>
            <w:tcW w:w="1499" w:type="dxa"/>
            <w:vAlign w:val="top"/>
          </w:tcPr>
          <w:p>
            <w:pPr>
              <w:spacing w:line="362" w:lineRule="auto"/>
              <w:rPr>
                <w:rFonts w:ascii="Arial"/>
                <w:sz w:val="21"/>
              </w:rPr>
            </w:pPr>
            <w:r/>
          </w:p>
          <w:p>
            <w:pPr>
              <w:ind w:left="330"/>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公开谴责</w:t>
            </w:r>
          </w:p>
        </w:tc>
        <w:tc>
          <w:tcPr>
            <w:shd w:val="clear" w:fill="B8CCE4"/>
            <w:tcW w:w="4563" w:type="dxa"/>
            <w:vAlign w:val="top"/>
          </w:tcPr>
          <w:p>
            <w:pPr>
              <w:ind w:left="108" w:right="250"/>
              <w:spacing w:before="95"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天海防务未能遵守法律法规和本所业务规则， </w:t>
            </w:r>
            <w:r>
              <w:rPr>
                <w:rFonts w:ascii="Microsoft YaHei" w:hAnsi="Microsoft YaHei" w:eastAsia="Microsoft YaHei" w:cs="Microsoft YaHei"/>
                <w:sz w:val="21"/>
                <w:szCs w:val="21"/>
                <w:spacing w:val="-1"/>
              </w:rPr>
              <w:t>年度报告存在</w:t>
            </w:r>
            <w:r>
              <w:rPr>
                <w:rFonts w:ascii="Microsoft YaHei" w:hAnsi="Microsoft YaHei" w:eastAsia="Microsoft YaHei" w:cs="Microsoft YaHei"/>
                <w:sz w:val="21"/>
                <w:szCs w:val="21"/>
                <w:b/>
                <w:bCs/>
                <w:spacing w:val="-1"/>
              </w:rPr>
              <w:t>虚假记载</w:t>
            </w:r>
            <w:r>
              <w:rPr>
                <w:rFonts w:ascii="Microsoft YaHei" w:hAnsi="Microsoft YaHei" w:eastAsia="Microsoft YaHei" w:cs="Microsoft YaHei"/>
                <w:sz w:val="21"/>
                <w:szCs w:val="21"/>
                <w:spacing w:val="-1"/>
              </w:rPr>
              <w:t>，未能真实、准确地披</w:t>
            </w:r>
            <w:r>
              <w:rPr>
                <w:rFonts w:ascii="Microsoft YaHei" w:hAnsi="Microsoft YaHei" w:eastAsia="Microsoft YaHei" w:cs="Microsoft YaHei"/>
                <w:sz w:val="21"/>
                <w:szCs w:val="21"/>
                <w:spacing w:val="17"/>
                <w:w w:val="101"/>
              </w:rPr>
              <w:t xml:space="preserve"> </w:t>
            </w:r>
            <w:r>
              <w:rPr>
                <w:rFonts w:ascii="Microsoft YaHei" w:hAnsi="Microsoft YaHei" w:eastAsia="Microsoft YaHei" w:cs="Microsoft YaHei"/>
                <w:sz w:val="21"/>
                <w:szCs w:val="21"/>
                <w:spacing w:val="-1"/>
              </w:rPr>
              <w:t>露2017年财务报告。</w:t>
            </w:r>
          </w:p>
        </w:tc>
      </w:tr>
      <w:tr>
        <w:trPr>
          <w:trHeight w:val="364" w:hRule="atLeast"/>
        </w:trPr>
        <w:tc>
          <w:tcPr>
            <w:tcW w:w="1470" w:type="dxa"/>
            <w:vAlign w:val="top"/>
          </w:tcPr>
          <w:p>
            <w:pPr>
              <w:ind w:left="373"/>
              <w:spacing w:before="101"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002104</w:t>
            </w:r>
          </w:p>
        </w:tc>
        <w:tc>
          <w:tcPr>
            <w:tcW w:w="1486" w:type="dxa"/>
            <w:vAlign w:val="top"/>
          </w:tcPr>
          <w:p>
            <w:pPr>
              <w:ind w:left="323"/>
              <w:spacing w:before="92"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恒宝股份</w:t>
            </w:r>
          </w:p>
        </w:tc>
        <w:tc>
          <w:tcPr>
            <w:tcW w:w="1499" w:type="dxa"/>
            <w:vAlign w:val="top"/>
          </w:tcPr>
          <w:p>
            <w:pPr>
              <w:ind w:left="330"/>
              <w:spacing w:before="92"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公开谴责</w:t>
            </w:r>
          </w:p>
        </w:tc>
        <w:tc>
          <w:tcPr>
            <w:tcW w:w="4563" w:type="dxa"/>
            <w:vAlign w:val="top"/>
          </w:tcPr>
          <w:p>
            <w:pPr>
              <w:ind w:left="117"/>
              <w:spacing w:before="92"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2017年至2020年年度报告存在</w:t>
            </w:r>
            <w:r>
              <w:rPr>
                <w:rFonts w:ascii="Microsoft YaHei" w:hAnsi="Microsoft YaHei" w:eastAsia="Microsoft YaHei" w:cs="Microsoft YaHei"/>
                <w:sz w:val="21"/>
                <w:szCs w:val="21"/>
                <w:b/>
                <w:bCs/>
                <w:spacing w:val="-2"/>
              </w:rPr>
              <w:t>虚假记载。</w:t>
            </w:r>
          </w:p>
        </w:tc>
      </w:tr>
      <w:tr>
        <w:trPr>
          <w:trHeight w:val="365" w:hRule="atLeast"/>
        </w:trPr>
        <w:tc>
          <w:tcPr>
            <w:shd w:val="clear" w:fill="B8CCE4"/>
            <w:tcW w:w="1470" w:type="dxa"/>
            <w:vAlign w:val="top"/>
          </w:tcPr>
          <w:p>
            <w:pPr>
              <w:ind w:left="373"/>
              <w:spacing w:before="101"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002104</w:t>
            </w:r>
          </w:p>
        </w:tc>
        <w:tc>
          <w:tcPr>
            <w:shd w:val="clear" w:fill="B8CCE4"/>
            <w:tcW w:w="1486" w:type="dxa"/>
            <w:vAlign w:val="top"/>
          </w:tcPr>
          <w:p>
            <w:pPr>
              <w:ind w:left="323"/>
              <w:spacing w:before="93"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恒宝股份</w:t>
            </w:r>
          </w:p>
        </w:tc>
        <w:tc>
          <w:tcPr>
            <w:shd w:val="clear" w:fill="B8CCE4"/>
            <w:tcW w:w="1499" w:type="dxa"/>
            <w:vAlign w:val="top"/>
          </w:tcPr>
          <w:p>
            <w:pPr>
              <w:ind w:left="330"/>
              <w:spacing w:before="93"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通报批评</w:t>
            </w:r>
          </w:p>
        </w:tc>
        <w:tc>
          <w:tcPr>
            <w:shd w:val="clear" w:fill="B8CCE4"/>
            <w:tcW w:w="4563" w:type="dxa"/>
            <w:vAlign w:val="top"/>
          </w:tcPr>
          <w:p>
            <w:pPr>
              <w:ind w:left="117"/>
              <w:spacing w:before="93"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2017年至2020年年度报告存在</w:t>
            </w:r>
            <w:r>
              <w:rPr>
                <w:rFonts w:ascii="Microsoft YaHei" w:hAnsi="Microsoft YaHei" w:eastAsia="Microsoft YaHei" w:cs="Microsoft YaHei"/>
                <w:sz w:val="21"/>
                <w:szCs w:val="21"/>
                <w:b/>
                <w:bCs/>
                <w:spacing w:val="-2"/>
              </w:rPr>
              <w:t>虚假记载。</w:t>
            </w:r>
          </w:p>
        </w:tc>
      </w:tr>
      <w:tr>
        <w:trPr>
          <w:trHeight w:val="1446" w:hRule="atLeast"/>
        </w:trPr>
        <w:tc>
          <w:tcPr>
            <w:tcW w:w="1470" w:type="dxa"/>
            <w:vAlign w:val="top"/>
          </w:tcPr>
          <w:p>
            <w:pPr>
              <w:spacing w:line="275" w:lineRule="auto"/>
              <w:rPr>
                <w:rFonts w:ascii="Arial"/>
                <w:sz w:val="21"/>
              </w:rPr>
            </w:pPr>
            <w:r/>
          </w:p>
          <w:p>
            <w:pPr>
              <w:spacing w:line="276" w:lineRule="auto"/>
              <w:rPr>
                <w:rFonts w:ascii="Arial"/>
                <w:sz w:val="21"/>
              </w:rPr>
            </w:pPr>
            <w:r/>
          </w:p>
          <w:p>
            <w:pPr>
              <w:ind w:left="373"/>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002988</w:t>
            </w:r>
          </w:p>
        </w:tc>
        <w:tc>
          <w:tcPr>
            <w:tcW w:w="1486" w:type="dxa"/>
            <w:vAlign w:val="top"/>
          </w:tcPr>
          <w:p>
            <w:pPr>
              <w:spacing w:line="271" w:lineRule="auto"/>
              <w:rPr>
                <w:rFonts w:ascii="Arial"/>
                <w:sz w:val="21"/>
              </w:rPr>
            </w:pPr>
            <w:r/>
          </w:p>
          <w:p>
            <w:pPr>
              <w:spacing w:line="271" w:lineRule="auto"/>
              <w:rPr>
                <w:rFonts w:ascii="Arial"/>
                <w:sz w:val="21"/>
              </w:rPr>
            </w:pPr>
            <w:r/>
          </w:p>
          <w:p>
            <w:pPr>
              <w:ind w:left="327"/>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豪美新材</w:t>
            </w:r>
          </w:p>
        </w:tc>
        <w:tc>
          <w:tcPr>
            <w:tcW w:w="1499" w:type="dxa"/>
            <w:vAlign w:val="top"/>
          </w:tcPr>
          <w:p>
            <w:pPr>
              <w:spacing w:line="270" w:lineRule="auto"/>
              <w:rPr>
                <w:rFonts w:ascii="Arial"/>
                <w:sz w:val="21"/>
              </w:rPr>
            </w:pPr>
            <w:r/>
          </w:p>
          <w:p>
            <w:pPr>
              <w:spacing w:line="271" w:lineRule="auto"/>
              <w:rPr>
                <w:rFonts w:ascii="Arial"/>
                <w:sz w:val="21"/>
              </w:rPr>
            </w:pPr>
            <w:r/>
          </w:p>
          <w:p>
            <w:pPr>
              <w:ind w:left="330"/>
              <w:spacing w:before="9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公开谴责</w:t>
            </w:r>
          </w:p>
        </w:tc>
        <w:tc>
          <w:tcPr>
            <w:tcW w:w="4563" w:type="dxa"/>
            <w:vAlign w:val="top"/>
          </w:tcPr>
          <w:p>
            <w:pPr>
              <w:ind w:left="108" w:right="246" w:firstLine="4"/>
              <w:spacing w:before="90" w:line="22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豪美新材在</w:t>
            </w:r>
            <w:r>
              <w:rPr>
                <w:rFonts w:ascii="Microsoft YaHei" w:hAnsi="Microsoft YaHei" w:eastAsia="Microsoft YaHei" w:cs="Microsoft YaHei"/>
                <w:sz w:val="21"/>
                <w:szCs w:val="21"/>
                <w:b/>
                <w:bCs/>
                <w:spacing w:val="-1"/>
              </w:rPr>
              <w:t>投资者关系活动记录表以及《股票</w:t>
            </w:r>
            <w:r>
              <w:rPr>
                <w:rFonts w:ascii="Microsoft YaHei" w:hAnsi="Microsoft YaHei" w:eastAsia="Microsoft YaHei" w:cs="Microsoft YaHei"/>
                <w:sz w:val="21"/>
                <w:szCs w:val="21"/>
                <w:b/>
                <w:bCs/>
                <w:spacing w:val="17"/>
              </w:rPr>
              <w:t xml:space="preserve"> </w:t>
            </w:r>
            <w:r>
              <w:rPr>
                <w:rFonts w:ascii="Microsoft YaHei" w:hAnsi="Microsoft YaHei" w:eastAsia="Microsoft YaHei" w:cs="Microsoft YaHei"/>
                <w:sz w:val="21"/>
                <w:szCs w:val="21"/>
                <w:b/>
                <w:bCs/>
              </w:rPr>
              <w:t>交易异常波动公告》</w:t>
            </w:r>
            <w:r>
              <w:rPr>
                <w:rFonts w:ascii="Microsoft YaHei" w:hAnsi="Microsoft YaHei" w:eastAsia="Microsoft YaHei" w:cs="Microsoft YaHei"/>
                <w:sz w:val="21"/>
                <w:szCs w:val="21"/>
              </w:rPr>
              <w:t>中未真实、客观、完整地</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rPr>
              <w:t>披露汽车轻量化业务定位、与相关整车厂商的</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rPr>
              <w:t>关系、对豪美新材的具体影响等。</w:t>
            </w:r>
          </w:p>
        </w:tc>
      </w:tr>
      <w:tr>
        <w:trPr>
          <w:trHeight w:val="1811" w:hRule="atLeast"/>
        </w:trPr>
        <w:tc>
          <w:tcPr>
            <w:shd w:val="clear" w:fill="B8CCE4"/>
            <w:tcW w:w="1470" w:type="dxa"/>
            <w:vAlign w:val="top"/>
          </w:tcPr>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left="373"/>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002712</w:t>
            </w:r>
          </w:p>
        </w:tc>
        <w:tc>
          <w:tcPr>
            <w:shd w:val="clear" w:fill="B8CCE4"/>
            <w:tcW w:w="1486" w:type="dxa"/>
            <w:vAlign w:val="top"/>
          </w:tcPr>
          <w:p>
            <w:pPr>
              <w:rPr>
                <w:rFonts w:ascii="Arial"/>
                <w:sz w:val="21"/>
              </w:rPr>
            </w:pPr>
            <w:r/>
          </w:p>
          <w:p>
            <w:pPr>
              <w:rPr>
                <w:rFonts w:ascii="Arial"/>
                <w:sz w:val="21"/>
              </w:rPr>
            </w:pPr>
            <w:r/>
          </w:p>
          <w:p>
            <w:pPr>
              <w:rPr>
                <w:rFonts w:ascii="Arial"/>
                <w:sz w:val="21"/>
              </w:rPr>
            </w:pPr>
            <w:r/>
          </w:p>
          <w:p>
            <w:pPr>
              <w:ind w:left="322"/>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思美传媒</w:t>
            </w:r>
          </w:p>
        </w:tc>
        <w:tc>
          <w:tcPr>
            <w:shd w:val="clear" w:fill="B8CCE4"/>
            <w:tcW w:w="1499" w:type="dxa"/>
            <w:vAlign w:val="top"/>
          </w:tcPr>
          <w:p>
            <w:pPr>
              <w:spacing w:line="359" w:lineRule="auto"/>
              <w:rPr>
                <w:rFonts w:ascii="Arial"/>
                <w:sz w:val="21"/>
              </w:rPr>
            </w:pPr>
            <w:r/>
          </w:p>
          <w:p>
            <w:pPr>
              <w:spacing w:line="360" w:lineRule="auto"/>
              <w:rPr>
                <w:rFonts w:ascii="Arial"/>
                <w:sz w:val="21"/>
              </w:rPr>
            </w:pPr>
            <w:r/>
          </w:p>
          <w:p>
            <w:pPr>
              <w:ind w:left="330"/>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公开谴责</w:t>
            </w:r>
          </w:p>
        </w:tc>
        <w:tc>
          <w:tcPr>
            <w:shd w:val="clear" w:fill="B8CCE4"/>
            <w:tcW w:w="4563" w:type="dxa"/>
            <w:vAlign w:val="top"/>
          </w:tcPr>
          <w:p>
            <w:pPr>
              <w:ind w:left="106" w:right="246" w:firstLine="1"/>
              <w:spacing w:before="91" w:line="22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思美传媒在</w:t>
            </w:r>
            <w:r>
              <w:rPr>
                <w:rFonts w:ascii="Microsoft YaHei" w:hAnsi="Microsoft YaHei" w:eastAsia="Microsoft YaHei" w:cs="Microsoft YaHei"/>
                <w:sz w:val="21"/>
                <w:szCs w:val="21"/>
                <w:b/>
                <w:bCs/>
                <w:spacing w:val="-3"/>
              </w:rPr>
              <w:t>互动易平台</w:t>
            </w:r>
            <w:r>
              <w:rPr>
                <w:rFonts w:ascii="Microsoft YaHei" w:hAnsi="Microsoft YaHei" w:eastAsia="Microsoft YaHei" w:cs="Microsoft YaHei"/>
                <w:sz w:val="21"/>
                <w:szCs w:val="21"/>
                <w:spacing w:val="-3"/>
              </w:rPr>
              <w:t>答复投资者内容， 未准</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rPr>
              <w:t>确、完整揭示参与“抖音超市”业务的具体情</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rPr>
              <w:t>况、对公司的具体影响等，对投资者投资决策</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8"/>
              </w:rPr>
              <w:t>产生误导， 导致股价大幅波动，</w:t>
            </w:r>
            <w:r>
              <w:rPr>
                <w:rFonts w:ascii="Microsoft YaHei" w:hAnsi="Microsoft YaHei" w:eastAsia="Microsoft YaHei" w:cs="Microsoft YaHei"/>
                <w:sz w:val="21"/>
                <w:szCs w:val="21"/>
                <w:spacing w:val="39"/>
              </w:rPr>
              <w:t xml:space="preserve"> </w:t>
            </w:r>
            <w:r>
              <w:rPr>
                <w:rFonts w:ascii="Microsoft YaHei" w:hAnsi="Microsoft YaHei" w:eastAsia="Microsoft YaHei" w:cs="Microsoft YaHei"/>
                <w:sz w:val="21"/>
                <w:szCs w:val="21"/>
                <w:spacing w:val="-8"/>
              </w:rPr>
              <w:t>造成不良影</w:t>
            </w:r>
          </w:p>
          <w:p>
            <w:pPr>
              <w:ind w:left="119"/>
              <w:spacing w:before="67" w:line="17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6"/>
              </w:rPr>
              <w:t>响，性质恶劣， 情节严重。</w:t>
            </w:r>
          </w:p>
        </w:tc>
      </w:tr>
    </w:tbl>
    <w:p>
      <w:pPr>
        <w:pStyle w:val="BodyText"/>
        <w:spacing w:line="242" w:lineRule="auto"/>
        <w:rPr/>
      </w:pPr>
      <w:r/>
    </w:p>
    <w:p>
      <w:pPr>
        <w:ind w:left="470"/>
        <w:spacing w:before="103" w:line="19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5"/>
        </w:rPr>
        <w:t>（2）函件统计</w:t>
      </w:r>
    </w:p>
    <w:p>
      <w:pPr>
        <w:spacing w:line="217" w:lineRule="exact"/>
        <w:rPr/>
      </w:pPr>
      <w:r/>
    </w:p>
    <w:tbl>
      <w:tblPr>
        <w:tblStyle w:val="TableNormal"/>
        <w:tblW w:w="9006" w:type="dxa"/>
        <w:tblInd w:w="1000"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6"/>
        <w:gridCol w:w="1274"/>
        <w:gridCol w:w="6626"/>
      </w:tblGrid>
      <w:tr>
        <w:trPr>
          <w:trHeight w:val="608" w:hRule="atLeast"/>
        </w:trPr>
        <w:tc>
          <w:tcPr>
            <w:shd w:val="clear" w:fill="4BACC6"/>
            <w:tcW w:w="9006" w:type="dxa"/>
            <w:vAlign w:val="top"/>
            <w:gridSpan w:val="3"/>
            <w:tcBorders>
              <w:left w:val="nil"/>
              <w:right w:val="nil"/>
              <w:top w:val="nil"/>
            </w:tcBorders>
          </w:tcPr>
          <w:p>
            <w:pPr>
              <w:ind w:left="117"/>
              <w:spacing w:before="97" w:line="19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b/>
                <w:bCs/>
                <w:color w:val="FFFFFF"/>
              </w:rPr>
              <w:t>公司代码</w:t>
            </w:r>
            <w:r>
              <w:rPr>
                <w:rFonts w:ascii="Microsoft YaHei" w:hAnsi="Microsoft YaHei" w:eastAsia="Microsoft YaHei" w:cs="Microsoft YaHei"/>
                <w:sz w:val="22"/>
                <w:szCs w:val="22"/>
                <w:b/>
                <w:bCs/>
                <w:color w:val="FFFFFF"/>
                <w:spacing w:val="11"/>
              </w:rPr>
              <w:t xml:space="preserve">    </w:t>
            </w:r>
            <w:r>
              <w:rPr>
                <w:rFonts w:ascii="Microsoft YaHei" w:hAnsi="Microsoft YaHei" w:eastAsia="Microsoft YaHei" w:cs="Microsoft YaHei"/>
                <w:sz w:val="22"/>
                <w:szCs w:val="22"/>
                <w:b/>
                <w:bCs/>
                <w:color w:val="FFFFFF"/>
              </w:rPr>
              <w:t>公司简称                                       </w:t>
            </w:r>
            <w:r>
              <w:rPr>
                <w:rFonts w:ascii="Microsoft YaHei" w:hAnsi="Microsoft YaHei" w:eastAsia="Microsoft YaHei" w:cs="Microsoft YaHei"/>
                <w:sz w:val="22"/>
                <w:szCs w:val="22"/>
                <w:b/>
                <w:bCs/>
                <w:color w:val="FFFFFF"/>
                <w:spacing w:val="-1"/>
              </w:rPr>
              <w:t xml:space="preserve">        问询类型</w:t>
            </w:r>
          </w:p>
        </w:tc>
      </w:tr>
      <w:tr>
        <w:trPr>
          <w:trHeight w:val="462" w:hRule="atLeast"/>
        </w:trPr>
        <w:tc>
          <w:tcPr>
            <w:tcW w:w="1106" w:type="dxa"/>
            <w:vAlign w:val="top"/>
          </w:tcPr>
          <w:p>
            <w:pPr>
              <w:ind w:left="189"/>
              <w:spacing w:before="15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000910</w:t>
            </w:r>
          </w:p>
        </w:tc>
        <w:tc>
          <w:tcPr>
            <w:tcW w:w="1274" w:type="dxa"/>
            <w:vAlign w:val="top"/>
          </w:tcPr>
          <w:p>
            <w:pPr>
              <w:ind w:left="214"/>
              <w:spacing w:before="142"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大亚圣象</w:t>
            </w:r>
          </w:p>
        </w:tc>
        <w:tc>
          <w:tcPr>
            <w:tcW w:w="6626" w:type="dxa"/>
            <w:vAlign w:val="top"/>
          </w:tcPr>
          <w:p>
            <w:pPr>
              <w:ind w:left="2996"/>
              <w:spacing w:before="141"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关注函</w:t>
            </w:r>
          </w:p>
        </w:tc>
      </w:tr>
      <w:tr>
        <w:trPr>
          <w:trHeight w:val="465" w:hRule="atLeast"/>
        </w:trPr>
        <w:tc>
          <w:tcPr>
            <w:shd w:val="clear" w:fill="C7D9F1"/>
            <w:tcW w:w="1106" w:type="dxa"/>
            <w:vAlign w:val="top"/>
          </w:tcPr>
          <w:p>
            <w:pPr>
              <w:ind w:left="189"/>
              <w:spacing w:before="153"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002388</w:t>
            </w:r>
          </w:p>
        </w:tc>
        <w:tc>
          <w:tcPr>
            <w:shd w:val="clear" w:fill="C7D9F1"/>
            <w:tcW w:w="1274" w:type="dxa"/>
            <w:vAlign w:val="top"/>
          </w:tcPr>
          <w:p>
            <w:pPr>
              <w:ind w:left="214"/>
              <w:spacing w:before="142"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新亚制程</w:t>
            </w:r>
          </w:p>
        </w:tc>
        <w:tc>
          <w:tcPr>
            <w:shd w:val="clear" w:fill="C7D9F1"/>
            <w:tcW w:w="6626" w:type="dxa"/>
            <w:vAlign w:val="top"/>
          </w:tcPr>
          <w:p>
            <w:pPr>
              <w:ind w:left="2996"/>
              <w:spacing w:before="142"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关注函</w:t>
            </w:r>
          </w:p>
        </w:tc>
      </w:tr>
      <w:tr>
        <w:trPr>
          <w:trHeight w:val="466" w:hRule="atLeast"/>
        </w:trPr>
        <w:tc>
          <w:tcPr>
            <w:tcW w:w="1106" w:type="dxa"/>
            <w:vAlign w:val="top"/>
          </w:tcPr>
          <w:p>
            <w:pPr>
              <w:ind w:left="194"/>
              <w:spacing w:before="149"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300137</w:t>
            </w:r>
          </w:p>
        </w:tc>
        <w:tc>
          <w:tcPr>
            <w:tcW w:w="1274" w:type="dxa"/>
            <w:vAlign w:val="top"/>
          </w:tcPr>
          <w:p>
            <w:pPr>
              <w:ind w:left="213"/>
              <w:spacing w:before="14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先河环保</w:t>
            </w:r>
          </w:p>
        </w:tc>
        <w:tc>
          <w:tcPr>
            <w:tcW w:w="6626" w:type="dxa"/>
            <w:vAlign w:val="top"/>
          </w:tcPr>
          <w:p>
            <w:pPr>
              <w:ind w:left="2996"/>
              <w:spacing w:before="14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关注函</w:t>
            </w:r>
          </w:p>
        </w:tc>
      </w:tr>
    </w:tbl>
    <w:p>
      <w:pPr>
        <w:pStyle w:val="BodyText"/>
        <w:spacing w:line="297" w:lineRule="auto"/>
        <w:rPr/>
      </w:pPr>
      <w:r/>
    </w:p>
    <w:p>
      <w:pPr>
        <w:pStyle w:val="BodyText"/>
        <w:spacing w:line="297" w:lineRule="auto"/>
        <w:rPr/>
      </w:pPr>
      <w:r/>
    </w:p>
    <w:p>
      <w:pPr>
        <w:pStyle w:val="BodyText"/>
        <w:spacing w:line="298" w:lineRule="auto"/>
        <w:rPr/>
      </w:pPr>
      <w:r/>
    </w:p>
    <w:p>
      <w:pPr>
        <w:ind w:left="488"/>
        <w:spacing w:before="103" w:line="194"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2、市场交易监管动态</w:t>
      </w:r>
    </w:p>
    <w:p>
      <w:pPr>
        <w:ind w:firstLine="450"/>
        <w:spacing w:before="306" w:line="225"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1"/>
        </w:rPr>
        <w:t>2024年1月8日-1月14日，深交所共对48起</w:t>
      </w:r>
      <w:r>
        <w:rPr>
          <w:rFonts w:ascii="Microsoft YaHei" w:hAnsi="Microsoft YaHei" w:eastAsia="Microsoft YaHei" w:cs="Microsoft YaHei"/>
          <w:sz w:val="22"/>
          <w:szCs w:val="22"/>
        </w:rPr>
        <w:t>证券异常交易行为采取了自律监管措施，涉及盘中拉抬打压、虚假 </w:t>
      </w:r>
      <w:r>
        <w:rPr>
          <w:rFonts w:ascii="Microsoft YaHei" w:hAnsi="Microsoft YaHei" w:eastAsia="Microsoft YaHei" w:cs="Microsoft YaHei"/>
          <w:sz w:val="22"/>
          <w:szCs w:val="22"/>
          <w:spacing w:val="1"/>
        </w:rPr>
        <w:t>申报等异常交易情形；对</w:t>
      </w:r>
      <w:r>
        <w:rPr>
          <w:rFonts w:ascii="Microsoft YaHei" w:hAnsi="Microsoft YaHei" w:eastAsia="Microsoft YaHei" w:cs="Microsoft YaHei"/>
          <w:sz w:val="22"/>
          <w:szCs w:val="22"/>
          <w:spacing w:val="33"/>
        </w:rPr>
        <w:t xml:space="preserve"> </w:t>
      </w:r>
      <w:r>
        <w:rPr>
          <w:rFonts w:ascii="Microsoft YaHei" w:hAnsi="Microsoft YaHei" w:eastAsia="Microsoft YaHei" w:cs="Microsoft YaHei"/>
          <w:sz w:val="22"/>
          <w:szCs w:val="22"/>
          <w:spacing w:val="1"/>
        </w:rPr>
        <w:t>“*</w:t>
      </w:r>
      <w:r>
        <w:rPr>
          <w:rFonts w:ascii="Microsoft YaHei" w:hAnsi="Microsoft YaHei" w:eastAsia="Microsoft YaHei" w:cs="Microsoft YaHei"/>
          <w:sz w:val="22"/>
          <w:szCs w:val="22"/>
        </w:rPr>
        <w:t>ST</w:t>
      </w:r>
      <w:r>
        <w:rPr>
          <w:rFonts w:ascii="Microsoft YaHei" w:hAnsi="Microsoft YaHei" w:eastAsia="Microsoft YaHei" w:cs="Microsoft YaHei"/>
          <w:sz w:val="22"/>
          <w:szCs w:val="22"/>
          <w:spacing w:val="1"/>
        </w:rPr>
        <w:t>左江”继续进行重点监控；共对17起上市公司重大事项进行核查，并上报证监会1</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
        </w:rPr>
        <w:t>起涉嫌违法违规案件线索。</w:t>
      </w:r>
    </w:p>
    <w:p>
      <w:pPr>
        <w:spacing w:line="225" w:lineRule="auto"/>
        <w:sectPr>
          <w:pgSz w:w="11912" w:h="16841"/>
          <w:pgMar w:top="400" w:right="457" w:bottom="0" w:left="442" w:header="0" w:footer="0" w:gutter="0"/>
        </w:sectPr>
        <w:rPr>
          <w:rFonts w:ascii="Microsoft YaHei" w:hAnsi="Microsoft YaHei" w:eastAsia="Microsoft YaHei" w:cs="Microsoft YaHei"/>
          <w:sz w:val="22"/>
          <w:szCs w:val="22"/>
        </w:rPr>
      </w:pPr>
    </w:p>
    <w:p>
      <w:pPr>
        <w:ind w:left="495"/>
        <w:spacing w:before="107" w:line="19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3、会员监管动态</w:t>
      </w:r>
    </w:p>
    <w:p>
      <w:pPr>
        <w:spacing w:before="308" w:line="19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2024年1月8日-1月14日，</w:t>
      </w:r>
      <w:r>
        <w:rPr>
          <w:rFonts w:ascii="Microsoft YaHei" w:hAnsi="Microsoft YaHei" w:eastAsia="Microsoft YaHei" w:cs="Microsoft YaHei"/>
          <w:sz w:val="22"/>
          <w:szCs w:val="22"/>
          <w:spacing w:val="19"/>
        </w:rPr>
        <w:t xml:space="preserve"> </w:t>
      </w:r>
      <w:r>
        <w:rPr>
          <w:rFonts w:ascii="Microsoft YaHei" w:hAnsi="Microsoft YaHei" w:eastAsia="Microsoft YaHei" w:cs="Microsoft YaHei"/>
          <w:sz w:val="22"/>
          <w:szCs w:val="22"/>
          <w:spacing w:val="-2"/>
        </w:rPr>
        <w:t>针对股票发行上市申请项目中保荐机构及保荐代表人存在违规行为的情形，</w:t>
      </w:r>
      <w:r>
        <w:rPr>
          <w:rFonts w:ascii="Microsoft YaHei" w:hAnsi="Microsoft YaHei" w:eastAsia="Microsoft YaHei" w:cs="Microsoft YaHei"/>
          <w:sz w:val="22"/>
          <w:szCs w:val="22"/>
          <w:spacing w:val="20"/>
        </w:rPr>
        <w:t xml:space="preserve"> </w:t>
      </w:r>
      <w:r>
        <w:rPr>
          <w:rFonts w:ascii="Microsoft YaHei" w:hAnsi="Microsoft YaHei" w:eastAsia="Microsoft YaHei" w:cs="Microsoft YaHei"/>
          <w:sz w:val="22"/>
          <w:szCs w:val="22"/>
          <w:spacing w:val="-3"/>
        </w:rPr>
        <w:t>深交所</w:t>
      </w:r>
    </w:p>
    <w:p>
      <w:pPr>
        <w:spacing w:before="72" w:line="19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rPr>
        <w:t>对一家会员采取书面警示的监管措施，并对相关保荐代表人给予通报</w:t>
      </w:r>
      <w:r>
        <w:rPr>
          <w:rFonts w:ascii="Microsoft YaHei" w:hAnsi="Microsoft YaHei" w:eastAsia="Microsoft YaHei" w:cs="Microsoft YaHei"/>
          <w:sz w:val="22"/>
          <w:szCs w:val="22"/>
          <w:spacing w:val="-1"/>
        </w:rPr>
        <w:t>批评。</w:t>
      </w:r>
    </w:p>
    <w:sectPr>
      <w:pgSz w:w="11912" w:h="16841"/>
      <w:pgMar w:top="400" w:right="458" w:bottom="0" w:left="442"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SimSun" w:hAnsi="SimSun" w:eastAsia="SimSun" w:cs="SimSun"/>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7.jpeg"/><Relationship Id="rId8" Type="http://schemas.openxmlformats.org/officeDocument/2006/relationships/image" Target="media/image6.jpeg"/><Relationship Id="rId7" Type="http://schemas.openxmlformats.org/officeDocument/2006/relationships/image" Target="media/image5.jpeg"/><Relationship Id="rId6" Type="http://schemas.openxmlformats.org/officeDocument/2006/relationships/image" Target="media/image4.jpeg"/><Relationship Id="rId5" Type="http://schemas.openxmlformats.org/officeDocument/2006/relationships/image" Target="media/image3.jpeg"/><Relationship Id="rId4" Type="http://schemas.openxmlformats.org/officeDocument/2006/relationships/image" Target="media/image2.jpeg"/><Relationship Id="rId3" Type="http://schemas.openxmlformats.org/officeDocument/2006/relationships/header" Target="header2.xml"/><Relationship Id="rId22" Type="http://schemas.openxmlformats.org/officeDocument/2006/relationships/fontTable" Target="fontTable.xml"/><Relationship Id="rId21" Type="http://schemas.openxmlformats.org/officeDocument/2006/relationships/styles" Target="styles.xml"/><Relationship Id="rId20" Type="http://schemas.openxmlformats.org/officeDocument/2006/relationships/settings" Target="settings.xml"/><Relationship Id="rId2" Type="http://schemas.openxmlformats.org/officeDocument/2006/relationships/image" Target="media/image1.jpeg"/><Relationship Id="rId19" Type="http://schemas.openxmlformats.org/officeDocument/2006/relationships/image" Target="media/image17.jpeg"/><Relationship Id="rId18" Type="http://schemas.openxmlformats.org/officeDocument/2006/relationships/image" Target="media/image16.jpeg"/><Relationship Id="rId17" Type="http://schemas.openxmlformats.org/officeDocument/2006/relationships/image" Target="media/image15.jpeg"/><Relationship Id="rId16" Type="http://schemas.openxmlformats.org/officeDocument/2006/relationships/image" Target="media/image14.jpeg"/><Relationship Id="rId15" Type="http://schemas.openxmlformats.org/officeDocument/2006/relationships/image" Target="media/image13.jpeg"/><Relationship Id="rId14" Type="http://schemas.openxmlformats.org/officeDocument/2006/relationships/image" Target="media/image12.jpeg"/><Relationship Id="rId13" Type="http://schemas.openxmlformats.org/officeDocument/2006/relationships/image" Target="media/image11.jpeg"/><Relationship Id="rId12" Type="http://schemas.openxmlformats.org/officeDocument/2006/relationships/image" Target="media/image10.jpeg"/><Relationship Id="rId11" Type="http://schemas.openxmlformats.org/officeDocument/2006/relationships/image" Target="media/image9.jpeg"/><Relationship Id="rId10" Type="http://schemas.openxmlformats.org/officeDocument/2006/relationships/image" Target="media/image8.jpeg"/><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ap:Application>Kingsoft-PDF</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dcterms:created xsi:type="dcterms:W3CDTF">2024-02-01T17:21:06Z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2024-02-01T17:21:09</vt:filetime>
  </property>
  <property fmtid="{D5CDD505-2E9C-101B-9397-08002B2CF9AE}" pid="4" name="UsrData">
    <vt:lpwstr>65bb627fe4703b002075c0bbwl</vt:lpwstr>
  </property>
</Properties>
</file>