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3" Type="http://schemas.openxmlformats.org/package/2006/relationships/metadata/core-properties" Target="docProps/core.xml"/><Relationship Id="rId4" Type="http://schemas.openxmlformats.org/officeDocument/2006/relationships/extended-properties" Target="docProps/app.xml"/><Relationship Id="rId2" Type="http://schemas.openxmlformats.org/officeDocument/2006/relationships/custom-properties" Target="docProps/custom.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body>
    <w:p>
      <w:pPr>
        <w:pStyle w:val="BodyText"/>
        <w:spacing w:line="254" w:lineRule="auto"/>
        <w:rPr/>
      </w:pPr>
      <w:r/>
    </w:p>
    <w:p>
      <w:pPr>
        <w:pStyle w:val="BodyText"/>
        <w:spacing w:line="254"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pStyle w:val="BodyText"/>
        <w:spacing w:line="255" w:lineRule="auto"/>
        <w:rPr/>
      </w:pPr>
      <w:r/>
    </w:p>
    <w:p>
      <w:pPr>
        <w:ind w:left="2241"/>
        <w:spacing w:before="269" w:line="217" w:lineRule="auto"/>
        <w:outlineLvl w:val="0"/>
        <w:rPr>
          <w:rFonts w:ascii="SimHei" w:hAnsi="SimHei" w:eastAsia="SimHei" w:cs="SimHei"/>
          <w:sz w:val="83"/>
          <w:szCs w:val="83"/>
        </w:rPr>
      </w:pPr>
      <w:r>
        <w:drawing>
          <wp:anchor distT="0" distB="0" distL="0" distR="0" simplePos="0" relativeHeight="251658240" behindDoc="1" locked="0" layoutInCell="1" allowOverlap="1">
            <wp:simplePos x="0" y="0"/>
            <wp:positionH relativeFrom="column">
              <wp:posOffset>0</wp:posOffset>
            </wp:positionH>
            <wp:positionV relativeFrom="paragraph">
              <wp:posOffset>-1883326</wp:posOffset>
            </wp:positionV>
            <wp:extent cx="7562850" cy="10693400"/>
            <wp:effectExtent l="0" t="0" r="0" b="0"/>
            <wp:wrapNone/>
            <wp:docPr id="2" name="IM 2"/>
            <wp:cNvGraphicFramePr/>
            <a:graphic>
              <a:graphicData uri="http://schemas.openxmlformats.org/drawingml/2006/picture">
                <pic:pic>
                  <pic:nvPicPr>
                    <pic:cNvPr id="2" name="IM 2"/>
                    <pic:cNvPicPr/>
                  </pic:nvPicPr>
                  <pic:blipFill>
                    <a:blip r:embed="rId2"/>
                    <a:stretch>
                      <a:fillRect/>
                    </a:stretch>
                  </pic:blipFill>
                  <pic:spPr>
                    <a:xfrm rot="0">
                      <a:off x="0" y="0"/>
                      <a:ext cx="7562850" cy="10693400"/>
                    </a:xfrm>
                    <a:prstGeom prst="rect">
                      <a:avLst/>
                    </a:prstGeom>
                  </pic:spPr>
                </pic:pic>
              </a:graphicData>
            </a:graphic>
          </wp:anchor>
        </w:drawing>
      </w:r>
      <w:r>
        <w:rPr>
          <w:rFonts w:ascii="SimHei" w:hAnsi="SimHei" w:eastAsia="SimHei" w:cs="SimHei"/>
          <w:sz w:val="83"/>
          <w:szCs w:val="83"/>
          <w:b/>
          <w:bCs/>
          <w:color w:val="FFFFFF"/>
          <w:spacing w:val="8"/>
        </w:rPr>
        <w:t>一周法规速递|监管动态</w:t>
      </w:r>
    </w:p>
    <w:p>
      <w:pPr>
        <w:ind w:left="4170"/>
        <w:spacing w:before="144" w:line="223" w:lineRule="auto"/>
        <w:rPr>
          <w:rFonts w:ascii="SimHei" w:hAnsi="SimHei" w:eastAsia="SimHei" w:cs="SimHei"/>
          <w:sz w:val="30"/>
          <w:szCs w:val="30"/>
        </w:rPr>
      </w:pPr>
      <w:r>
        <w:rPr>
          <w:rFonts w:ascii="SimHei" w:hAnsi="SimHei" w:eastAsia="SimHei" w:cs="SimHei"/>
          <w:sz w:val="30"/>
          <w:szCs w:val="30"/>
          <w:color w:val="FFFFFF"/>
          <w:spacing w:val="16"/>
        </w:rPr>
        <w:t>2024年1月1日-2024年1月7日</w:t>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3"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pStyle w:val="BodyText"/>
        <w:spacing w:line="244" w:lineRule="auto"/>
        <w:rPr/>
      </w:pPr>
      <w:r/>
    </w:p>
    <w:p>
      <w:pPr>
        <w:ind w:left="3999"/>
        <w:spacing w:before="98" w:line="219" w:lineRule="auto"/>
        <w:rPr>
          <w:rFonts w:ascii="SimHei" w:hAnsi="SimHei" w:eastAsia="SimHei" w:cs="SimHei"/>
          <w:sz w:val="30"/>
          <w:szCs w:val="30"/>
        </w:rPr>
      </w:pPr>
      <w:r>
        <w:rPr>
          <w:rFonts w:ascii="SimHei" w:hAnsi="SimHei" w:eastAsia="SimHei" w:cs="SimHei"/>
          <w:sz w:val="30"/>
          <w:szCs w:val="30"/>
          <w:spacing w:val="20"/>
        </w:rPr>
        <w:t>深圳价值在线咨询顾问有限公司</w:t>
      </w:r>
    </w:p>
    <w:p>
      <w:pPr>
        <w:pStyle w:val="BodyText"/>
        <w:spacing w:line="289" w:lineRule="auto"/>
        <w:rPr/>
      </w:pPr>
      <w:r/>
    </w:p>
    <w:p>
      <w:pPr>
        <w:ind w:left="5160"/>
        <w:spacing w:before="98" w:line="223" w:lineRule="auto"/>
        <w:rPr>
          <w:rFonts w:ascii="SimHei" w:hAnsi="SimHei" w:eastAsia="SimHei" w:cs="SimHei"/>
          <w:sz w:val="30"/>
          <w:szCs w:val="30"/>
        </w:rPr>
      </w:pPr>
      <w:r>
        <w:rPr>
          <w:rFonts w:ascii="SimHei" w:hAnsi="SimHei" w:eastAsia="SimHei" w:cs="SimHei"/>
          <w:sz w:val="30"/>
          <w:szCs w:val="30"/>
          <w:spacing w:val="42"/>
        </w:rPr>
        <w:t>2024年1月8日</w:t>
      </w:r>
    </w:p>
    <w:p>
      <w:pPr>
        <w:spacing w:line="223" w:lineRule="auto"/>
        <w:sectPr>
          <w:headerReference w:type="default" r:id="rId1"/>
          <w:pgSz w:w="11910" w:h="16840"/>
          <w:pgMar w:top="400" w:right="0" w:bottom="0" w:left="0" w:header="0" w:footer="0" w:gutter="0"/>
        </w:sectPr>
        <w:rPr>
          <w:rFonts w:ascii="SimHei" w:hAnsi="SimHei" w:eastAsia="SimHei" w:cs="SimHei"/>
          <w:sz w:val="30"/>
          <w:szCs w:val="30"/>
        </w:rPr>
      </w:pPr>
    </w:p>
    <w:p>
      <w:pPr>
        <w:ind w:left="2086"/>
        <w:spacing w:before="262" w:line="223" w:lineRule="auto"/>
        <w:rPr>
          <w:rFonts w:ascii="SimHei" w:hAnsi="SimHei" w:eastAsia="SimHei" w:cs="SimHei"/>
          <w:sz w:val="43"/>
          <w:szCs w:val="43"/>
        </w:rPr>
      </w:pPr>
      <w:r>
        <w:pict>
          <v:rect id="_x0000_s2" style="position:absolute;margin-left:39.9997pt;margin-top:66.9979pt;mso-position-vertical-relative:page;mso-position-horizontal-relative:page;width:555pt;height:1.05pt;z-index:251660288;" o:allowincell="f" fillcolor="#FF0000" filled="true" stroked="false"/>
        </w:pict>
      </w:r>
      <w:r>
        <w:drawing>
          <wp:anchor distT="0" distB="0" distL="0" distR="0" simplePos="0" relativeHeight="251659264" behindDoc="0" locked="0" layoutInCell="0" allowOverlap="1">
            <wp:simplePos x="0" y="0"/>
            <wp:positionH relativeFrom="page">
              <wp:posOffset>469879</wp:posOffset>
            </wp:positionH>
            <wp:positionV relativeFrom="page">
              <wp:posOffset>203174</wp:posOffset>
            </wp:positionV>
            <wp:extent cx="869954" cy="692184"/>
            <wp:effectExtent l="0" t="0" r="0" b="0"/>
            <wp:wrapNone/>
            <wp:docPr id="4" name="IM 4"/>
            <wp:cNvGraphicFramePr/>
            <a:graphic>
              <a:graphicData uri="http://schemas.openxmlformats.org/drawingml/2006/picture">
                <pic:pic>
                  <pic:nvPicPr>
                    <pic:cNvPr id="4" name="IM 4"/>
                    <pic:cNvPicPr/>
                  </pic:nvPicPr>
                  <pic:blipFill>
                    <a:blip r:embed="rId4"/>
                    <a:stretch>
                      <a:fillRect/>
                    </a:stretch>
                  </pic:blipFill>
                  <pic:spPr>
                    <a:xfrm rot="0">
                      <a:off x="0" y="0"/>
                      <a:ext cx="869954" cy="692184"/>
                    </a:xfrm>
                    <a:prstGeom prst="rect">
                      <a:avLst/>
                    </a:prstGeom>
                  </pic:spPr>
                </pic:pic>
              </a:graphicData>
            </a:graphic>
          </wp:anchor>
        </w:drawing>
      </w:r>
      <w:r>
        <w:rPr>
          <w:rFonts w:ascii="SimHei" w:hAnsi="SimHei" w:eastAsia="SimHei" w:cs="SimHei"/>
          <w:sz w:val="43"/>
          <w:szCs w:val="43"/>
          <w:b/>
          <w:bCs/>
          <w:spacing w:val="-9"/>
        </w:rPr>
        <w:t>法规速递</w:t>
      </w:r>
    </w:p>
    <w:p>
      <w:pPr>
        <w:pStyle w:val="BodyText"/>
        <w:spacing w:line="467" w:lineRule="auto"/>
        <w:rPr/>
      </w:pPr>
      <w:r/>
    </w:p>
    <w:p>
      <w:pPr>
        <w:ind w:left="480"/>
        <w:spacing w:before="75" w:line="440" w:lineRule="exact"/>
        <w:rPr>
          <w:rFonts w:ascii="SimHei" w:hAnsi="SimHei" w:eastAsia="SimHei" w:cs="SimHei"/>
          <w:sz w:val="23"/>
          <w:szCs w:val="23"/>
        </w:rPr>
      </w:pPr>
      <w:r>
        <w:rPr>
          <w:rFonts w:ascii="SimHei" w:hAnsi="SimHei" w:eastAsia="SimHei" w:cs="SimHei"/>
          <w:sz w:val="23"/>
          <w:szCs w:val="23"/>
          <w:spacing w:val="12"/>
          <w:position w:val="15"/>
        </w:rPr>
        <w:t>1、</w:t>
      </w:r>
      <w:r>
        <w:rPr>
          <w:rFonts w:ascii="SimHei" w:hAnsi="SimHei" w:eastAsia="SimHei" w:cs="SimHei"/>
          <w:sz w:val="23"/>
          <w:szCs w:val="23"/>
          <w:spacing w:val="98"/>
          <w:position w:val="15"/>
        </w:rPr>
        <w:t xml:space="preserve"> </w:t>
      </w:r>
      <w:r>
        <w:rPr>
          <w:rFonts w:ascii="SimHei" w:hAnsi="SimHei" w:eastAsia="SimHei" w:cs="SimHei"/>
          <w:sz w:val="23"/>
          <w:szCs w:val="23"/>
          <w:spacing w:val="12"/>
          <w:position w:val="15"/>
        </w:rPr>
        <w:t>关于就《证券期货法律适用意见——&lt;上市公司收购管理办法&gt;第十三条、第十四条的适用意见</w:t>
      </w:r>
    </w:p>
    <w:p>
      <w:pPr>
        <w:ind w:left="140"/>
        <w:spacing w:before="1" w:line="220" w:lineRule="auto"/>
        <w:rPr>
          <w:rFonts w:ascii="SimHei" w:hAnsi="SimHei" w:eastAsia="SimHei" w:cs="SimHei"/>
          <w:sz w:val="23"/>
          <w:szCs w:val="23"/>
        </w:rPr>
      </w:pPr>
      <w:r>
        <w:rPr>
          <w:rFonts w:ascii="SimHei" w:hAnsi="SimHei" w:eastAsia="SimHei" w:cs="SimHei"/>
          <w:sz w:val="23"/>
          <w:szCs w:val="23"/>
          <w:spacing w:val="13"/>
        </w:rPr>
        <w:t>(征求意见稿)》公开征求意见的通知</w:t>
      </w:r>
    </w:p>
    <w:p>
      <w:pPr>
        <w:pStyle w:val="BodyText"/>
        <w:spacing w:line="268" w:lineRule="auto"/>
        <w:rPr/>
      </w:pPr>
      <w:r/>
    </w:p>
    <w:p>
      <w:pPr>
        <w:ind w:right="639" w:firstLine="630"/>
        <w:spacing w:before="75" w:line="247" w:lineRule="auto"/>
        <w:rPr>
          <w:rFonts w:ascii="SimHei" w:hAnsi="SimHei" w:eastAsia="SimHei" w:cs="SimHei"/>
          <w:sz w:val="23"/>
          <w:szCs w:val="23"/>
        </w:rPr>
      </w:pPr>
      <w:r>
        <w:rPr>
          <w:rFonts w:ascii="SimHei" w:hAnsi="SimHei" w:eastAsia="SimHei" w:cs="SimHei"/>
          <w:sz w:val="23"/>
          <w:szCs w:val="23"/>
          <w:spacing w:val="-18"/>
        </w:rPr>
        <w:t>为了正确理解与适用《上市公司收购管理办法》</w:t>
      </w:r>
      <w:r>
        <w:rPr>
          <w:rFonts w:ascii="SimHei" w:hAnsi="SimHei" w:eastAsia="SimHei" w:cs="SimHei"/>
          <w:sz w:val="23"/>
          <w:szCs w:val="23"/>
          <w:spacing w:val="65"/>
        </w:rPr>
        <w:t xml:space="preserve"> </w:t>
      </w:r>
      <w:r>
        <w:rPr>
          <w:rFonts w:ascii="SimHei" w:hAnsi="SimHei" w:eastAsia="SimHei" w:cs="SimHei"/>
          <w:sz w:val="23"/>
          <w:szCs w:val="23"/>
          <w:spacing w:val="-18"/>
        </w:rPr>
        <w:t>(证监会令第166号，以下</w:t>
      </w:r>
      <w:r>
        <w:rPr>
          <w:rFonts w:ascii="SimHei" w:hAnsi="SimHei" w:eastAsia="SimHei" w:cs="SimHei"/>
          <w:sz w:val="23"/>
          <w:szCs w:val="23"/>
          <w:spacing w:val="-19"/>
        </w:rPr>
        <w:t>简称《收购办法》)第十三条、第十</w:t>
      </w:r>
      <w:r>
        <w:rPr>
          <w:rFonts w:ascii="SimHei" w:hAnsi="SimHei" w:eastAsia="SimHei" w:cs="SimHei"/>
          <w:sz w:val="23"/>
          <w:szCs w:val="23"/>
        </w:rPr>
        <w:t xml:space="preserve"> </w:t>
      </w:r>
      <w:r>
        <w:rPr>
          <w:rFonts w:ascii="SimHei" w:hAnsi="SimHei" w:eastAsia="SimHei" w:cs="SimHei"/>
          <w:sz w:val="23"/>
          <w:szCs w:val="23"/>
          <w:spacing w:val="-17"/>
        </w:rPr>
        <w:t>四条，我会制定《证券期货法律适用意见——&lt;上市公司收购管理办法&gt;第十三条、第十四条的适用意见(征求意见</w:t>
      </w:r>
    </w:p>
    <w:p>
      <w:pPr>
        <w:spacing w:before="84" w:line="213" w:lineRule="auto"/>
        <w:rPr>
          <w:rFonts w:ascii="SimHei" w:hAnsi="SimHei" w:eastAsia="SimHei" w:cs="SimHei"/>
          <w:sz w:val="23"/>
          <w:szCs w:val="23"/>
        </w:rPr>
      </w:pPr>
      <w:r>
        <w:rPr>
          <w:rFonts w:ascii="SimHei" w:hAnsi="SimHei" w:eastAsia="SimHei" w:cs="SimHei"/>
          <w:sz w:val="23"/>
          <w:szCs w:val="23"/>
          <w:spacing w:val="-6"/>
        </w:rPr>
        <w:t>稿)》,现予公布，请遵照执行。</w:t>
      </w:r>
    </w:p>
    <w:p>
      <w:pPr>
        <w:pStyle w:val="BodyText"/>
        <w:spacing w:line="278" w:lineRule="auto"/>
        <w:rPr/>
      </w:pPr>
      <w:r/>
    </w:p>
    <w:p>
      <w:pPr>
        <w:ind w:left="8600"/>
        <w:spacing w:before="75" w:line="612" w:lineRule="exact"/>
        <w:rPr>
          <w:rFonts w:ascii="SimHei" w:hAnsi="SimHei" w:eastAsia="SimHei" w:cs="SimHei"/>
          <w:sz w:val="23"/>
          <w:szCs w:val="23"/>
        </w:rPr>
      </w:pPr>
      <w:r>
        <w:rPr>
          <w:rFonts w:ascii="SimHei" w:hAnsi="SimHei" w:eastAsia="SimHei" w:cs="SimHei"/>
          <w:sz w:val="23"/>
          <w:szCs w:val="23"/>
          <w:spacing w:val="-11"/>
          <w:position w:val="29"/>
        </w:rPr>
        <w:t>中国证券监督管理委员会</w:t>
      </w:r>
    </w:p>
    <w:p>
      <w:pPr>
        <w:ind w:left="9580"/>
        <w:spacing w:line="223" w:lineRule="auto"/>
        <w:rPr>
          <w:rFonts w:ascii="SimHei" w:hAnsi="SimHei" w:eastAsia="SimHei" w:cs="SimHei"/>
          <w:sz w:val="23"/>
          <w:szCs w:val="23"/>
        </w:rPr>
      </w:pPr>
      <w:r>
        <w:rPr>
          <w:rFonts w:ascii="SimHei" w:hAnsi="SimHei" w:eastAsia="SimHei" w:cs="SimHei"/>
          <w:sz w:val="23"/>
          <w:szCs w:val="23"/>
          <w:spacing w:val="2"/>
        </w:rPr>
        <w:t>2024年1月5日</w:t>
      </w:r>
    </w:p>
    <w:p>
      <w:pPr>
        <w:ind w:firstLine="4319"/>
        <w:spacing w:before="172" w:line="2820" w:lineRule="exact"/>
        <w:rPr/>
      </w:pPr>
      <w:r>
        <w:rPr>
          <w:position w:val="-56"/>
        </w:rPr>
        <w:drawing>
          <wp:inline distT="0" distB="0" distL="0" distR="0">
            <wp:extent cx="1809789" cy="1790716"/>
            <wp:effectExtent l="0" t="0" r="0" b="0"/>
            <wp:docPr id="6" name="IM 6"/>
            <wp:cNvGraphicFramePr/>
            <a:graphic>
              <a:graphicData uri="http://schemas.openxmlformats.org/drawingml/2006/picture">
                <pic:pic>
                  <pic:nvPicPr>
                    <pic:cNvPr id="6" name="IM 6"/>
                    <pic:cNvPicPr/>
                  </pic:nvPicPr>
                  <pic:blipFill>
                    <a:blip r:embed="rId5"/>
                    <a:stretch>
                      <a:fillRect/>
                    </a:stretch>
                  </pic:blipFill>
                  <pic:spPr>
                    <a:xfrm rot="0">
                      <a:off x="0" y="0"/>
                      <a:ext cx="1809789" cy="1790716"/>
                    </a:xfrm>
                    <a:prstGeom prst="rect">
                      <a:avLst/>
                    </a:prstGeom>
                  </pic:spPr>
                </pic:pic>
              </a:graphicData>
            </a:graphic>
          </wp:inline>
        </w:drawing>
      </w:r>
    </w:p>
    <w:p>
      <w:pPr>
        <w:ind w:left="500"/>
        <w:spacing w:before="308" w:line="430" w:lineRule="exact"/>
        <w:rPr>
          <w:rFonts w:ascii="SimHei" w:hAnsi="SimHei" w:eastAsia="SimHei" w:cs="SimHei"/>
          <w:sz w:val="23"/>
          <w:szCs w:val="23"/>
        </w:rPr>
      </w:pPr>
      <w:r>
        <w:rPr>
          <w:rFonts w:ascii="SimHei" w:hAnsi="SimHei" w:eastAsia="SimHei" w:cs="SimHei"/>
          <w:sz w:val="23"/>
          <w:szCs w:val="23"/>
          <w:spacing w:val="16"/>
          <w:position w:val="14"/>
        </w:rPr>
        <w:t>关于就《证券期货法律适用意见——&lt;上市公司收购</w:t>
      </w:r>
      <w:r>
        <w:rPr>
          <w:rFonts w:ascii="SimHei" w:hAnsi="SimHei" w:eastAsia="SimHei" w:cs="SimHei"/>
          <w:sz w:val="23"/>
          <w:szCs w:val="23"/>
          <w:spacing w:val="15"/>
          <w:position w:val="14"/>
        </w:rPr>
        <w:t>管理办法&gt;第十三条、第十四条的适用意见(征</w:t>
      </w:r>
    </w:p>
    <w:p>
      <w:pPr>
        <w:ind w:left="3700"/>
        <w:spacing w:before="1" w:line="220" w:lineRule="auto"/>
        <w:rPr>
          <w:rFonts w:ascii="SimHei" w:hAnsi="SimHei" w:eastAsia="SimHei" w:cs="SimHei"/>
          <w:sz w:val="23"/>
          <w:szCs w:val="23"/>
        </w:rPr>
      </w:pPr>
      <w:r>
        <w:rPr>
          <w:rFonts w:ascii="SimHei" w:hAnsi="SimHei" w:eastAsia="SimHei" w:cs="SimHei"/>
          <w:sz w:val="23"/>
          <w:szCs w:val="23"/>
          <w:spacing w:val="16"/>
        </w:rPr>
        <w:t>求意见稿)》公开征求意见的通知</w:t>
      </w:r>
    </w:p>
    <w:p>
      <w:pPr>
        <w:spacing w:line="220" w:lineRule="auto"/>
        <w:sectPr>
          <w:headerReference w:type="default" r:id="rId3"/>
          <w:pgSz w:w="11910" w:h="16840"/>
          <w:pgMar w:top="400" w:right="10" w:bottom="0" w:left="439" w:header="0" w:footer="0" w:gutter="0"/>
        </w:sectPr>
        <w:rPr>
          <w:rFonts w:ascii="SimHei" w:hAnsi="SimHei" w:eastAsia="SimHei" w:cs="SimHei"/>
          <w:sz w:val="23"/>
          <w:szCs w:val="23"/>
        </w:rPr>
      </w:pPr>
    </w:p>
    <w:p>
      <w:pPr>
        <w:ind w:left="483"/>
        <w:spacing w:before="123" w:line="221" w:lineRule="auto"/>
        <w:outlineLvl w:val="0"/>
        <w:rPr>
          <w:rFonts w:ascii="SimHei" w:hAnsi="SimHei" w:eastAsia="SimHei" w:cs="SimHei"/>
          <w:sz w:val="22"/>
          <w:szCs w:val="22"/>
        </w:rPr>
      </w:pPr>
      <w:r>
        <w:rPr>
          <w:rFonts w:ascii="SimHei" w:hAnsi="SimHei" w:eastAsia="SimHei" w:cs="SimHei"/>
          <w:sz w:val="22"/>
          <w:szCs w:val="22"/>
          <w:b/>
          <w:bCs/>
          <w:spacing w:val="20"/>
        </w:rPr>
        <w:t>2、</w:t>
      </w:r>
      <w:r>
        <w:rPr>
          <w:rFonts w:ascii="SimHei" w:hAnsi="SimHei" w:eastAsia="SimHei" w:cs="SimHei"/>
          <w:sz w:val="22"/>
          <w:szCs w:val="22"/>
          <w:spacing w:val="9"/>
        </w:rPr>
        <w:t xml:space="preserve">  </w:t>
      </w:r>
      <w:r>
        <w:rPr>
          <w:rFonts w:ascii="SimHei" w:hAnsi="SimHei" w:eastAsia="SimHei" w:cs="SimHei"/>
          <w:sz w:val="22"/>
          <w:szCs w:val="22"/>
          <w:b/>
          <w:bCs/>
          <w:spacing w:val="20"/>
        </w:rPr>
        <w:t>中国证券登记结算有限责任公司结算参与人管理工作指引(2024年修订版)</w:t>
      </w:r>
    </w:p>
    <w:p>
      <w:pPr>
        <w:pStyle w:val="BodyText"/>
        <w:spacing w:line="246" w:lineRule="auto"/>
        <w:rPr/>
      </w:pPr>
      <w:r/>
    </w:p>
    <w:p>
      <w:pPr>
        <w:ind w:right="74" w:firstLine="649"/>
        <w:spacing w:before="71" w:line="258" w:lineRule="auto"/>
        <w:rPr>
          <w:rFonts w:ascii="SimHei" w:hAnsi="SimHei" w:eastAsia="SimHei" w:cs="SimHei"/>
          <w:sz w:val="22"/>
          <w:szCs w:val="22"/>
        </w:rPr>
      </w:pPr>
      <w:r>
        <w:rPr>
          <w:rFonts w:ascii="SimHei" w:hAnsi="SimHei" w:eastAsia="SimHei" w:cs="SimHei"/>
          <w:sz w:val="22"/>
          <w:szCs w:val="22"/>
          <w:spacing w:val="-12"/>
        </w:rPr>
        <w:t>为明确结算参与人管理业务操作流程，根据《中国证券登记结算有限责任公司结算参与人管理规</w:t>
      </w:r>
      <w:r>
        <w:rPr>
          <w:rFonts w:ascii="SimHei" w:hAnsi="SimHei" w:eastAsia="SimHei" w:cs="SimHei"/>
          <w:sz w:val="22"/>
          <w:szCs w:val="22"/>
          <w:spacing w:val="-13"/>
        </w:rPr>
        <w:t>则》</w:t>
      </w:r>
      <w:r>
        <w:rPr>
          <w:rFonts w:ascii="SimHei" w:hAnsi="SimHei" w:eastAsia="SimHei" w:cs="SimHei"/>
          <w:sz w:val="22"/>
          <w:szCs w:val="22"/>
          <w:spacing w:val="-13"/>
        </w:rPr>
        <w:t xml:space="preserve">  </w:t>
      </w:r>
      <w:r>
        <w:rPr>
          <w:rFonts w:ascii="SimHei" w:hAnsi="SimHei" w:eastAsia="SimHei" w:cs="SimHei"/>
          <w:sz w:val="22"/>
          <w:szCs w:val="22"/>
          <w:spacing w:val="-13"/>
        </w:rPr>
        <w:t>(以下简称</w:t>
      </w:r>
      <w:r>
        <w:rPr>
          <w:rFonts w:ascii="SimHei" w:hAnsi="SimHei" w:eastAsia="SimHei" w:cs="SimHei"/>
          <w:sz w:val="22"/>
          <w:szCs w:val="22"/>
        </w:rPr>
        <w:t xml:space="preserve"> </w:t>
      </w:r>
      <w:r>
        <w:rPr>
          <w:rFonts w:ascii="SimHei" w:hAnsi="SimHei" w:eastAsia="SimHei" w:cs="SimHei"/>
          <w:sz w:val="22"/>
          <w:szCs w:val="22"/>
          <w:spacing w:val="-9"/>
        </w:rPr>
        <w:t>《参与人规则》)及中国证券登记结算有限</w:t>
      </w:r>
      <w:r>
        <w:rPr>
          <w:rFonts w:ascii="SimHei" w:hAnsi="SimHei" w:eastAsia="SimHei" w:cs="SimHei"/>
          <w:sz w:val="22"/>
          <w:szCs w:val="22"/>
          <w:spacing w:val="-10"/>
        </w:rPr>
        <w:t>责任公司(以下简称“本公司”)其他相关业务规则，制定本指引。</w:t>
      </w:r>
    </w:p>
    <w:p>
      <w:pPr>
        <w:pStyle w:val="BodyText"/>
        <w:spacing w:line="282" w:lineRule="auto"/>
        <w:rPr/>
      </w:pPr>
      <w:r/>
    </w:p>
    <w:p>
      <w:pPr>
        <w:spacing w:before="72" w:line="652" w:lineRule="exact"/>
        <w:jc w:val="right"/>
        <w:rPr>
          <w:rFonts w:ascii="SimHei" w:hAnsi="SimHei" w:eastAsia="SimHei" w:cs="SimHei"/>
          <w:sz w:val="22"/>
          <w:szCs w:val="22"/>
        </w:rPr>
      </w:pPr>
      <w:r>
        <w:rPr>
          <w:rFonts w:ascii="SimHei" w:hAnsi="SimHei" w:eastAsia="SimHei" w:cs="SimHei"/>
          <w:sz w:val="22"/>
          <w:szCs w:val="22"/>
          <w:spacing w:val="-2"/>
          <w:position w:val="33"/>
        </w:rPr>
        <w:t>中国证券登记结算有限责任公司</w:t>
      </w:r>
    </w:p>
    <w:p>
      <w:pPr>
        <w:ind w:right="8"/>
        <w:spacing w:line="223" w:lineRule="auto"/>
        <w:jc w:val="right"/>
        <w:rPr>
          <w:rFonts w:ascii="SimHei" w:hAnsi="SimHei" w:eastAsia="SimHei" w:cs="SimHei"/>
          <w:sz w:val="22"/>
          <w:szCs w:val="22"/>
        </w:rPr>
      </w:pPr>
      <w:r>
        <w:rPr>
          <w:rFonts w:ascii="SimHei" w:hAnsi="SimHei" w:eastAsia="SimHei" w:cs="SimHei"/>
          <w:sz w:val="22"/>
          <w:szCs w:val="22"/>
          <w:spacing w:val="8"/>
        </w:rPr>
        <w:t>2024年1月5日</w:t>
      </w:r>
    </w:p>
    <w:p>
      <w:pPr>
        <w:ind w:firstLine="4369"/>
        <w:spacing w:before="194" w:line="2760" w:lineRule="exact"/>
        <w:rPr/>
      </w:pPr>
      <w:r>
        <w:rPr>
          <w:position w:val="-55"/>
        </w:rPr>
        <w:drawing>
          <wp:inline distT="0" distB="0" distL="0" distR="0">
            <wp:extent cx="1758967" cy="1752648"/>
            <wp:effectExtent l="0" t="0" r="0" b="0"/>
            <wp:docPr id="8" name="IM 8"/>
            <wp:cNvGraphicFramePr/>
            <a:graphic>
              <a:graphicData uri="http://schemas.openxmlformats.org/drawingml/2006/picture">
                <pic:pic>
                  <pic:nvPicPr>
                    <pic:cNvPr id="8" name="IM 8"/>
                    <pic:cNvPicPr/>
                  </pic:nvPicPr>
                  <pic:blipFill>
                    <a:blip r:embed="rId6"/>
                    <a:stretch>
                      <a:fillRect/>
                    </a:stretch>
                  </pic:blipFill>
                  <pic:spPr>
                    <a:xfrm rot="0">
                      <a:off x="0" y="0"/>
                      <a:ext cx="1758967" cy="1752648"/>
                    </a:xfrm>
                    <a:prstGeom prst="rect">
                      <a:avLst/>
                    </a:prstGeom>
                  </pic:spPr>
                </pic:pic>
              </a:graphicData>
            </a:graphic>
          </wp:inline>
        </w:drawing>
      </w:r>
    </w:p>
    <w:p>
      <w:pPr>
        <w:pStyle w:val="BodyText"/>
        <w:spacing w:line="290" w:lineRule="auto"/>
        <w:rPr/>
      </w:pPr>
      <w:r/>
    </w:p>
    <w:p>
      <w:pPr>
        <w:ind w:left="1693"/>
        <w:spacing w:before="72" w:line="221" w:lineRule="auto"/>
        <w:rPr>
          <w:rFonts w:ascii="SimHei" w:hAnsi="SimHei" w:eastAsia="SimHei" w:cs="SimHei"/>
          <w:sz w:val="22"/>
          <w:szCs w:val="22"/>
        </w:rPr>
      </w:pPr>
      <w:r>
        <w:rPr>
          <w:rFonts w:ascii="SimHei" w:hAnsi="SimHei" w:eastAsia="SimHei" w:cs="SimHei"/>
          <w:sz w:val="22"/>
          <w:szCs w:val="22"/>
          <w:b/>
          <w:bCs/>
          <w:spacing w:val="24"/>
        </w:rPr>
        <w:t>中国证券登记结算有限责任公司结算参与人管理工作指引(202</w:t>
      </w:r>
      <w:r>
        <w:rPr>
          <w:rFonts w:ascii="SimHei" w:hAnsi="SimHei" w:eastAsia="SimHei" w:cs="SimHei"/>
          <w:sz w:val="22"/>
          <w:szCs w:val="22"/>
          <w:b/>
          <w:bCs/>
          <w:spacing w:val="23"/>
        </w:rPr>
        <w:t>4年修订版)</w:t>
      </w:r>
    </w:p>
    <w:p>
      <w:pPr>
        <w:spacing w:line="221" w:lineRule="auto"/>
        <w:sectPr>
          <w:pgSz w:w="11910" w:h="16840"/>
          <w:pgMar w:top="400" w:right="485" w:bottom="0" w:left="429" w:header="0" w:footer="0" w:gutter="0"/>
        </w:sectPr>
        <w:rPr>
          <w:rFonts w:ascii="SimHei" w:hAnsi="SimHei" w:eastAsia="SimHei" w:cs="SimHei"/>
          <w:sz w:val="22"/>
          <w:szCs w:val="22"/>
        </w:rPr>
      </w:pPr>
    </w:p>
    <w:p>
      <w:pPr>
        <w:ind w:left="2086"/>
        <w:spacing w:before="328" w:line="222" w:lineRule="auto"/>
        <w:rPr>
          <w:rFonts w:ascii="SimHei" w:hAnsi="SimHei" w:eastAsia="SimHei" w:cs="SimHei"/>
          <w:sz w:val="44"/>
          <w:szCs w:val="44"/>
        </w:rPr>
      </w:pPr>
      <w:r>
        <w:pict>
          <v:rect id="_x0000_s4" style="position:absolute;margin-left:39.9997pt;margin-top:74.9969pt;mso-position-vertical-relative:page;mso-position-horizontal-relative:page;width:554.5pt;height:1.05pt;z-index:251664384;" o:allowincell="f" fillcolor="#FF0000" filled="true" stroked="false"/>
        </w:pict>
      </w:r>
      <w:r>
        <w:drawing>
          <wp:anchor distT="0" distB="0" distL="0" distR="0" simplePos="0" relativeHeight="251663360" behindDoc="0" locked="0" layoutInCell="0" allowOverlap="1">
            <wp:simplePos x="0" y="0"/>
            <wp:positionH relativeFrom="page">
              <wp:posOffset>476232</wp:posOffset>
            </wp:positionH>
            <wp:positionV relativeFrom="page">
              <wp:posOffset>209590</wp:posOffset>
            </wp:positionV>
            <wp:extent cx="946188" cy="774630"/>
            <wp:effectExtent l="0" t="0" r="0" b="0"/>
            <wp:wrapNone/>
            <wp:docPr id="10" name="IM 10"/>
            <wp:cNvGraphicFramePr/>
            <a:graphic>
              <a:graphicData uri="http://schemas.openxmlformats.org/drawingml/2006/picture">
                <pic:pic>
                  <pic:nvPicPr>
                    <pic:cNvPr id="10" name="IM 10"/>
                    <pic:cNvPicPr/>
                  </pic:nvPicPr>
                  <pic:blipFill>
                    <a:blip r:embed="rId7"/>
                    <a:stretch>
                      <a:fillRect/>
                    </a:stretch>
                  </pic:blipFill>
                  <pic:spPr>
                    <a:xfrm rot="0">
                      <a:off x="0" y="0"/>
                      <a:ext cx="946188" cy="774630"/>
                    </a:xfrm>
                    <a:prstGeom prst="rect">
                      <a:avLst/>
                    </a:prstGeom>
                  </pic:spPr>
                </pic:pic>
              </a:graphicData>
            </a:graphic>
          </wp:anchor>
        </w:drawing>
      </w:r>
      <w:r>
        <w:rPr>
          <w:rFonts w:ascii="SimHei" w:hAnsi="SimHei" w:eastAsia="SimHei" w:cs="SimHei"/>
          <w:sz w:val="44"/>
          <w:szCs w:val="44"/>
          <w:b/>
          <w:bCs/>
          <w:spacing w:val="-8"/>
        </w:rPr>
        <w:t>监管动态</w:t>
      </w:r>
    </w:p>
    <w:p>
      <w:pPr>
        <w:pStyle w:val="BodyText"/>
        <w:spacing w:line="319" w:lineRule="auto"/>
        <w:rPr/>
      </w:pPr>
      <w:r/>
    </w:p>
    <w:p>
      <w:pPr>
        <w:pStyle w:val="BodyText"/>
        <w:spacing w:line="319" w:lineRule="auto"/>
        <w:rPr/>
      </w:pPr>
      <w:r/>
    </w:p>
    <w:p>
      <w:pPr>
        <w:ind w:firstLine="340"/>
        <w:spacing w:line="800" w:lineRule="exact"/>
        <w:rPr/>
      </w:pPr>
      <w:r>
        <w:rPr>
          <w:position w:val="-15"/>
        </w:rPr>
        <w:pict>
          <v:group id="_x0000_s6" style="mso-position-vertical-relative:line;mso-position-horizontal-relative:char;width:186.5pt;height:40pt;" filled="false" stroked="false" coordsize="3730,800" coordorigin="0,0">
            <v:shape id="_x0000_s8" style="position:absolute;left:0;top:0;width:3730;height:800;" filled="false" stroked="false" type="#_x0000_t75">
              <v:imagedata o:title="" r:id="rId8"/>
            </v:shape>
            <v:shape id="_x0000_s10" style="position:absolute;left:-20;top:-20;width:3770;height:840;" filled="false" stroked="false" type="#_x0000_t202">
              <v:fill on="false"/>
              <v:stroke on="false"/>
              <v:path/>
              <v:imagedata o:title=""/>
              <o:lock v:ext="edit" aspectratio="false"/>
              <v:textbox inset="0mm,0mm,0mm,0mm">
                <w:txbxContent>
                  <w:p>
                    <w:pPr>
                      <w:ind w:left="444"/>
                      <w:spacing w:before="255" w:line="221" w:lineRule="auto"/>
                      <w:rPr>
                        <w:rFonts w:ascii="SimHei" w:hAnsi="SimHei" w:eastAsia="SimHei" w:cs="SimHei"/>
                        <w:sz w:val="29"/>
                        <w:szCs w:val="29"/>
                      </w:rPr>
                    </w:pPr>
                    <w:r>
                      <w:rPr>
                        <w:rFonts w:ascii="SimHei" w:hAnsi="SimHei" w:eastAsia="SimHei" w:cs="SimHei"/>
                        <w:sz w:val="29"/>
                        <w:szCs w:val="29"/>
                        <w:b/>
                        <w:bCs/>
                        <w:color w:val="FFFFFF"/>
                        <w:spacing w:val="-13"/>
                      </w:rPr>
                      <w:t>市场监管概览</w:t>
                    </w:r>
                  </w:p>
                </w:txbxContent>
              </v:textbox>
            </v:shape>
          </v:group>
        </w:pict>
      </w:r>
    </w:p>
    <w:p>
      <w:pPr>
        <w:pStyle w:val="BodyText"/>
        <w:spacing w:line="387" w:lineRule="auto"/>
        <w:rPr/>
      </w:pPr>
      <w:r/>
    </w:p>
    <w:p>
      <w:pPr>
        <w:ind w:left="450"/>
        <w:spacing w:before="68" w:line="400" w:lineRule="exact"/>
        <w:rPr>
          <w:rFonts w:ascii="SimHei" w:hAnsi="SimHei" w:eastAsia="SimHei" w:cs="SimHei"/>
          <w:sz w:val="21"/>
          <w:szCs w:val="21"/>
        </w:rPr>
      </w:pPr>
      <w:r>
        <w:rPr>
          <w:rFonts w:ascii="SimHei" w:hAnsi="SimHei" w:eastAsia="SimHei" w:cs="SimHei"/>
          <w:sz w:val="21"/>
          <w:szCs w:val="21"/>
          <w:spacing w:val="15"/>
          <w:position w:val="14"/>
        </w:rPr>
        <w:t>2024年1月1日-1月7日，证监会作出1份监管文书；证监局作出56份监管文书；上交所作出3份监管文书；深</w:t>
      </w:r>
    </w:p>
    <w:p>
      <w:pPr>
        <w:spacing w:line="221" w:lineRule="auto"/>
        <w:rPr>
          <w:rFonts w:ascii="SimHei" w:hAnsi="SimHei" w:eastAsia="SimHei" w:cs="SimHei"/>
          <w:sz w:val="21"/>
          <w:szCs w:val="21"/>
        </w:rPr>
      </w:pPr>
      <w:r>
        <w:rPr>
          <w:rFonts w:ascii="SimHei" w:hAnsi="SimHei" w:eastAsia="SimHei" w:cs="SimHei"/>
          <w:sz w:val="21"/>
          <w:szCs w:val="21"/>
          <w:spacing w:val="7"/>
        </w:rPr>
        <w:t>交所作出17份监管文书。</w:t>
      </w:r>
    </w:p>
    <w:p>
      <w:pPr>
        <w:ind w:left="450"/>
        <w:spacing w:before="298" w:line="420" w:lineRule="exact"/>
        <w:rPr>
          <w:rFonts w:ascii="SimHei" w:hAnsi="SimHei" w:eastAsia="SimHei" w:cs="SimHei"/>
          <w:sz w:val="21"/>
          <w:szCs w:val="21"/>
        </w:rPr>
      </w:pPr>
      <w:r>
        <w:rPr>
          <w:rFonts w:ascii="SimHei" w:hAnsi="SimHei" w:eastAsia="SimHei" w:cs="SimHei"/>
          <w:sz w:val="21"/>
          <w:szCs w:val="21"/>
          <w:spacing w:val="14"/>
          <w:position w:val="16"/>
        </w:rPr>
        <w:t>上周，证监会对1个对象进行立案调查；证监局作出</w:t>
      </w:r>
      <w:r>
        <w:rPr>
          <w:rFonts w:ascii="SimHei" w:hAnsi="SimHei" w:eastAsia="SimHei" w:cs="SimHei"/>
          <w:sz w:val="21"/>
          <w:szCs w:val="21"/>
          <w:spacing w:val="13"/>
          <w:position w:val="16"/>
        </w:rPr>
        <w:t>20份行政处罚及市场禁入决定书，2份行政处罚决定事先</w:t>
      </w:r>
    </w:p>
    <w:p>
      <w:pPr>
        <w:spacing w:before="1" w:line="212" w:lineRule="auto"/>
        <w:rPr>
          <w:rFonts w:ascii="SimHei" w:hAnsi="SimHei" w:eastAsia="SimHei" w:cs="SimHei"/>
          <w:sz w:val="21"/>
          <w:szCs w:val="21"/>
        </w:rPr>
      </w:pPr>
      <w:r>
        <w:rPr>
          <w:rFonts w:ascii="SimHei" w:hAnsi="SimHei" w:eastAsia="SimHei" w:cs="SimHei"/>
          <w:sz w:val="21"/>
          <w:szCs w:val="21"/>
          <w:spacing w:val="7"/>
        </w:rPr>
        <w:t>告知书，34份行政监管措施决定书。</w:t>
      </w:r>
    </w:p>
    <w:p>
      <w:pPr>
        <w:pStyle w:val="BodyText"/>
        <w:spacing w:line="267" w:lineRule="auto"/>
        <w:rPr/>
      </w:pPr>
      <w:r/>
    </w:p>
    <w:p>
      <w:pPr>
        <w:ind w:left="450"/>
        <w:spacing w:before="69" w:line="410" w:lineRule="exact"/>
        <w:rPr>
          <w:rFonts w:ascii="SimHei" w:hAnsi="SimHei" w:eastAsia="SimHei" w:cs="SimHei"/>
          <w:sz w:val="21"/>
          <w:szCs w:val="21"/>
        </w:rPr>
      </w:pPr>
      <w:r>
        <w:rPr>
          <w:rFonts w:ascii="SimHei" w:hAnsi="SimHei" w:eastAsia="SimHei" w:cs="SimHei"/>
          <w:sz w:val="21"/>
          <w:szCs w:val="21"/>
          <w:spacing w:val="12"/>
          <w:position w:val="15"/>
        </w:rPr>
        <w:t>上周，上交所公司监管部门作出3份监管警示函。同时，加大信息披</w:t>
      </w:r>
      <w:r>
        <w:rPr>
          <w:rFonts w:ascii="SimHei" w:hAnsi="SimHei" w:eastAsia="SimHei" w:cs="SimHei"/>
          <w:sz w:val="21"/>
          <w:szCs w:val="21"/>
          <w:spacing w:val="11"/>
          <w:position w:val="15"/>
        </w:rPr>
        <w:t>露和股价异常的联动监管，针对公司披露</w:t>
      </w:r>
    </w:p>
    <w:p>
      <w:pPr>
        <w:spacing w:before="1" w:line="212" w:lineRule="auto"/>
        <w:rPr>
          <w:rFonts w:ascii="SimHei" w:hAnsi="SimHei" w:eastAsia="SimHei" w:cs="SimHei"/>
          <w:sz w:val="21"/>
          <w:szCs w:val="21"/>
        </w:rPr>
      </w:pPr>
      <w:r>
        <w:rPr>
          <w:rFonts w:ascii="SimHei" w:hAnsi="SimHei" w:eastAsia="SimHei" w:cs="SimHei"/>
          <w:sz w:val="21"/>
          <w:szCs w:val="21"/>
          <w:spacing w:val="8"/>
        </w:rPr>
        <w:t>敏感信息或股价发生明显异常的，提请启动内幕交易、异常交易核查4单。</w:t>
      </w:r>
    </w:p>
    <w:p>
      <w:pPr>
        <w:pStyle w:val="BodyText"/>
        <w:spacing w:line="327" w:lineRule="auto"/>
        <w:rPr/>
      </w:pPr>
      <w:r/>
    </w:p>
    <w:p>
      <w:pPr>
        <w:ind w:left="450"/>
        <w:spacing w:before="69" w:line="213" w:lineRule="auto"/>
        <w:rPr>
          <w:rFonts w:ascii="SimHei" w:hAnsi="SimHei" w:eastAsia="SimHei" w:cs="SimHei"/>
          <w:sz w:val="21"/>
          <w:szCs w:val="21"/>
        </w:rPr>
      </w:pPr>
      <w:r>
        <w:rPr>
          <w:rFonts w:ascii="SimHei" w:hAnsi="SimHei" w:eastAsia="SimHei" w:cs="SimHei"/>
          <w:sz w:val="21"/>
          <w:szCs w:val="21"/>
          <w:spacing w:val="10"/>
        </w:rPr>
        <w:t>上周，深交所发出10份监管函，对7宗行为予以纪律处分；共发出关注函9份，非许可类重组问询函1份。</w:t>
      </w:r>
    </w:p>
    <w:p>
      <w:pPr>
        <w:pStyle w:val="BodyText"/>
        <w:spacing w:line="337" w:lineRule="auto"/>
        <w:rPr/>
      </w:pPr>
      <w:r/>
    </w:p>
    <w:p>
      <w:pPr>
        <w:ind w:left="3305"/>
        <w:spacing w:before="117" w:line="221" w:lineRule="auto"/>
        <w:rPr>
          <w:rFonts w:ascii="SimHei" w:hAnsi="SimHei" w:eastAsia="SimHei" w:cs="SimHei"/>
          <w:sz w:val="36"/>
          <w:szCs w:val="36"/>
        </w:rPr>
      </w:pPr>
      <w:r>
        <w:rPr>
          <w:rFonts w:ascii="SimHei" w:hAnsi="SimHei" w:eastAsia="SimHei" w:cs="SimHei"/>
          <w:sz w:val="36"/>
          <w:szCs w:val="36"/>
          <w:b/>
          <w:bCs/>
          <w:spacing w:val="7"/>
        </w:rPr>
        <w:t>上周监管机构监管数据统计(份)</w:t>
      </w:r>
    </w:p>
    <w:p>
      <w:pPr>
        <w:spacing w:before="21"/>
        <w:rPr/>
      </w:pPr>
      <w:r/>
    </w:p>
    <w:p>
      <w:pPr>
        <w:spacing w:before="20"/>
        <w:rPr/>
      </w:pPr>
      <w:r/>
    </w:p>
    <w:p>
      <w:pPr>
        <w:spacing w:before="20"/>
        <w:rPr/>
      </w:pPr>
      <w:r/>
    </w:p>
    <w:p>
      <w:pPr>
        <w:sectPr>
          <w:pgSz w:w="11910" w:h="16840"/>
          <w:pgMar w:top="400" w:right="20" w:bottom="0" w:left="429" w:header="0" w:footer="0" w:gutter="0"/>
          <w:cols w:equalWidth="0" w:num="1">
            <w:col w:w="11461" w:space="0"/>
          </w:cols>
        </w:sectPr>
        <w:rPr/>
      </w:pPr>
    </w:p>
    <w:p>
      <w:pPr>
        <w:ind w:left="2429"/>
        <w:spacing w:before="29" w:line="184" w:lineRule="auto"/>
        <w:rPr>
          <w:rFonts w:ascii="SimSun" w:hAnsi="SimSun" w:eastAsia="SimSun" w:cs="SimSun"/>
          <w:sz w:val="21"/>
          <w:szCs w:val="21"/>
        </w:rPr>
      </w:pPr>
      <w:r>
        <w:rPr>
          <w:rFonts w:ascii="SimSun" w:hAnsi="SimSun" w:eastAsia="SimSun" w:cs="SimSun"/>
          <w:sz w:val="21"/>
          <w:szCs w:val="21"/>
          <w:spacing w:val="-19"/>
        </w:rPr>
        <w:t>101-</w:t>
      </w:r>
    </w:p>
    <w:p>
      <w:pPr>
        <w:ind w:left="2530"/>
        <w:spacing w:before="60" w:line="184" w:lineRule="auto"/>
        <w:rPr>
          <w:rFonts w:ascii="SimSun" w:hAnsi="SimSun" w:eastAsia="SimSun" w:cs="SimSun"/>
          <w:sz w:val="21"/>
          <w:szCs w:val="21"/>
        </w:rPr>
      </w:pPr>
      <w:r>
        <w:rPr>
          <w:rFonts w:ascii="SimSun" w:hAnsi="SimSun" w:eastAsia="SimSun" w:cs="SimSun"/>
          <w:sz w:val="21"/>
          <w:szCs w:val="21"/>
          <w:spacing w:val="-10"/>
        </w:rPr>
        <w:t>91-</w:t>
      </w:r>
    </w:p>
    <w:p>
      <w:pPr>
        <w:ind w:left="2530"/>
        <w:spacing w:before="41" w:line="184" w:lineRule="auto"/>
        <w:rPr>
          <w:rFonts w:ascii="SimSun" w:hAnsi="SimSun" w:eastAsia="SimSun" w:cs="SimSun"/>
          <w:sz w:val="21"/>
          <w:szCs w:val="21"/>
        </w:rPr>
      </w:pPr>
      <w:r>
        <w:rPr>
          <w:rFonts w:ascii="SimSun" w:hAnsi="SimSun" w:eastAsia="SimSun" w:cs="SimSun"/>
          <w:sz w:val="21"/>
          <w:szCs w:val="21"/>
          <w:spacing w:val="-14"/>
        </w:rPr>
        <w:t>81-</w:t>
      </w:r>
    </w:p>
    <w:p>
      <w:pPr>
        <w:ind w:left="2530"/>
        <w:spacing w:before="61" w:line="184" w:lineRule="auto"/>
        <w:rPr>
          <w:rFonts w:ascii="SimSun" w:hAnsi="SimSun" w:eastAsia="SimSun" w:cs="SimSun"/>
          <w:sz w:val="21"/>
          <w:szCs w:val="21"/>
        </w:rPr>
      </w:pPr>
      <w:r>
        <w:rPr>
          <w:rFonts w:ascii="SimSun" w:hAnsi="SimSun" w:eastAsia="SimSun" w:cs="SimSun"/>
          <w:sz w:val="21"/>
          <w:szCs w:val="21"/>
          <w:spacing w:val="-15"/>
        </w:rPr>
        <w:t>71-</w:t>
      </w:r>
    </w:p>
    <w:p>
      <w:pPr>
        <w:ind w:left="2530"/>
        <w:spacing w:before="51" w:line="184" w:lineRule="auto"/>
        <w:rPr>
          <w:rFonts w:ascii="SimSun" w:hAnsi="SimSun" w:eastAsia="SimSun" w:cs="SimSun"/>
          <w:sz w:val="21"/>
          <w:szCs w:val="21"/>
        </w:rPr>
      </w:pPr>
      <w:r>
        <w:rPr>
          <w:rFonts w:ascii="SimSun" w:hAnsi="SimSun" w:eastAsia="SimSun" w:cs="SimSun"/>
          <w:sz w:val="21"/>
          <w:szCs w:val="21"/>
          <w:spacing w:val="-14"/>
        </w:rPr>
        <w:t>61-</w:t>
      </w:r>
    </w:p>
    <w:p>
      <w:pPr>
        <w:ind w:left="2530"/>
        <w:spacing w:before="40" w:line="184" w:lineRule="auto"/>
        <w:rPr>
          <w:rFonts w:ascii="SimSun" w:hAnsi="SimSun" w:eastAsia="SimSun" w:cs="SimSun"/>
          <w:sz w:val="21"/>
          <w:szCs w:val="21"/>
        </w:rPr>
      </w:pPr>
      <w:r>
        <w:rPr>
          <w:rFonts w:ascii="SimSun" w:hAnsi="SimSun" w:eastAsia="SimSun" w:cs="SimSun"/>
          <w:sz w:val="21"/>
          <w:szCs w:val="21"/>
          <w:spacing w:val="-15"/>
        </w:rPr>
        <w:t>51-</w:t>
      </w:r>
    </w:p>
    <w:p>
      <w:pPr>
        <w:ind w:left="2530"/>
        <w:spacing w:before="61" w:line="184" w:lineRule="auto"/>
        <w:rPr>
          <w:rFonts w:ascii="SimSun" w:hAnsi="SimSun" w:eastAsia="SimSun" w:cs="SimSun"/>
          <w:sz w:val="21"/>
          <w:szCs w:val="21"/>
        </w:rPr>
      </w:pPr>
      <w:r>
        <w:rPr>
          <w:rFonts w:ascii="SimSun" w:hAnsi="SimSun" w:eastAsia="SimSun" w:cs="SimSun"/>
          <w:sz w:val="21"/>
          <w:szCs w:val="21"/>
          <w:spacing w:val="-10"/>
        </w:rPr>
        <w:t>41-</w:t>
      </w:r>
    </w:p>
    <w:p>
      <w:pPr>
        <w:ind w:left="2530"/>
        <w:spacing w:before="50" w:line="184" w:lineRule="auto"/>
        <w:rPr>
          <w:rFonts w:ascii="SimSun" w:hAnsi="SimSun" w:eastAsia="SimSun" w:cs="SimSun"/>
          <w:sz w:val="21"/>
          <w:szCs w:val="21"/>
        </w:rPr>
      </w:pPr>
      <w:r>
        <w:rPr>
          <w:rFonts w:ascii="SimSun" w:hAnsi="SimSun" w:eastAsia="SimSun" w:cs="SimSun"/>
          <w:sz w:val="21"/>
          <w:szCs w:val="21"/>
          <w:spacing w:val="-15"/>
        </w:rPr>
        <w:t>31-</w:t>
      </w:r>
    </w:p>
    <w:p>
      <w:pPr>
        <w:ind w:left="2530"/>
        <w:spacing w:before="51" w:line="184" w:lineRule="auto"/>
        <w:rPr>
          <w:rFonts w:ascii="SimSun" w:hAnsi="SimSun" w:eastAsia="SimSun" w:cs="SimSun"/>
          <w:sz w:val="21"/>
          <w:szCs w:val="21"/>
        </w:rPr>
      </w:pPr>
      <w:r>
        <w:rPr>
          <w:rFonts w:ascii="SimSun" w:hAnsi="SimSun" w:eastAsia="SimSun" w:cs="SimSun"/>
          <w:sz w:val="21"/>
          <w:szCs w:val="21"/>
          <w:spacing w:val="-15"/>
        </w:rPr>
        <w:t>21-</w:t>
      </w:r>
    </w:p>
    <w:p>
      <w:pPr>
        <w:ind w:left="2540"/>
        <w:spacing w:before="73" w:line="184" w:lineRule="auto"/>
        <w:rPr>
          <w:rFonts w:ascii="SimSun" w:hAnsi="SimSun" w:eastAsia="SimSun" w:cs="SimSun"/>
          <w:sz w:val="15"/>
          <w:szCs w:val="15"/>
        </w:rPr>
      </w:pPr>
      <w:r>
        <w:rPr>
          <w:rFonts w:ascii="SimSun" w:hAnsi="SimSun" w:eastAsia="SimSun" w:cs="SimSun"/>
          <w:sz w:val="15"/>
          <w:szCs w:val="15"/>
          <w:spacing w:val="-5"/>
        </w:rPr>
        <w:t>11</w:t>
      </w:r>
    </w:p>
    <w:p>
      <w:pPr>
        <w:ind w:left="2620"/>
        <w:spacing w:before="31" w:line="103" w:lineRule="exact"/>
        <w:rPr>
          <w:rFonts w:ascii="SimSun" w:hAnsi="SimSun" w:eastAsia="SimSun" w:cs="SimSun"/>
          <w:sz w:val="15"/>
          <w:szCs w:val="15"/>
        </w:rPr>
      </w:pPr>
      <w:r>
        <w:rPr>
          <w:rFonts w:ascii="SimSun" w:hAnsi="SimSun" w:eastAsia="SimSun" w:cs="SimSun"/>
          <w:sz w:val="15"/>
          <w:szCs w:val="15"/>
          <w:position w:val="-2"/>
        </w:rPr>
        <w:t>1</w:t>
      </w:r>
    </w:p>
    <w:p>
      <w:pPr>
        <w:pStyle w:val="BodyText"/>
        <w:spacing w:line="14" w:lineRule="auto"/>
        <w:rPr>
          <w:sz w:val="2"/>
        </w:rPr>
      </w:pPr>
      <w:r>
        <w:rPr>
          <w:sz w:val="2"/>
          <w:szCs w:val="2"/>
        </w:rPr>
        <w:br w:type="column"/>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59" w:lineRule="auto"/>
        <w:rPr/>
      </w:pPr>
      <w: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0" w:lineRule="auto"/>
        <w:rPr/>
      </w:pPr>
      <w:r/>
    </w:p>
    <w:p>
      <w:pPr>
        <w:pStyle w:val="BodyText"/>
        <w:spacing w:line="260" w:lineRule="auto"/>
        <w:rPr/>
      </w:pPr>
      <w:r/>
    </w:p>
    <w:p>
      <w:pPr>
        <w:spacing w:before="49" w:line="184" w:lineRule="auto"/>
        <w:rPr>
          <w:rFonts w:ascii="SimSun" w:hAnsi="SimSun" w:eastAsia="SimSun" w:cs="SimSun"/>
          <w:sz w:val="15"/>
          <w:szCs w:val="15"/>
        </w:rPr>
      </w:pPr>
      <w:r>
        <w:rPr>
          <w:rFonts w:ascii="SimSun" w:hAnsi="SimSun" w:eastAsia="SimSun" w:cs="SimSun"/>
          <w:sz w:val="15"/>
          <w:szCs w:val="15"/>
        </w:rPr>
        <w:t>1</w:t>
      </w:r>
    </w:p>
    <w:p>
      <w:pPr>
        <w:pStyle w:val="BodyText"/>
        <w:spacing w:line="14" w:lineRule="auto"/>
        <w:rPr>
          <w:sz w:val="2"/>
        </w:rPr>
      </w:pPr>
      <w:r>
        <w:rPr>
          <w:sz w:val="2"/>
          <w:szCs w:val="2"/>
        </w:rPr>
        <w:br w:type="column"/>
      </w:r>
    </w:p>
    <w:p>
      <w:pPr>
        <w:pStyle w:val="BodyText"/>
        <w:spacing w:line="298" w:lineRule="auto"/>
        <w:rPr/>
      </w:pPr>
      <w:r/>
    </w:p>
    <w:p>
      <w:pPr>
        <w:pStyle w:val="BodyText"/>
        <w:spacing w:line="298" w:lineRule="auto"/>
        <w:rPr/>
      </w:pPr>
      <w:r/>
    </w:p>
    <w:p>
      <w:pPr>
        <w:pStyle w:val="BodyText"/>
        <w:spacing w:line="299" w:lineRule="auto"/>
        <w:rPr/>
      </w:pPr>
      <w:r/>
    </w:p>
    <w:p>
      <w:pPr>
        <w:spacing w:before="68" w:line="183" w:lineRule="auto"/>
        <w:rPr>
          <w:rFonts w:ascii="SimSun" w:hAnsi="SimSun" w:eastAsia="SimSun" w:cs="SimSun"/>
          <w:sz w:val="21"/>
          <w:szCs w:val="21"/>
        </w:rPr>
      </w:pPr>
      <w:r>
        <w:rPr>
          <w:rFonts w:ascii="SimSun" w:hAnsi="SimSun" w:eastAsia="SimSun" w:cs="SimSun"/>
          <w:sz w:val="21"/>
          <w:szCs w:val="21"/>
          <w:spacing w:val="-4"/>
        </w:rPr>
        <w:t>56</w:t>
      </w:r>
    </w:p>
    <w:p>
      <w:pPr>
        <w:pStyle w:val="BodyText"/>
        <w:spacing w:line="245" w:lineRule="auto"/>
        <w:rPr/>
      </w:pPr>
      <w:r/>
    </w:p>
    <w:p>
      <w:pPr>
        <w:pStyle w:val="BodyText"/>
        <w:spacing w:line="246" w:lineRule="auto"/>
        <w:rPr/>
      </w:pPr>
      <w:r/>
    </w:p>
    <w:p>
      <w:pPr>
        <w:pStyle w:val="BodyText"/>
        <w:spacing w:line="246" w:lineRule="auto"/>
        <w:rPr/>
      </w:pPr>
      <w:r/>
    </w:p>
    <w:p>
      <w:pPr>
        <w:ind w:left="3479"/>
        <w:spacing w:before="69" w:line="184" w:lineRule="auto"/>
        <w:rPr>
          <w:rFonts w:ascii="SimSun" w:hAnsi="SimSun" w:eastAsia="SimSun" w:cs="SimSun"/>
          <w:sz w:val="21"/>
          <w:szCs w:val="21"/>
        </w:rPr>
      </w:pPr>
      <w:r>
        <w:rPr>
          <w:rFonts w:ascii="SimSun" w:hAnsi="SimSun" w:eastAsia="SimSun" w:cs="SimSun"/>
          <w:sz w:val="21"/>
          <w:szCs w:val="21"/>
          <w:spacing w:val="-6"/>
        </w:rPr>
        <w:t>17</w:t>
      </w:r>
    </w:p>
    <w:p>
      <w:pPr>
        <w:ind w:left="1769"/>
        <w:spacing w:before="172" w:line="183" w:lineRule="auto"/>
        <w:rPr>
          <w:rFonts w:ascii="SimSun" w:hAnsi="SimSun" w:eastAsia="SimSun" w:cs="SimSun"/>
          <w:sz w:val="21"/>
          <w:szCs w:val="21"/>
        </w:rPr>
      </w:pPr>
      <w:r>
        <w:rPr>
          <w:rFonts w:ascii="SimSun" w:hAnsi="SimSun" w:eastAsia="SimSun" w:cs="SimSun"/>
          <w:sz w:val="21"/>
          <w:szCs w:val="21"/>
        </w:rPr>
        <w:t>3</w:t>
      </w:r>
    </w:p>
    <w:p>
      <w:pPr>
        <w:spacing w:line="183" w:lineRule="auto"/>
        <w:sectPr>
          <w:type w:val="continuous"/>
          <w:pgSz w:w="11910" w:h="16840"/>
          <w:pgMar w:top="400" w:right="20" w:bottom="0" w:left="429" w:header="0" w:footer="0" w:gutter="0"/>
          <w:cols w:equalWidth="0" w:num="3">
            <w:col w:w="3571" w:space="100"/>
            <w:col w:w="1581" w:space="100"/>
            <w:col w:w="6110" w:space="0"/>
          </w:cols>
        </w:sectPr>
        <w:rPr>
          <w:rFonts w:ascii="SimSun" w:hAnsi="SimSun" w:eastAsia="SimSun" w:cs="SimSun"/>
          <w:sz w:val="21"/>
          <w:szCs w:val="21"/>
        </w:rPr>
      </w:pPr>
    </w:p>
    <w:p>
      <w:pPr>
        <w:spacing w:line="86" w:lineRule="auto"/>
        <w:rPr>
          <w:rFonts w:ascii="Arial"/>
          <w:sz w:val="2"/>
        </w:rPr>
      </w:pPr>
      <w:r>
        <w:rPr>
          <w:rFonts w:ascii="Arial"/>
          <w:sz w:val="2"/>
        </w:rPr>
      </w:r>
    </w:p>
    <w:tbl>
      <w:tblPr>
        <w:tblStyle w:val="TableNormal"/>
        <w:tblW w:w="7590" w:type="dxa"/>
        <w:tblInd w:w="221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54"/>
        <w:gridCol w:w="1737"/>
        <w:gridCol w:w="1738"/>
        <w:gridCol w:w="1728"/>
        <w:gridCol w:w="1733"/>
      </w:tblGrid>
      <w:tr>
        <w:trPr>
          <w:trHeight w:val="330" w:hRule="atLeast"/>
        </w:trPr>
        <w:tc>
          <w:tcPr>
            <w:tcW w:w="654" w:type="dxa"/>
            <w:vAlign w:val="top"/>
          </w:tcPr>
          <w:p>
            <w:pPr>
              <w:rPr>
                <w:rFonts w:ascii="Arial"/>
                <w:sz w:val="21"/>
              </w:rPr>
            </w:pPr>
            <w:r/>
          </w:p>
        </w:tc>
        <w:tc>
          <w:tcPr>
            <w:tcW w:w="1737" w:type="dxa"/>
            <w:vAlign w:val="top"/>
          </w:tcPr>
          <w:p>
            <w:pPr>
              <w:ind w:left="541"/>
              <w:spacing w:before="62" w:line="219" w:lineRule="auto"/>
              <w:rPr>
                <w:rFonts w:ascii="SimSun" w:hAnsi="SimSun" w:eastAsia="SimSun" w:cs="SimSun"/>
                <w:sz w:val="21"/>
                <w:szCs w:val="21"/>
              </w:rPr>
            </w:pPr>
            <w:r>
              <w:rPr>
                <w:rFonts w:ascii="SimSun" w:hAnsi="SimSun" w:eastAsia="SimSun" w:cs="SimSun"/>
                <w:sz w:val="21"/>
                <w:szCs w:val="21"/>
                <w:spacing w:val="-2"/>
              </w:rPr>
              <w:t>证监会</w:t>
            </w:r>
          </w:p>
        </w:tc>
        <w:tc>
          <w:tcPr>
            <w:tcW w:w="1738" w:type="dxa"/>
            <w:vAlign w:val="top"/>
          </w:tcPr>
          <w:p>
            <w:pPr>
              <w:ind w:left="543"/>
              <w:spacing w:before="64" w:line="221" w:lineRule="auto"/>
              <w:rPr>
                <w:rFonts w:ascii="SimSun" w:hAnsi="SimSun" w:eastAsia="SimSun" w:cs="SimSun"/>
                <w:sz w:val="21"/>
                <w:szCs w:val="21"/>
              </w:rPr>
            </w:pPr>
            <w:r>
              <w:rPr>
                <w:rFonts w:ascii="SimSun" w:hAnsi="SimSun" w:eastAsia="SimSun" w:cs="SimSun"/>
                <w:sz w:val="21"/>
                <w:szCs w:val="21"/>
                <w:spacing w:val="6"/>
              </w:rPr>
              <w:t>证监局</w:t>
            </w:r>
          </w:p>
        </w:tc>
        <w:tc>
          <w:tcPr>
            <w:tcW w:w="1728" w:type="dxa"/>
            <w:vAlign w:val="top"/>
          </w:tcPr>
          <w:p>
            <w:pPr>
              <w:ind w:left="546"/>
              <w:spacing w:before="64" w:line="220" w:lineRule="auto"/>
              <w:rPr>
                <w:rFonts w:ascii="SimSun" w:hAnsi="SimSun" w:eastAsia="SimSun" w:cs="SimSun"/>
                <w:sz w:val="21"/>
                <w:szCs w:val="21"/>
              </w:rPr>
            </w:pPr>
            <w:r>
              <w:rPr>
                <w:rFonts w:ascii="SimSun" w:hAnsi="SimSun" w:eastAsia="SimSun" w:cs="SimSun"/>
                <w:sz w:val="21"/>
                <w:szCs w:val="21"/>
                <w:spacing w:val="-3"/>
              </w:rPr>
              <w:t>上交所</w:t>
            </w:r>
          </w:p>
        </w:tc>
        <w:tc>
          <w:tcPr>
            <w:tcW w:w="1733" w:type="dxa"/>
            <w:vAlign w:val="top"/>
          </w:tcPr>
          <w:p>
            <w:pPr>
              <w:ind w:left="548"/>
              <w:spacing w:before="64" w:line="220" w:lineRule="auto"/>
              <w:rPr>
                <w:rFonts w:ascii="SimSun" w:hAnsi="SimSun" w:eastAsia="SimSun" w:cs="SimSun"/>
                <w:sz w:val="21"/>
                <w:szCs w:val="21"/>
              </w:rPr>
            </w:pPr>
            <w:r>
              <w:rPr>
                <w:rFonts w:ascii="SimSun" w:hAnsi="SimSun" w:eastAsia="SimSun" w:cs="SimSun"/>
                <w:sz w:val="21"/>
                <w:szCs w:val="21"/>
                <w:spacing w:val="-2"/>
              </w:rPr>
              <w:t>深交所</w:t>
            </w:r>
          </w:p>
        </w:tc>
      </w:tr>
      <w:tr>
        <w:trPr>
          <w:trHeight w:val="300" w:hRule="atLeast"/>
        </w:trPr>
        <w:tc>
          <w:tcPr>
            <w:tcW w:w="654" w:type="dxa"/>
            <w:vAlign w:val="top"/>
          </w:tcPr>
          <w:p>
            <w:pPr>
              <w:spacing w:before="49" w:line="211" w:lineRule="auto"/>
              <w:jc w:val="right"/>
              <w:rPr>
                <w:rFonts w:ascii="SimSun" w:hAnsi="SimSun" w:eastAsia="SimSun" w:cs="SimSun"/>
                <w:sz w:val="21"/>
                <w:szCs w:val="21"/>
              </w:rPr>
            </w:pPr>
            <w:r>
              <w:rPr>
                <w:rFonts w:ascii="SimSun" w:hAnsi="SimSun" w:eastAsia="SimSun" w:cs="SimSun"/>
                <w:sz w:val="21"/>
                <w:szCs w:val="21"/>
                <w:spacing w:val="-13"/>
              </w:rPr>
              <w:t>■</w:t>
            </w:r>
            <w:r>
              <w:rPr>
                <w:rFonts w:ascii="SimSun" w:hAnsi="SimSun" w:eastAsia="SimSun" w:cs="SimSun"/>
                <w:sz w:val="21"/>
                <w:szCs w:val="21"/>
                <w:b/>
                <w:bCs/>
                <w:spacing w:val="-13"/>
              </w:rPr>
              <w:t>份</w:t>
            </w:r>
            <w:r>
              <w:rPr>
                <w:rFonts w:ascii="SimSun" w:hAnsi="SimSun" w:eastAsia="SimSun" w:cs="SimSun"/>
                <w:sz w:val="21"/>
                <w:szCs w:val="21"/>
                <w:b/>
                <w:bCs/>
                <w:spacing w:val="-10"/>
              </w:rPr>
              <w:t>数</w:t>
            </w:r>
          </w:p>
        </w:tc>
        <w:tc>
          <w:tcPr>
            <w:tcW w:w="1737" w:type="dxa"/>
            <w:vAlign w:val="top"/>
          </w:tcPr>
          <w:p>
            <w:pPr>
              <w:ind w:left="801"/>
              <w:spacing w:before="106" w:line="161" w:lineRule="auto"/>
              <w:rPr>
                <w:rFonts w:ascii="SimSun" w:hAnsi="SimSun" w:eastAsia="SimSun" w:cs="SimSun"/>
                <w:sz w:val="21"/>
                <w:szCs w:val="21"/>
              </w:rPr>
            </w:pPr>
            <w:r>
              <w:rPr>
                <w:rFonts w:ascii="SimSun" w:hAnsi="SimSun" w:eastAsia="SimSun" w:cs="SimSun"/>
                <w:sz w:val="21"/>
                <w:szCs w:val="21"/>
              </w:rPr>
              <w:t>1</w:t>
            </w:r>
          </w:p>
        </w:tc>
        <w:tc>
          <w:tcPr>
            <w:tcW w:w="1738" w:type="dxa"/>
            <w:vAlign w:val="top"/>
          </w:tcPr>
          <w:p>
            <w:pPr>
              <w:ind w:left="754"/>
              <w:spacing w:before="108" w:line="160" w:lineRule="auto"/>
              <w:rPr>
                <w:rFonts w:ascii="SimSun" w:hAnsi="SimSun" w:eastAsia="SimSun" w:cs="SimSun"/>
                <w:sz w:val="21"/>
                <w:szCs w:val="21"/>
              </w:rPr>
            </w:pPr>
            <w:r>
              <w:rPr>
                <w:rFonts w:ascii="SimSun" w:hAnsi="SimSun" w:eastAsia="SimSun" w:cs="SimSun"/>
                <w:sz w:val="21"/>
                <w:szCs w:val="21"/>
                <w:spacing w:val="-4"/>
              </w:rPr>
              <w:t>56</w:t>
            </w:r>
          </w:p>
        </w:tc>
        <w:tc>
          <w:tcPr>
            <w:tcW w:w="1728" w:type="dxa"/>
            <w:vAlign w:val="top"/>
          </w:tcPr>
          <w:p>
            <w:pPr>
              <w:ind w:left="806"/>
              <w:spacing w:before="108" w:line="160" w:lineRule="auto"/>
              <w:rPr>
                <w:rFonts w:ascii="SimSun" w:hAnsi="SimSun" w:eastAsia="SimSun" w:cs="SimSun"/>
                <w:sz w:val="21"/>
                <w:szCs w:val="21"/>
              </w:rPr>
            </w:pPr>
            <w:r>
              <w:rPr>
                <w:rFonts w:ascii="SimSun" w:hAnsi="SimSun" w:eastAsia="SimSun" w:cs="SimSun"/>
                <w:sz w:val="21"/>
                <w:szCs w:val="21"/>
              </w:rPr>
              <w:t>3</w:t>
            </w:r>
          </w:p>
        </w:tc>
        <w:tc>
          <w:tcPr>
            <w:tcW w:w="1733" w:type="dxa"/>
            <w:vAlign w:val="top"/>
          </w:tcPr>
          <w:p>
            <w:pPr>
              <w:ind w:left="758"/>
              <w:spacing w:before="106" w:line="161" w:lineRule="auto"/>
              <w:rPr>
                <w:rFonts w:ascii="SimSun" w:hAnsi="SimSun" w:eastAsia="SimSun" w:cs="SimSun"/>
                <w:sz w:val="21"/>
                <w:szCs w:val="21"/>
              </w:rPr>
            </w:pPr>
            <w:r>
              <w:rPr>
                <w:rFonts w:ascii="SimSun" w:hAnsi="SimSun" w:eastAsia="SimSun" w:cs="SimSun"/>
                <w:sz w:val="21"/>
                <w:szCs w:val="21"/>
                <w:spacing w:val="-6"/>
              </w:rPr>
              <w:t>17</w:t>
            </w:r>
          </w:p>
        </w:tc>
      </w:tr>
    </w:tbl>
    <w:p>
      <w:pPr>
        <w:pStyle w:val="BodyText"/>
        <w:spacing w:line="263" w:lineRule="auto"/>
        <w:rPr/>
      </w:pPr>
      <w:r/>
    </w:p>
    <w:p>
      <w:pPr>
        <w:ind w:firstLine="1879"/>
        <w:spacing w:line="4610" w:lineRule="exact"/>
        <w:rPr/>
      </w:pPr>
      <w:r>
        <w:rPr>
          <w:position w:val="-92"/>
        </w:rPr>
        <w:drawing>
          <wp:inline distT="0" distB="0" distL="0" distR="0">
            <wp:extent cx="5156199" cy="2927317"/>
            <wp:effectExtent l="0" t="0" r="0" b="0"/>
            <wp:docPr id="12" name="IM 12"/>
            <wp:cNvGraphicFramePr/>
            <a:graphic>
              <a:graphicData uri="http://schemas.openxmlformats.org/drawingml/2006/picture">
                <pic:pic>
                  <pic:nvPicPr>
                    <pic:cNvPr id="12" name="IM 12"/>
                    <pic:cNvPicPr/>
                  </pic:nvPicPr>
                  <pic:blipFill>
                    <a:blip r:embed="rId9"/>
                    <a:stretch>
                      <a:fillRect/>
                    </a:stretch>
                  </pic:blipFill>
                  <pic:spPr>
                    <a:xfrm rot="0">
                      <a:off x="0" y="0"/>
                      <a:ext cx="5156199" cy="2927317"/>
                    </a:xfrm>
                    <a:prstGeom prst="rect">
                      <a:avLst/>
                    </a:prstGeom>
                  </pic:spPr>
                </pic:pic>
              </a:graphicData>
            </a:graphic>
          </wp:inline>
        </w:drawing>
      </w:r>
    </w:p>
    <w:p>
      <w:pPr>
        <w:spacing w:line="4610" w:lineRule="exact"/>
        <w:sectPr>
          <w:type w:val="continuous"/>
          <w:pgSz w:w="11910" w:h="16840"/>
          <w:pgMar w:top="400" w:right="20" w:bottom="0" w:left="429" w:header="0" w:footer="0" w:gutter="0"/>
          <w:cols w:equalWidth="0" w:num="1">
            <w:col w:w="11461" w:space="0"/>
          </w:cols>
        </w:sectPr>
        <w:rPr/>
      </w:pPr>
    </w:p>
    <w:p>
      <w:pPr>
        <w:ind w:firstLine="380"/>
        <w:spacing w:before="19" w:line="810" w:lineRule="exact"/>
        <w:rPr/>
      </w:pPr>
      <w:r>
        <w:rPr>
          <w:position w:val="-16"/>
        </w:rPr>
        <w:pict>
          <v:group id="_x0000_s12" style="mso-position-vertical-relative:line;mso-position-horizontal-relative:char;width:187pt;height:40.55pt;" filled="false" stroked="false" coordsize="3740,810" coordorigin="0,0">
            <v:shape id="_x0000_s14" style="position:absolute;left:0;top:0;width:3740;height:810;" filled="false" stroked="false" type="#_x0000_t75">
              <v:imagedata o:title="" r:id="rId10"/>
            </v:shape>
            <v:shape id="_x0000_s16" style="position:absolute;left:-20;top:-20;width:3780;height:850;" filled="false" stroked="false" type="#_x0000_t202">
              <v:fill on="false"/>
              <v:stroke on="false"/>
              <v:path/>
              <v:imagedata o:title=""/>
              <o:lock v:ext="edit" aspectratio="false"/>
              <v:textbox inset="0mm,0mm,0mm,0mm">
                <w:txbxContent>
                  <w:p>
                    <w:pPr>
                      <w:ind w:left="424"/>
                      <w:spacing w:before="245" w:line="222" w:lineRule="auto"/>
                      <w:rPr>
                        <w:rFonts w:ascii="SimHei" w:hAnsi="SimHei" w:eastAsia="SimHei" w:cs="SimHei"/>
                        <w:sz w:val="29"/>
                        <w:szCs w:val="29"/>
                      </w:rPr>
                    </w:pPr>
                    <w:r>
                      <w:rPr>
                        <w:rFonts w:ascii="SimHei" w:hAnsi="SimHei" w:eastAsia="SimHei" w:cs="SimHei"/>
                        <w:sz w:val="29"/>
                        <w:szCs w:val="29"/>
                        <w:b/>
                        <w:bCs/>
                        <w:color w:val="FFFFFF"/>
                        <w:spacing w:val="-15"/>
                      </w:rPr>
                      <w:t>证监会证监局监管动态</w:t>
                    </w:r>
                  </w:p>
                </w:txbxContent>
              </v:textbox>
            </v:shape>
          </v:group>
        </w:pict>
      </w:r>
    </w:p>
    <w:p>
      <w:pPr>
        <w:pStyle w:val="BodyText"/>
        <w:spacing w:line="330" w:lineRule="auto"/>
        <w:rPr/>
      </w:pPr>
      <w:r/>
    </w:p>
    <w:p>
      <w:pPr>
        <w:ind w:firstLine="470"/>
        <w:spacing w:before="75" w:line="259" w:lineRule="auto"/>
        <w:rPr>
          <w:rFonts w:ascii="SimHei" w:hAnsi="SimHei" w:eastAsia="SimHei" w:cs="SimHei"/>
          <w:sz w:val="23"/>
          <w:szCs w:val="23"/>
        </w:rPr>
      </w:pPr>
      <w:r>
        <w:rPr>
          <w:rFonts w:ascii="SimHei" w:hAnsi="SimHei" w:eastAsia="SimHei" w:cs="SimHei"/>
          <w:sz w:val="23"/>
          <w:szCs w:val="23"/>
          <w:spacing w:val="-3"/>
        </w:rPr>
        <w:t>2024年1月1日-1月7日，证监会对1个对象进行立案调查；证监</w:t>
      </w:r>
      <w:r>
        <w:rPr>
          <w:rFonts w:ascii="SimHei" w:hAnsi="SimHei" w:eastAsia="SimHei" w:cs="SimHei"/>
          <w:sz w:val="23"/>
          <w:szCs w:val="23"/>
          <w:spacing w:val="-4"/>
        </w:rPr>
        <w:t>局作出20份行政处罚及市场禁入决定书，2份</w:t>
      </w:r>
      <w:r>
        <w:rPr>
          <w:rFonts w:ascii="SimHei" w:hAnsi="SimHei" w:eastAsia="SimHei" w:cs="SimHei"/>
          <w:sz w:val="23"/>
          <w:szCs w:val="23"/>
        </w:rPr>
        <w:t xml:space="preserve"> </w:t>
      </w:r>
      <w:r>
        <w:rPr>
          <w:rFonts w:ascii="SimHei" w:hAnsi="SimHei" w:eastAsia="SimHei" w:cs="SimHei"/>
          <w:sz w:val="23"/>
          <w:szCs w:val="23"/>
          <w:spacing w:val="-10"/>
        </w:rPr>
        <w:t>行政处罚决定事先告知书，34份行政监管措</w:t>
      </w:r>
      <w:r>
        <w:rPr>
          <w:rFonts w:ascii="SimHei" w:hAnsi="SimHei" w:eastAsia="SimHei" w:cs="SimHei"/>
          <w:sz w:val="23"/>
          <w:szCs w:val="23"/>
          <w:spacing w:val="-11"/>
        </w:rPr>
        <w:t>施决定书。</w:t>
      </w:r>
    </w:p>
    <w:p>
      <w:pPr>
        <w:pStyle w:val="BodyText"/>
        <w:spacing w:line="315" w:lineRule="auto"/>
        <w:rPr/>
      </w:pPr>
      <w:r/>
    </w:p>
    <w:p>
      <w:pPr>
        <w:ind w:left="1093"/>
        <w:spacing w:before="74" w:line="222" w:lineRule="auto"/>
        <w:rPr>
          <w:rFonts w:ascii="SimHei" w:hAnsi="SimHei" w:eastAsia="SimHei" w:cs="SimHei"/>
          <w:sz w:val="23"/>
          <w:szCs w:val="23"/>
        </w:rPr>
      </w:pPr>
      <w:r>
        <w:rPr>
          <w:rFonts w:ascii="SimHei" w:hAnsi="SimHei" w:eastAsia="SimHei" w:cs="SimHei"/>
          <w:sz w:val="23"/>
          <w:szCs w:val="23"/>
          <w:b/>
          <w:bCs/>
          <w:spacing w:val="14"/>
        </w:rPr>
        <w:t>(1)行政处罚及市场禁入决定书</w:t>
      </w:r>
    </w:p>
    <w:p>
      <w:pPr>
        <w:spacing w:before="12"/>
        <w:rPr/>
      </w:pPr>
      <w:r/>
    </w:p>
    <w:tbl>
      <w:tblPr>
        <w:tblStyle w:val="TableNormal"/>
        <w:tblW w:w="8037" w:type="dxa"/>
        <w:tblInd w:w="148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194"/>
        <w:gridCol w:w="1358"/>
        <w:gridCol w:w="5485"/>
      </w:tblGrid>
      <w:tr>
        <w:trPr>
          <w:trHeight w:val="375" w:hRule="atLeast"/>
        </w:trPr>
        <w:tc>
          <w:tcPr>
            <w:shd w:val="clear" w:fill="4F81BD"/>
            <w:tcW w:w="2552" w:type="dxa"/>
            <w:vAlign w:val="top"/>
            <w:gridSpan w:val="2"/>
          </w:tcPr>
          <w:p>
            <w:pPr>
              <w:pStyle w:val="TableText"/>
              <w:ind w:left="187"/>
              <w:spacing w:before="109" w:line="207" w:lineRule="auto"/>
              <w:rPr/>
            </w:pPr>
            <w:r>
              <w:rPr>
                <w:b/>
                <w:bCs/>
                <w:color w:val="FFFFFF"/>
                <w:spacing w:val="-6"/>
                <w:position w:val="-1"/>
              </w:rPr>
              <w:t>公司代码</w:t>
            </w:r>
            <w:r>
              <w:rPr>
                <w:color w:val="FFFFFF"/>
                <w:spacing w:val="4"/>
                <w:position w:val="-1"/>
              </w:rPr>
              <w:t xml:space="preserve">    </w:t>
            </w:r>
            <w:r>
              <w:rPr>
                <w:b/>
                <w:bCs/>
                <w:color w:val="FFFFFF"/>
                <w:spacing w:val="-6"/>
                <w:position w:val="1"/>
              </w:rPr>
              <w:t>公司简称</w:t>
            </w:r>
          </w:p>
        </w:tc>
        <w:tc>
          <w:tcPr>
            <w:shd w:val="clear" w:fill="4F81BD"/>
            <w:tcW w:w="5485" w:type="dxa"/>
            <w:vAlign w:val="top"/>
          </w:tcPr>
          <w:p>
            <w:pPr>
              <w:pStyle w:val="TableText"/>
              <w:ind w:left="2316"/>
              <w:spacing w:before="81" w:line="220" w:lineRule="auto"/>
              <w:rPr/>
            </w:pPr>
            <w:r>
              <w:rPr>
                <w:b/>
                <w:bCs/>
                <w:color w:val="FFFFFF"/>
                <w:spacing w:val="-4"/>
              </w:rPr>
              <w:t>违规行为</w:t>
            </w:r>
          </w:p>
        </w:tc>
      </w:tr>
      <w:tr>
        <w:trPr>
          <w:trHeight w:val="380" w:hRule="atLeast"/>
        </w:trPr>
        <w:tc>
          <w:tcPr>
            <w:shd w:val="clear" w:fill="B8CCE4"/>
            <w:tcW w:w="1194" w:type="dxa"/>
            <w:vAlign w:val="top"/>
          </w:tcPr>
          <w:p>
            <w:pPr>
              <w:pStyle w:val="TableText"/>
              <w:ind w:left="275"/>
              <w:spacing w:before="142" w:line="183" w:lineRule="auto"/>
              <w:rPr/>
            </w:pPr>
            <w:r>
              <w:rPr>
                <w:spacing w:val="-2"/>
              </w:rPr>
              <w:t>688086</w:t>
            </w:r>
          </w:p>
        </w:tc>
        <w:tc>
          <w:tcPr>
            <w:shd w:val="clear" w:fill="B8CCE4"/>
            <w:tcW w:w="1358" w:type="dxa"/>
            <w:vAlign w:val="top"/>
          </w:tcPr>
          <w:p>
            <w:pPr>
              <w:pStyle w:val="TableText"/>
              <w:ind w:left="251"/>
              <w:spacing w:before="88" w:line="219" w:lineRule="auto"/>
              <w:rPr/>
            </w:pPr>
            <w:r>
              <w:rPr>
                <w:spacing w:val="4"/>
              </w:rPr>
              <w:t>退市紫晶</w:t>
            </w:r>
          </w:p>
        </w:tc>
        <w:tc>
          <w:tcPr>
            <w:shd w:val="clear" w:fill="B8CCE4"/>
            <w:tcW w:w="5485" w:type="dxa"/>
            <w:vAlign w:val="top"/>
          </w:tcPr>
          <w:p>
            <w:pPr>
              <w:pStyle w:val="TableText"/>
              <w:ind w:left="92"/>
              <w:spacing w:before="83" w:line="218" w:lineRule="auto"/>
              <w:rPr/>
            </w:pPr>
            <w:r>
              <w:rPr>
                <w:spacing w:val="-2"/>
              </w:rPr>
              <w:t>未在法定期限内披露公司</w:t>
            </w:r>
            <w:r>
              <w:rPr>
                <w:b/>
                <w:bCs/>
                <w:spacing w:val="-2"/>
              </w:rPr>
              <w:t>2022年年度报告。</w:t>
            </w:r>
          </w:p>
        </w:tc>
      </w:tr>
      <w:tr>
        <w:trPr>
          <w:trHeight w:val="1079" w:hRule="atLeast"/>
        </w:trPr>
        <w:tc>
          <w:tcPr>
            <w:tcW w:w="8037" w:type="dxa"/>
            <w:vAlign w:val="top"/>
            <w:gridSpan w:val="3"/>
          </w:tcPr>
          <w:p>
            <w:pPr>
              <w:pStyle w:val="TableText"/>
              <w:ind w:left="114" w:right="260" w:hanging="2"/>
              <w:spacing w:before="115" w:line="279" w:lineRule="auto"/>
              <w:jc w:val="both"/>
              <w:rPr/>
            </w:pPr>
            <w:r>
              <w:rPr>
                <w:b/>
                <w:bCs/>
                <w:spacing w:val="2"/>
              </w:rPr>
              <w:t>【行政处罚决定】</w:t>
            </w:r>
            <w:r>
              <w:rPr>
                <w:spacing w:val="2"/>
              </w:rPr>
              <w:t>广东证监局决定：对广东紫晶信息存储技术股份有限公司责令改</w:t>
            </w:r>
            <w:r>
              <w:rPr>
                <w:spacing w:val="3"/>
              </w:rPr>
              <w:t xml:space="preserve"> </w:t>
            </w:r>
            <w:r>
              <w:rPr/>
              <w:t>正，给予警告，并处以50万元罚款。对紫晶存储上述违法行为负有责任的人员另案 </w:t>
            </w:r>
            <w:r>
              <w:rPr>
                <w:spacing w:val="-2"/>
              </w:rPr>
              <w:t>处理。</w:t>
            </w:r>
          </w:p>
        </w:tc>
      </w:tr>
      <w:tr>
        <w:trPr>
          <w:trHeight w:val="380" w:hRule="atLeast"/>
        </w:trPr>
        <w:tc>
          <w:tcPr>
            <w:shd w:val="clear" w:fill="B8CCE4"/>
            <w:tcW w:w="1194" w:type="dxa"/>
            <w:vAlign w:val="top"/>
          </w:tcPr>
          <w:p>
            <w:pPr>
              <w:pStyle w:val="TableText"/>
              <w:ind w:left="275"/>
              <w:spacing w:before="142" w:line="184" w:lineRule="auto"/>
              <w:rPr/>
            </w:pPr>
            <w:r>
              <w:rPr>
                <w:spacing w:val="-2"/>
              </w:rPr>
              <w:t>600231</w:t>
            </w:r>
          </w:p>
        </w:tc>
        <w:tc>
          <w:tcPr>
            <w:shd w:val="clear" w:fill="B8CCE4"/>
            <w:tcW w:w="1358" w:type="dxa"/>
            <w:vAlign w:val="top"/>
          </w:tcPr>
          <w:p>
            <w:pPr>
              <w:pStyle w:val="TableText"/>
              <w:ind w:left="251"/>
              <w:spacing w:before="89" w:line="219" w:lineRule="auto"/>
              <w:rPr/>
            </w:pPr>
            <w:r>
              <w:rPr>
                <w:spacing w:val="-2"/>
              </w:rPr>
              <w:t>凌钢股份</w:t>
            </w:r>
          </w:p>
        </w:tc>
        <w:tc>
          <w:tcPr>
            <w:shd w:val="clear" w:fill="B8CCE4"/>
            <w:tcW w:w="5485" w:type="dxa"/>
            <w:vAlign w:val="top"/>
          </w:tcPr>
          <w:p>
            <w:pPr>
              <w:pStyle w:val="TableText"/>
              <w:ind w:left="95"/>
              <w:spacing w:before="85" w:line="219" w:lineRule="auto"/>
              <w:rPr/>
            </w:pPr>
            <w:r>
              <w:rPr>
                <w:b/>
                <w:bCs/>
                <w:spacing w:val="-1"/>
              </w:rPr>
              <w:t>出借证券账户</w:t>
            </w:r>
            <w:r>
              <w:rPr>
                <w:spacing w:val="-1"/>
              </w:rPr>
              <w:t>或借用他人证券账户从事证券交易。</w:t>
            </w:r>
          </w:p>
        </w:tc>
      </w:tr>
      <w:tr>
        <w:trPr>
          <w:trHeight w:val="739" w:hRule="atLeast"/>
        </w:trPr>
        <w:tc>
          <w:tcPr>
            <w:tcW w:w="8037" w:type="dxa"/>
            <w:vAlign w:val="top"/>
            <w:gridSpan w:val="3"/>
          </w:tcPr>
          <w:p>
            <w:pPr>
              <w:pStyle w:val="TableText"/>
              <w:ind w:left="114" w:right="29" w:hanging="2"/>
              <w:spacing w:before="97" w:line="266" w:lineRule="auto"/>
              <w:rPr/>
            </w:pPr>
            <w:r>
              <w:rPr>
                <w:b/>
                <w:bCs/>
                <w:spacing w:val="3"/>
              </w:rPr>
              <w:t>【行政处罚决定】</w:t>
            </w:r>
            <w:r>
              <w:rPr>
                <w:spacing w:val="3"/>
              </w:rPr>
              <w:t>中国证券监督管理委员会山西</w:t>
            </w:r>
            <w:r>
              <w:rPr>
                <w:spacing w:val="2"/>
              </w:rPr>
              <w:t>监管局决定：责令余某东改正，给予</w:t>
            </w:r>
            <w:r>
              <w:rPr/>
              <w:t xml:space="preserve"> </w:t>
            </w:r>
            <w:r>
              <w:rPr>
                <w:spacing w:val="-1"/>
              </w:rPr>
              <w:t>警告，并处以50,000元罚款。</w:t>
            </w:r>
          </w:p>
        </w:tc>
      </w:tr>
      <w:tr>
        <w:trPr>
          <w:trHeight w:val="1419" w:hRule="atLeast"/>
        </w:trPr>
        <w:tc>
          <w:tcPr>
            <w:shd w:val="clear" w:fill="B8CCE4"/>
            <w:tcW w:w="1194" w:type="dxa"/>
            <w:vAlign w:val="top"/>
          </w:tcPr>
          <w:p>
            <w:pPr>
              <w:spacing w:line="296" w:lineRule="auto"/>
              <w:rPr>
                <w:rFonts w:ascii="Arial"/>
                <w:sz w:val="21"/>
              </w:rPr>
            </w:pPr>
            <w:r/>
          </w:p>
          <w:p>
            <w:pPr>
              <w:spacing w:line="296" w:lineRule="auto"/>
              <w:rPr>
                <w:rFonts w:ascii="Arial"/>
                <w:sz w:val="21"/>
              </w:rPr>
            </w:pPr>
            <w:r/>
          </w:p>
          <w:p>
            <w:pPr>
              <w:pStyle w:val="TableText"/>
              <w:ind w:left="275"/>
              <w:spacing w:before="69" w:line="183" w:lineRule="auto"/>
              <w:rPr/>
            </w:pPr>
            <w:r>
              <w:rPr>
                <w:spacing w:val="-2"/>
              </w:rPr>
              <w:t>300367</w:t>
            </w:r>
          </w:p>
        </w:tc>
        <w:tc>
          <w:tcPr>
            <w:shd w:val="clear" w:fill="B8CCE4"/>
            <w:tcW w:w="1358" w:type="dxa"/>
            <w:vAlign w:val="top"/>
          </w:tcPr>
          <w:p>
            <w:pPr>
              <w:spacing w:line="269" w:lineRule="auto"/>
              <w:rPr>
                <w:rFonts w:ascii="Arial"/>
                <w:sz w:val="21"/>
              </w:rPr>
            </w:pPr>
            <w:r/>
          </w:p>
          <w:p>
            <w:pPr>
              <w:spacing w:line="270" w:lineRule="auto"/>
              <w:rPr>
                <w:rFonts w:ascii="Arial"/>
                <w:sz w:val="21"/>
              </w:rPr>
            </w:pPr>
            <w:r/>
          </w:p>
          <w:p>
            <w:pPr>
              <w:pStyle w:val="TableText"/>
              <w:ind w:left="350"/>
              <w:spacing w:before="68" w:line="219" w:lineRule="auto"/>
              <w:rPr/>
            </w:pPr>
            <w:r>
              <w:rPr>
                <w:spacing w:val="2"/>
              </w:rPr>
              <w:t>网力退</w:t>
            </w:r>
          </w:p>
        </w:tc>
        <w:tc>
          <w:tcPr>
            <w:shd w:val="clear" w:fill="B7CBE3"/>
            <w:tcW w:w="5485" w:type="dxa"/>
            <w:vAlign w:val="top"/>
          </w:tcPr>
          <w:p>
            <w:pPr>
              <w:pStyle w:val="TableText"/>
              <w:ind w:left="213"/>
              <w:spacing w:before="97" w:line="219" w:lineRule="auto"/>
              <w:rPr/>
            </w:pPr>
            <w:r>
              <w:rPr>
                <w:spacing w:val="-1"/>
              </w:rPr>
              <w:t>中天华茂在对东方网力</w:t>
            </w:r>
            <w:r>
              <w:rPr>
                <w:b/>
                <w:bCs/>
                <w:spacing w:val="-1"/>
              </w:rPr>
              <w:t>2020年年度财务报表审计过程中</w:t>
            </w:r>
          </w:p>
          <w:p>
            <w:pPr>
              <w:pStyle w:val="TableText"/>
              <w:ind w:left="81" w:hanging="69"/>
              <w:spacing w:before="123" w:line="275" w:lineRule="auto"/>
              <w:rPr/>
            </w:pPr>
            <w:r>
              <w:rPr/>
              <w:t>未勤勉尽责，未能保持职业怀疑，未能实施恰当的审计程序</w:t>
            </w:r>
            <w:r>
              <w:rPr>
                <w:spacing w:val="1"/>
              </w:rPr>
              <w:t xml:space="preserve"> </w:t>
            </w:r>
            <w:r>
              <w:rPr/>
              <w:t>并获取充分、适当的审计证据，出具的审计报告存在虚假</w:t>
            </w:r>
            <w:r>
              <w:rPr>
                <w:spacing w:val="8"/>
              </w:rPr>
              <w:t xml:space="preserve">  </w:t>
            </w:r>
            <w:r>
              <w:rPr>
                <w:spacing w:val="-2"/>
              </w:rPr>
              <w:t>记载。</w:t>
            </w:r>
          </w:p>
        </w:tc>
      </w:tr>
      <w:tr>
        <w:trPr>
          <w:trHeight w:val="2548" w:hRule="atLeast"/>
        </w:trPr>
        <w:tc>
          <w:tcPr>
            <w:tcW w:w="8037" w:type="dxa"/>
            <w:vAlign w:val="top"/>
            <w:gridSpan w:val="3"/>
          </w:tcPr>
          <w:p>
            <w:pPr>
              <w:pStyle w:val="TableText"/>
              <w:ind w:left="13"/>
              <w:spacing w:before="117" w:line="219" w:lineRule="auto"/>
              <w:rPr/>
            </w:pPr>
            <w:r>
              <w:rPr>
                <w:b/>
                <w:bCs/>
                <w:spacing w:val="3"/>
              </w:rPr>
              <w:t>【行政处罚决定】</w:t>
            </w:r>
            <w:r>
              <w:rPr>
                <w:spacing w:val="3"/>
              </w:rPr>
              <w:t>中国证券监督管理委员会北京监管局</w:t>
            </w:r>
            <w:r>
              <w:rPr>
                <w:spacing w:val="2"/>
              </w:rPr>
              <w:t>决定：</w:t>
            </w:r>
          </w:p>
          <w:p>
            <w:pPr>
              <w:pStyle w:val="TableText"/>
              <w:ind w:left="95" w:right="3" w:firstLine="129"/>
              <w:spacing w:before="114" w:line="290" w:lineRule="auto"/>
              <w:jc w:val="both"/>
              <w:rPr/>
            </w:pPr>
            <w:r>
              <w:rPr/>
              <w:t>(一)对北京中天华茂会计师事务所(普通合伙)责令改正，没收北京中天华茂会计师事</w:t>
            </w:r>
            <w:r>
              <w:rPr>
                <w:spacing w:val="8"/>
              </w:rPr>
              <w:t xml:space="preserve"> </w:t>
            </w:r>
            <w:r>
              <w:rPr>
                <w:spacing w:val="-1"/>
              </w:rPr>
              <w:t>务所(普通合伙)业务收入1,462,264.11元，处以7,311,320.55元的罚款，并暂停从</w:t>
            </w:r>
            <w:r>
              <w:rPr>
                <w:spacing w:val="-2"/>
              </w:rPr>
              <w:t>事证</w:t>
            </w:r>
            <w:r>
              <w:rPr/>
              <w:t xml:space="preserve"> </w:t>
            </w:r>
            <w:r>
              <w:rPr>
                <w:spacing w:val="7"/>
              </w:rPr>
              <w:t>券服务业务6个月</w:t>
            </w:r>
          </w:p>
          <w:p>
            <w:pPr>
              <w:pStyle w:val="TableText"/>
              <w:ind w:left="244"/>
              <w:spacing w:before="109" w:line="370" w:lineRule="exact"/>
              <w:rPr/>
            </w:pPr>
            <w:r>
              <w:rPr>
                <w:spacing w:val="3"/>
                <w:position w:val="12"/>
              </w:rPr>
              <w:t>(二)对注册会计师邱某星给予警告，并处以150万元的罚款；</w:t>
            </w:r>
          </w:p>
          <w:p>
            <w:pPr>
              <w:pStyle w:val="TableText"/>
              <w:ind w:left="254"/>
              <w:spacing w:before="1" w:line="217" w:lineRule="auto"/>
              <w:rPr/>
            </w:pPr>
            <w:r>
              <w:rPr>
                <w:spacing w:val="4"/>
              </w:rPr>
              <w:t>三)对注册会计师谢某丽给予警告，并处以1</w:t>
            </w:r>
            <w:r>
              <w:rPr>
                <w:spacing w:val="3"/>
              </w:rPr>
              <w:t>00万元的罚款；</w:t>
            </w:r>
          </w:p>
          <w:p>
            <w:pPr>
              <w:pStyle w:val="TableText"/>
              <w:ind w:left="244"/>
              <w:spacing w:before="81" w:line="218" w:lineRule="auto"/>
              <w:rPr/>
            </w:pPr>
            <w:r>
              <w:rPr/>
              <w:t>(四)对注册会计师杨某给予警告，并处以50</w:t>
            </w:r>
            <w:r>
              <w:rPr>
                <w:spacing w:val="-1"/>
              </w:rPr>
              <w:t>万元的罚款。</w:t>
            </w:r>
          </w:p>
        </w:tc>
      </w:tr>
      <w:tr>
        <w:trPr>
          <w:trHeight w:val="729" w:hRule="atLeast"/>
        </w:trPr>
        <w:tc>
          <w:tcPr>
            <w:shd w:val="clear" w:fill="B8CCE4"/>
            <w:tcW w:w="1194" w:type="dxa"/>
            <w:vAlign w:val="top"/>
          </w:tcPr>
          <w:p>
            <w:pPr>
              <w:spacing w:line="246" w:lineRule="auto"/>
              <w:rPr>
                <w:rFonts w:ascii="Arial"/>
                <w:sz w:val="21"/>
              </w:rPr>
            </w:pPr>
            <w:r/>
          </w:p>
          <w:p>
            <w:pPr>
              <w:pStyle w:val="TableText"/>
              <w:ind w:left="275"/>
              <w:spacing w:before="69" w:line="184" w:lineRule="auto"/>
              <w:rPr/>
            </w:pPr>
            <w:r>
              <w:rPr>
                <w:spacing w:val="-2"/>
              </w:rPr>
              <w:t>002313</w:t>
            </w:r>
          </w:p>
        </w:tc>
        <w:tc>
          <w:tcPr>
            <w:shd w:val="clear" w:fill="B8CCE4"/>
            <w:tcW w:w="1358" w:type="dxa"/>
            <w:vAlign w:val="top"/>
          </w:tcPr>
          <w:p>
            <w:pPr>
              <w:pStyle w:val="TableText"/>
              <w:ind w:left="251"/>
              <w:spacing w:before="264" w:line="221" w:lineRule="auto"/>
              <w:rPr/>
            </w:pPr>
            <w:r>
              <w:rPr>
                <w:spacing w:val="2"/>
              </w:rPr>
              <w:t>日海智能</w:t>
            </w:r>
          </w:p>
        </w:tc>
        <w:tc>
          <w:tcPr>
            <w:shd w:val="clear" w:fill="B7CBE3"/>
            <w:tcW w:w="5485" w:type="dxa"/>
            <w:vAlign w:val="top"/>
          </w:tcPr>
          <w:p>
            <w:pPr>
              <w:pStyle w:val="TableText"/>
              <w:ind w:left="112" w:right="323" w:firstLine="199"/>
              <w:spacing w:before="122" w:line="262" w:lineRule="auto"/>
              <w:rPr/>
            </w:pPr>
            <w:r>
              <w:rPr/>
              <w:t>日海智能2018年年度报告、2019年年度报告、2020年</w:t>
            </w:r>
            <w:r>
              <w:rPr>
                <w:spacing w:val="7"/>
              </w:rPr>
              <w:t xml:space="preserve"> </w:t>
            </w:r>
            <w:r>
              <w:rPr>
                <w:spacing w:val="-1"/>
              </w:rPr>
              <w:t>年度报告、2021年年度报告存在</w:t>
            </w:r>
            <w:r>
              <w:rPr>
                <w:b/>
                <w:bCs/>
                <w:spacing w:val="-1"/>
              </w:rPr>
              <w:t>虚假记载。</w:t>
            </w:r>
          </w:p>
        </w:tc>
      </w:tr>
      <w:tr>
        <w:trPr>
          <w:trHeight w:val="2888" w:hRule="atLeast"/>
        </w:trPr>
        <w:tc>
          <w:tcPr>
            <w:tcW w:w="8037" w:type="dxa"/>
            <w:vAlign w:val="top"/>
            <w:gridSpan w:val="3"/>
          </w:tcPr>
          <w:p>
            <w:pPr>
              <w:pStyle w:val="TableText"/>
              <w:ind w:left="122"/>
              <w:spacing w:before="120" w:line="219" w:lineRule="auto"/>
              <w:rPr/>
            </w:pPr>
            <w:r>
              <w:rPr>
                <w:b/>
                <w:bCs/>
                <w:spacing w:val="3"/>
              </w:rPr>
              <w:t>【行政处罚决定】</w:t>
            </w:r>
            <w:r>
              <w:rPr>
                <w:spacing w:val="3"/>
              </w:rPr>
              <w:t>中国证券监督管理委员会深圳监管局</w:t>
            </w:r>
            <w:r>
              <w:rPr>
                <w:spacing w:val="2"/>
              </w:rPr>
              <w:t>决定：</w:t>
            </w:r>
          </w:p>
          <w:p>
            <w:pPr>
              <w:pStyle w:val="TableText"/>
              <w:ind w:left="254"/>
              <w:spacing w:before="112" w:line="218" w:lineRule="auto"/>
              <w:rPr/>
            </w:pPr>
            <w:r>
              <w:rPr>
                <w:spacing w:val="3"/>
              </w:rPr>
              <w:t>(一)对日海智能科技股份有限公司责令改正，给予警告</w:t>
            </w:r>
            <w:r>
              <w:rPr>
                <w:spacing w:val="2"/>
              </w:rPr>
              <w:t>，并处以400万元罚款；</w:t>
            </w:r>
          </w:p>
          <w:p>
            <w:pPr>
              <w:pStyle w:val="TableText"/>
              <w:ind w:left="115" w:right="25" w:firstLine="99"/>
              <w:spacing w:before="92" w:line="269" w:lineRule="auto"/>
              <w:rPr/>
            </w:pPr>
            <w:r>
              <w:rPr/>
              <w:t>(二)对时任董事长，时任董事杨某翔、时任董事，时任总经理杨某给予警告，并分别</w:t>
            </w:r>
            <w:r>
              <w:rPr>
                <w:spacing w:val="16"/>
              </w:rPr>
              <w:t xml:space="preserve"> </w:t>
            </w:r>
            <w:r>
              <w:rPr>
                <w:spacing w:val="9"/>
              </w:rPr>
              <w:t>处以100万元罚款；</w:t>
            </w:r>
          </w:p>
          <w:p>
            <w:pPr>
              <w:pStyle w:val="TableText"/>
              <w:ind w:left="115"/>
              <w:spacing w:before="87" w:line="393" w:lineRule="exact"/>
              <w:rPr/>
            </w:pPr>
            <w:r>
              <w:rPr>
                <w:position w:val="13"/>
              </w:rPr>
              <w:t>(三)对时任董事长，时任总经理刘某、时任财务总监丁某给予警告，并分别处以80</w:t>
            </w:r>
          </w:p>
          <w:p>
            <w:pPr>
              <w:pStyle w:val="TableText"/>
              <w:ind w:left="115"/>
              <w:spacing w:line="220" w:lineRule="auto"/>
              <w:rPr/>
            </w:pPr>
            <w:r>
              <w:rPr>
                <w:spacing w:val="20"/>
              </w:rPr>
              <w:t>万元罚款；</w:t>
            </w:r>
          </w:p>
          <w:p>
            <w:pPr>
              <w:pStyle w:val="TableText"/>
              <w:ind w:left="115" w:right="223" w:firstLine="119"/>
              <w:spacing w:before="116" w:line="262" w:lineRule="auto"/>
              <w:rPr/>
            </w:pPr>
            <w:r>
              <w:rPr/>
              <w:t>(四)对时任财务总监马某峰、时任独董宋某亮、时任财务总监余某给予警告，并分</w:t>
            </w:r>
            <w:r>
              <w:rPr>
                <w:spacing w:val="7"/>
              </w:rPr>
              <w:t xml:space="preserve"> </w:t>
            </w:r>
            <w:r>
              <w:rPr>
                <w:spacing w:val="-1"/>
              </w:rPr>
              <w:t>别处以50万元罚款。</w:t>
            </w:r>
          </w:p>
        </w:tc>
      </w:tr>
      <w:tr>
        <w:trPr>
          <w:trHeight w:val="729" w:hRule="atLeast"/>
        </w:trPr>
        <w:tc>
          <w:tcPr>
            <w:shd w:val="clear" w:fill="B8CCE4"/>
            <w:tcW w:w="1194" w:type="dxa"/>
            <w:vAlign w:val="top"/>
          </w:tcPr>
          <w:p>
            <w:pPr>
              <w:spacing w:line="249" w:lineRule="auto"/>
              <w:rPr>
                <w:rFonts w:ascii="Arial"/>
                <w:sz w:val="21"/>
              </w:rPr>
            </w:pPr>
            <w:r/>
          </w:p>
          <w:p>
            <w:pPr>
              <w:pStyle w:val="TableText"/>
              <w:ind w:left="275"/>
              <w:spacing w:before="69" w:line="184" w:lineRule="auto"/>
              <w:rPr/>
            </w:pPr>
            <w:r>
              <w:rPr>
                <w:spacing w:val="-2"/>
              </w:rPr>
              <w:t>002193</w:t>
            </w:r>
          </w:p>
        </w:tc>
        <w:tc>
          <w:tcPr>
            <w:shd w:val="clear" w:fill="B8CCE4"/>
            <w:tcW w:w="1358" w:type="dxa"/>
            <w:vAlign w:val="top"/>
          </w:tcPr>
          <w:p>
            <w:pPr>
              <w:pStyle w:val="TableText"/>
              <w:ind w:left="251"/>
              <w:spacing w:before="266" w:line="219" w:lineRule="auto"/>
              <w:rPr/>
            </w:pPr>
            <w:r>
              <w:rPr>
                <w:spacing w:val="4"/>
              </w:rPr>
              <w:t>如意集团</w:t>
            </w:r>
          </w:p>
        </w:tc>
        <w:tc>
          <w:tcPr>
            <w:shd w:val="clear" w:fill="B7CBE3"/>
            <w:tcW w:w="5485" w:type="dxa"/>
            <w:vAlign w:val="top"/>
          </w:tcPr>
          <w:p>
            <w:pPr>
              <w:pStyle w:val="TableText"/>
              <w:ind w:left="105" w:right="230" w:firstLine="107"/>
              <w:spacing w:before="114" w:line="260" w:lineRule="auto"/>
              <w:rPr/>
            </w:pPr>
            <w:r>
              <w:rPr>
                <w:spacing w:val="-1"/>
              </w:rPr>
              <w:t>如意集团未及时和未在2019年半年度报告中披露</w:t>
            </w:r>
            <w:r>
              <w:rPr>
                <w:b/>
                <w:bCs/>
                <w:spacing w:val="-1"/>
              </w:rPr>
              <w:t>关联方</w:t>
            </w:r>
            <w:r>
              <w:rPr>
                <w:spacing w:val="9"/>
              </w:rPr>
              <w:t xml:space="preserve"> </w:t>
            </w:r>
            <w:r>
              <w:rPr>
                <w:b/>
                <w:bCs/>
                <w:spacing w:val="-4"/>
              </w:rPr>
              <w:t>资金占用。</w:t>
            </w:r>
          </w:p>
        </w:tc>
      </w:tr>
      <w:tr>
        <w:trPr>
          <w:trHeight w:val="1803" w:hRule="atLeast"/>
        </w:trPr>
        <w:tc>
          <w:tcPr>
            <w:tcW w:w="8037" w:type="dxa"/>
            <w:vAlign w:val="top"/>
            <w:gridSpan w:val="3"/>
          </w:tcPr>
          <w:p>
            <w:pPr>
              <w:pStyle w:val="TableText"/>
              <w:ind w:left="13"/>
              <w:spacing w:before="94" w:line="361" w:lineRule="exact"/>
              <w:rPr/>
            </w:pPr>
            <w:r>
              <w:rPr>
                <w:b/>
                <w:bCs/>
                <w:spacing w:val="3"/>
                <w:position w:val="11"/>
              </w:rPr>
              <w:t>【行政处罚决定】</w:t>
            </w:r>
            <w:r>
              <w:rPr>
                <w:spacing w:val="3"/>
                <w:position w:val="11"/>
              </w:rPr>
              <w:t>中国证券监督管理委员会山东监管局</w:t>
            </w:r>
            <w:r>
              <w:rPr>
                <w:spacing w:val="2"/>
                <w:position w:val="11"/>
              </w:rPr>
              <w:t>决定：</w:t>
            </w:r>
          </w:p>
          <w:p>
            <w:pPr>
              <w:pStyle w:val="TableText"/>
              <w:ind w:left="115"/>
              <w:spacing w:before="1" w:line="217" w:lineRule="auto"/>
              <w:rPr/>
            </w:pPr>
            <w:r>
              <w:rPr/>
              <w:t>(一)对如意集团责令改正，给予警告，并处以200万元罚款。</w:t>
            </w:r>
          </w:p>
          <w:p>
            <w:pPr>
              <w:pStyle w:val="TableText"/>
              <w:ind w:left="95"/>
              <w:spacing w:before="112" w:line="218" w:lineRule="auto"/>
              <w:rPr/>
            </w:pPr>
            <w:r>
              <w:rPr/>
              <w:t>(二)对董事长，实际控制人邱某夫给予警告，并处以350万元罚款。其中作为直接负责</w:t>
            </w:r>
          </w:p>
          <w:p>
            <w:pPr>
              <w:pStyle w:val="TableText"/>
              <w:ind w:left="115"/>
              <w:spacing w:before="133" w:line="329" w:lineRule="exact"/>
              <w:rPr/>
            </w:pPr>
            <w:r>
              <w:rPr>
                <w:position w:val="8"/>
              </w:rPr>
              <w:t>的主管人员罚款150万元，作为实际控制人罚款</w:t>
            </w:r>
            <w:r>
              <w:rPr>
                <w:spacing w:val="-1"/>
                <w:position w:val="8"/>
              </w:rPr>
              <w:t>200万元。</w:t>
            </w:r>
          </w:p>
          <w:p>
            <w:pPr>
              <w:pStyle w:val="TableText"/>
              <w:ind w:left="115"/>
              <w:spacing w:before="1" w:line="217" w:lineRule="auto"/>
              <w:rPr/>
            </w:pPr>
            <w:r>
              <w:rPr/>
              <w:t>(三)对时任高管张某英给予警告，并处以9</w:t>
            </w:r>
            <w:r>
              <w:rPr>
                <w:spacing w:val="-1"/>
              </w:rPr>
              <w:t>0万元罚款。</w:t>
            </w:r>
          </w:p>
        </w:tc>
      </w:tr>
    </w:tbl>
    <w:p>
      <w:pPr>
        <w:pStyle w:val="BodyText"/>
        <w:rPr/>
      </w:pPr>
      <w:r/>
    </w:p>
    <w:p>
      <w:pPr>
        <w:sectPr>
          <w:pgSz w:w="11910" w:h="16840"/>
          <w:pgMar w:top="400" w:right="492" w:bottom="0" w:left="429" w:header="0" w:footer="0" w:gutter="0"/>
        </w:sectPr>
        <w:rPr/>
      </w:pPr>
    </w:p>
    <w:tbl>
      <w:tblPr>
        <w:tblStyle w:val="TableNormal"/>
        <w:tblW w:w="8053"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2904" w:hRule="atLeast"/>
        </w:trPr>
        <w:tc>
          <w:tcPr>
            <w:tcW w:w="8053" w:type="dxa"/>
            <w:vAlign w:val="top"/>
            <w:gridSpan w:val="3"/>
            <w:tcBorders>
              <w:top w:val="single" w:color="4F81BD" w:sz="2" w:space="0"/>
            </w:tcBorders>
          </w:tcPr>
          <w:p>
            <w:pPr>
              <w:ind w:left="118"/>
              <w:spacing w:before="63"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(四)对时任总经理杜某姝给予警告</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6"/>
              </w:rPr>
              <w:t>，并处以 80 万元罚款。</w:t>
            </w:r>
          </w:p>
          <w:p>
            <w:pPr>
              <w:ind w:left="105" w:right="104" w:hanging="1"/>
              <w:spacing w:before="32"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依据《证券法》第一百九十七条第二款的规定</w:t>
            </w:r>
            <w:r>
              <w:rPr>
                <w:rFonts w:ascii="Microsoft YaHei" w:hAnsi="Microsoft YaHei" w:eastAsia="Microsoft YaHei" w:cs="Microsoft YaHei"/>
                <w:sz w:val="20"/>
                <w:szCs w:val="20"/>
                <w:spacing w:val="-24"/>
              </w:rPr>
              <w:t xml:space="preserve"> </w:t>
            </w:r>
            <w:r>
              <w:rPr>
                <w:rFonts w:ascii="Microsoft YaHei" w:hAnsi="Microsoft YaHei" w:eastAsia="Microsoft YaHei" w:cs="Microsoft YaHei"/>
                <w:sz w:val="20"/>
                <w:szCs w:val="20"/>
                <w:spacing w:val="10"/>
              </w:rPr>
              <w:t>，</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10"/>
              </w:rPr>
              <w:t>中国证券监督管理委员会山</w:t>
            </w:r>
            <w:r>
              <w:rPr>
                <w:rFonts w:ascii="Microsoft YaHei" w:hAnsi="Microsoft YaHei" w:eastAsia="Microsoft YaHei" w:cs="Microsoft YaHei"/>
                <w:sz w:val="20"/>
                <w:szCs w:val="20"/>
                <w:spacing w:val="9"/>
              </w:rPr>
              <w:t>东监管局</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决定：</w:t>
            </w:r>
          </w:p>
          <w:p>
            <w:pPr>
              <w:ind w:left="118"/>
              <w:spacing w:before="50"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(一)对董事苏某给予警告</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5"/>
              </w:rPr>
              <w:t>，并处以 65 万元罚款。</w:t>
            </w:r>
          </w:p>
          <w:p>
            <w:pPr>
              <w:ind w:left="11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(二)对董事会秘书徐某瑞给予警告</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6"/>
              </w:rPr>
              <w:t>，并处以 60 万元罚款。</w:t>
            </w:r>
          </w:p>
          <w:p>
            <w:pPr>
              <w:ind w:left="118"/>
              <w:spacing w:before="33"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(三)对独立董事黄某群、李某新给予警告</w:t>
            </w:r>
            <w:r>
              <w:rPr>
                <w:rFonts w:ascii="Microsoft YaHei" w:hAnsi="Microsoft YaHei" w:eastAsia="Microsoft YaHei" w:cs="Microsoft YaHei"/>
                <w:sz w:val="20"/>
                <w:szCs w:val="20"/>
                <w:spacing w:val="-8"/>
              </w:rPr>
              <w:t xml:space="preserve"> </w:t>
            </w:r>
            <w:r>
              <w:rPr>
                <w:rFonts w:ascii="Microsoft YaHei" w:hAnsi="Microsoft YaHei" w:eastAsia="Microsoft YaHei" w:cs="Microsoft YaHei"/>
                <w:sz w:val="20"/>
                <w:szCs w:val="20"/>
                <w:spacing w:val="6"/>
              </w:rPr>
              <w:t>，并分别处以 55 万元罚款。</w:t>
            </w:r>
          </w:p>
          <w:p>
            <w:pPr>
              <w:ind w:left="107" w:right="104" w:firstLine="10"/>
              <w:spacing w:before="32"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2"/>
              </w:rPr>
              <w:t>(四)对监事李某宝、</w:t>
            </w:r>
            <w:r>
              <w:rPr>
                <w:rFonts w:ascii="Microsoft YaHei" w:hAnsi="Microsoft YaHei" w:eastAsia="Microsoft YaHei" w:cs="Microsoft YaHei"/>
                <w:sz w:val="20"/>
                <w:szCs w:val="20"/>
                <w:spacing w:val="-35"/>
              </w:rPr>
              <w:t xml:space="preserve"> </w:t>
            </w:r>
            <w:r>
              <w:rPr>
                <w:rFonts w:ascii="Microsoft YaHei" w:hAnsi="Microsoft YaHei" w:eastAsia="Microsoft YaHei" w:cs="Microsoft YaHei"/>
                <w:sz w:val="20"/>
                <w:szCs w:val="20"/>
                <w:spacing w:val="12"/>
              </w:rPr>
              <w:t>时任监事杨某、高管胡某华、高管王某林、独立董事卢某然给予</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警告</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4"/>
              </w:rPr>
              <w:t>，并分别处以 50 万元罚款。</w:t>
            </w:r>
          </w:p>
        </w:tc>
      </w:tr>
      <w:tr>
        <w:trPr>
          <w:trHeight w:val="724" w:hRule="atLeast"/>
        </w:trPr>
        <w:tc>
          <w:tcPr>
            <w:shd w:val="clear" w:fill="B8CCE4"/>
            <w:tcW w:w="1214" w:type="dxa"/>
            <w:vAlign w:val="top"/>
          </w:tcPr>
          <w:p>
            <w:pPr>
              <w:ind w:left="236"/>
              <w:spacing w:before="277"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002504</w:t>
            </w:r>
          </w:p>
        </w:tc>
        <w:tc>
          <w:tcPr>
            <w:shd w:val="clear" w:fill="B8CCE4"/>
            <w:tcW w:w="1343" w:type="dxa"/>
            <w:vAlign w:val="top"/>
          </w:tcPr>
          <w:p>
            <w:pPr>
              <w:ind w:left="262"/>
              <w:spacing w:before="261"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w:t>
            </w: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4"/>
              </w:rPr>
              <w:t xml:space="preserve"> 弘高</w:t>
            </w:r>
          </w:p>
        </w:tc>
        <w:tc>
          <w:tcPr>
            <w:shd w:val="clear" w:fill="B8CCE4"/>
            <w:tcW w:w="5496" w:type="dxa"/>
            <w:vAlign w:val="top"/>
          </w:tcPr>
          <w:p>
            <w:pPr>
              <w:ind w:left="108" w:right="149"/>
              <w:spacing w:before="81"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
              </w:rPr>
              <w:t>2015</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1"/>
              </w:rPr>
              <w:t>年</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
              </w:rPr>
              <w:t>、 2016</w:t>
            </w:r>
            <w:r>
              <w:rPr>
                <w:rFonts w:ascii="Microsoft YaHei" w:hAnsi="Microsoft YaHei" w:eastAsia="Microsoft YaHei" w:cs="Microsoft YaHei"/>
                <w:sz w:val="20"/>
                <w:szCs w:val="20"/>
                <w:spacing w:val="33"/>
                <w:w w:val="101"/>
              </w:rPr>
              <w:t xml:space="preserve"> </w:t>
            </w:r>
            <w:r>
              <w:rPr>
                <w:rFonts w:ascii="Microsoft YaHei" w:hAnsi="Microsoft YaHei" w:eastAsia="Microsoft YaHei" w:cs="Microsoft YaHei"/>
                <w:sz w:val="20"/>
                <w:szCs w:val="20"/>
                <w:spacing w:val="-1"/>
              </w:rPr>
              <w:t>年</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
              </w:rPr>
              <w:t>、 2017</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1"/>
              </w:rPr>
              <w:t>年</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
              </w:rPr>
              <w:t>、 2018</w:t>
            </w:r>
            <w:r>
              <w:rPr>
                <w:rFonts w:ascii="Microsoft YaHei" w:hAnsi="Microsoft YaHei" w:eastAsia="Microsoft YaHei" w:cs="Microsoft YaHei"/>
                <w:sz w:val="20"/>
                <w:szCs w:val="20"/>
                <w:spacing w:val="31"/>
              </w:rPr>
              <w:t xml:space="preserve"> </w:t>
            </w:r>
            <w:r>
              <w:rPr>
                <w:rFonts w:ascii="Microsoft YaHei" w:hAnsi="Microsoft YaHei" w:eastAsia="Microsoft YaHei" w:cs="Microsoft YaHei"/>
                <w:sz w:val="20"/>
                <w:szCs w:val="20"/>
                <w:spacing w:val="-1"/>
              </w:rPr>
              <w:t>年</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
              </w:rPr>
              <w:t>、 </w:t>
            </w:r>
            <w:r>
              <w:rPr>
                <w:rFonts w:ascii="Microsoft YaHei" w:hAnsi="Microsoft YaHei" w:eastAsia="Microsoft YaHei" w:cs="Microsoft YaHei"/>
                <w:sz w:val="20"/>
                <w:szCs w:val="20"/>
                <w:spacing w:val="-2"/>
              </w:rPr>
              <w:t>2019</w:t>
            </w:r>
            <w:r>
              <w:rPr>
                <w:rFonts w:ascii="Microsoft YaHei" w:hAnsi="Microsoft YaHei" w:eastAsia="Microsoft YaHei" w:cs="Microsoft YaHei"/>
                <w:sz w:val="20"/>
                <w:szCs w:val="20"/>
                <w:spacing w:val="31"/>
                <w:w w:val="101"/>
              </w:rPr>
              <w:t xml:space="preserve"> </w:t>
            </w:r>
            <w:r>
              <w:rPr>
                <w:rFonts w:ascii="Microsoft YaHei" w:hAnsi="Microsoft YaHei" w:eastAsia="Microsoft YaHei" w:cs="Microsoft YaHei"/>
                <w:sz w:val="20"/>
                <w:szCs w:val="20"/>
                <w:spacing w:val="-2"/>
              </w:rPr>
              <w:t>年</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2"/>
              </w:rPr>
              <w:t>、</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2020 年、</w:t>
            </w:r>
            <w:r>
              <w:rPr>
                <w:rFonts w:ascii="Microsoft YaHei" w:hAnsi="Microsoft YaHei" w:eastAsia="Microsoft YaHei" w:cs="Microsoft YaHei"/>
                <w:sz w:val="20"/>
                <w:szCs w:val="20"/>
                <w:spacing w:val="-21"/>
              </w:rPr>
              <w:t xml:space="preserve"> </w:t>
            </w:r>
            <w:r>
              <w:rPr>
                <w:rFonts w:ascii="Microsoft YaHei" w:hAnsi="Microsoft YaHei" w:eastAsia="Microsoft YaHei" w:cs="Microsoft YaHei"/>
                <w:sz w:val="20"/>
                <w:szCs w:val="20"/>
                <w:spacing w:val="4"/>
              </w:rPr>
              <w:t>2021 年、</w:t>
            </w:r>
            <w:r>
              <w:rPr>
                <w:rFonts w:ascii="Microsoft YaHei" w:hAnsi="Microsoft YaHei" w:eastAsia="Microsoft YaHei" w:cs="Microsoft YaHei"/>
                <w:sz w:val="20"/>
                <w:szCs w:val="20"/>
                <w:spacing w:val="-37"/>
              </w:rPr>
              <w:t xml:space="preserve"> </w:t>
            </w:r>
            <w:r>
              <w:rPr>
                <w:rFonts w:ascii="Microsoft YaHei" w:hAnsi="Microsoft YaHei" w:eastAsia="Microsoft YaHei" w:cs="Microsoft YaHei"/>
                <w:sz w:val="20"/>
                <w:szCs w:val="20"/>
                <w:spacing w:val="4"/>
              </w:rPr>
              <w:t>2022 年年度报告存在</w:t>
            </w:r>
            <w:r>
              <w:rPr>
                <w:rFonts w:ascii="Microsoft YaHei" w:hAnsi="Microsoft YaHei" w:eastAsia="Microsoft YaHei" w:cs="Microsoft YaHei"/>
                <w:sz w:val="20"/>
                <w:szCs w:val="20"/>
                <w:b/>
                <w:bCs/>
                <w:spacing w:val="4"/>
              </w:rPr>
              <w:t>虚假记载</w:t>
            </w:r>
            <w:r>
              <w:rPr>
                <w:rFonts w:ascii="Microsoft YaHei" w:hAnsi="Microsoft YaHei" w:eastAsia="Microsoft YaHei" w:cs="Microsoft YaHei"/>
                <w:sz w:val="20"/>
                <w:szCs w:val="20"/>
                <w:spacing w:val="4"/>
              </w:rPr>
              <w:t>。</w:t>
            </w:r>
          </w:p>
        </w:tc>
      </w:tr>
      <w:tr>
        <w:trPr>
          <w:trHeight w:val="4324" w:hRule="atLeast"/>
        </w:trPr>
        <w:tc>
          <w:tcPr>
            <w:tcW w:w="8053" w:type="dxa"/>
            <w:vAlign w:val="top"/>
            <w:gridSpan w:val="3"/>
          </w:tcPr>
          <w:p>
            <w:pPr>
              <w:ind w:left="122"/>
              <w:spacing w:before="42"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8"/>
              </w:rPr>
              <w:t>【行政处罚决定】</w:t>
            </w:r>
            <w:r>
              <w:rPr>
                <w:rFonts w:ascii="Microsoft YaHei" w:hAnsi="Microsoft YaHei" w:eastAsia="Microsoft YaHei" w:cs="Microsoft YaHei"/>
                <w:sz w:val="20"/>
                <w:szCs w:val="20"/>
                <w:spacing w:val="8"/>
              </w:rPr>
              <w:t>中国证监会北京监管局决定：</w:t>
            </w:r>
          </w:p>
          <w:p>
            <w:pPr>
              <w:ind w:left="114" w:right="101" w:firstLine="24"/>
              <w:spacing w:before="2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（一）对北京弘高创意建筑设计股份有限公司责令改正</w:t>
            </w:r>
            <w:r>
              <w:rPr>
                <w:rFonts w:ascii="Microsoft YaHei" w:hAnsi="Microsoft YaHei" w:eastAsia="Microsoft YaHei" w:cs="Microsoft YaHei"/>
                <w:sz w:val="20"/>
                <w:szCs w:val="20"/>
                <w:spacing w:val="-7"/>
              </w:rPr>
              <w:t xml:space="preserve"> </w:t>
            </w:r>
            <w:r>
              <w:rPr>
                <w:rFonts w:ascii="Microsoft YaHei" w:hAnsi="Microsoft YaHei" w:eastAsia="Microsoft YaHei" w:cs="Microsoft YaHei"/>
                <w:sz w:val="20"/>
                <w:szCs w:val="20"/>
                <w:spacing w:val="6"/>
              </w:rPr>
              <w:t>，给予警告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6"/>
              </w:rPr>
              <w:t>，并处以 500 万元</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的罚款；</w:t>
            </w:r>
          </w:p>
          <w:p>
            <w:pPr>
              <w:ind w:left="138" w:right="946"/>
              <w:spacing w:before="51" w:line="244" w:lineRule="auto"/>
              <w:tabs>
                <w:tab w:val="left" w:pos="7090"/>
              </w:tabs>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（二）对实际控制人,时任董事长何某给予警告</w:t>
            </w:r>
            <w:r>
              <w:rPr>
                <w:rFonts w:ascii="Microsoft YaHei" w:hAnsi="Microsoft YaHei" w:eastAsia="Microsoft YaHei" w:cs="Microsoft YaHei"/>
                <w:sz w:val="20"/>
                <w:szCs w:val="20"/>
                <w:spacing w:val="-15"/>
              </w:rPr>
              <w:t xml:space="preserve"> </w:t>
            </w:r>
            <w:r>
              <w:rPr>
                <w:rFonts w:ascii="Microsoft YaHei" w:hAnsi="Microsoft YaHei" w:eastAsia="Microsoft YaHei" w:cs="Microsoft YaHei"/>
                <w:sz w:val="20"/>
                <w:szCs w:val="20"/>
                <w:spacing w:val="5"/>
              </w:rPr>
              <w:t>，并处以 300 万元的罚款；</w:t>
            </w:r>
            <w:r>
              <w:rPr>
                <w:rFonts w:ascii="Microsoft YaHei" w:hAnsi="Microsoft YaHei" w:eastAsia="Microsoft YaHei" w:cs="Microsoft YaHei"/>
                <w:sz w:val="20"/>
                <w:szCs w:val="20"/>
              </w:rPr>
              <w:tab/>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5"/>
              </w:rPr>
              <w:t>（三）对实际控制人,时任总经理甄某涛给予警告</w:t>
            </w:r>
            <w:r>
              <w:rPr>
                <w:rFonts w:ascii="Microsoft YaHei" w:hAnsi="Microsoft YaHei" w:eastAsia="Microsoft YaHei" w:cs="Microsoft YaHei"/>
                <w:sz w:val="20"/>
                <w:szCs w:val="20"/>
                <w:spacing w:val="-12"/>
              </w:rPr>
              <w:t xml:space="preserve"> </w:t>
            </w:r>
            <w:r>
              <w:rPr>
                <w:rFonts w:ascii="Microsoft YaHei" w:hAnsi="Microsoft YaHei" w:eastAsia="Microsoft YaHei" w:cs="Microsoft YaHei"/>
                <w:sz w:val="20"/>
                <w:szCs w:val="20"/>
                <w:spacing w:val="5"/>
              </w:rPr>
              <w:t>，并处以 300 万元的罚款；</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（四）对时任高管,时任董事孙某新给予警告</w:t>
            </w:r>
            <w:r>
              <w:rPr>
                <w:rFonts w:ascii="Microsoft YaHei" w:hAnsi="Microsoft YaHei" w:eastAsia="Microsoft YaHei" w:cs="Microsoft YaHei"/>
                <w:sz w:val="20"/>
                <w:szCs w:val="20"/>
                <w:spacing w:val="-22"/>
              </w:rPr>
              <w:t xml:space="preserve"> </w:t>
            </w:r>
            <w:r>
              <w:rPr>
                <w:rFonts w:ascii="Microsoft YaHei" w:hAnsi="Microsoft YaHei" w:eastAsia="Microsoft YaHei" w:cs="Microsoft YaHei"/>
                <w:sz w:val="20"/>
                <w:szCs w:val="20"/>
                <w:spacing w:val="6"/>
              </w:rPr>
              <w:t>，并处以 120 万元的罚款；</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（五）对时任高管荆某给予警告</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5"/>
              </w:rPr>
              <w:t>，并处以</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5"/>
              </w:rPr>
              <w:t>100 万元的罚款；</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（六）对时任高管杨某微给予警告</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6"/>
              </w:rPr>
              <w:t>，并处以 100 </w:t>
            </w:r>
            <w:r>
              <w:rPr>
                <w:rFonts w:ascii="Microsoft YaHei" w:hAnsi="Microsoft YaHei" w:eastAsia="Microsoft YaHei" w:cs="Microsoft YaHei"/>
                <w:sz w:val="20"/>
                <w:szCs w:val="20"/>
                <w:spacing w:val="5"/>
              </w:rPr>
              <w:t>万元的罚款；</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（七）对时任财务总监张某宇给予警告</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6"/>
              </w:rPr>
              <w:t>，并处以 70 万元的罚款。</w:t>
            </w:r>
          </w:p>
          <w:p>
            <w:pPr>
              <w:ind w:left="104" w:right="104" w:firstLine="1"/>
              <w:spacing w:before="31"/>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根据当事人违法行为的事实、性质、情节与社会危害程度</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10"/>
              </w:rPr>
              <w:t>，依据 2005 年《证券法》</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第一百九十三条第一款的规定</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9"/>
              </w:rPr>
              <w:t>，</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9"/>
              </w:rPr>
              <w:t>中国证监会北京监管局决定</w:t>
            </w:r>
            <w:r>
              <w:rPr>
                <w:rFonts w:ascii="Microsoft YaHei" w:hAnsi="Microsoft YaHei" w:eastAsia="Microsoft YaHei" w:cs="Microsoft YaHei"/>
                <w:sz w:val="20"/>
                <w:szCs w:val="20"/>
                <w:spacing w:val="-17"/>
              </w:rPr>
              <w:t xml:space="preserve"> </w:t>
            </w:r>
            <w:r>
              <w:rPr>
                <w:rFonts w:ascii="Microsoft YaHei" w:hAnsi="Microsoft YaHei" w:eastAsia="Microsoft YaHei" w:cs="Microsoft YaHei"/>
                <w:sz w:val="20"/>
                <w:szCs w:val="20"/>
                <w:spacing w:val="9"/>
              </w:rPr>
              <w:t>：对时任财</w:t>
            </w:r>
            <w:r>
              <w:rPr>
                <w:rFonts w:ascii="Microsoft YaHei" w:hAnsi="Microsoft YaHei" w:eastAsia="Microsoft YaHei" w:cs="Microsoft YaHei"/>
                <w:sz w:val="20"/>
                <w:szCs w:val="20"/>
                <w:spacing w:val="8"/>
              </w:rPr>
              <w:t>务总监贺某双</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5"/>
              </w:rPr>
              <w:t>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5"/>
              </w:rPr>
              <w:t>，并处以 20 万元的罚款。</w:t>
            </w:r>
          </w:p>
        </w:tc>
      </w:tr>
      <w:tr>
        <w:trPr>
          <w:trHeight w:val="724" w:hRule="atLeast"/>
        </w:trPr>
        <w:tc>
          <w:tcPr>
            <w:shd w:val="clear" w:fill="B8CCE4"/>
            <w:tcW w:w="1214" w:type="dxa"/>
            <w:vAlign w:val="top"/>
          </w:tcPr>
          <w:p>
            <w:pPr>
              <w:ind w:left="242"/>
              <w:spacing w:before="28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300225</w:t>
            </w:r>
          </w:p>
        </w:tc>
        <w:tc>
          <w:tcPr>
            <w:shd w:val="clear" w:fill="B8CCE4"/>
            <w:tcW w:w="1343" w:type="dxa"/>
            <w:vAlign w:val="top"/>
          </w:tcPr>
          <w:p>
            <w:pPr>
              <w:ind w:left="347"/>
              <w:spacing w:before="26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金力泰</w:t>
            </w:r>
          </w:p>
        </w:tc>
        <w:tc>
          <w:tcPr>
            <w:shd w:val="clear" w:fill="B8CCE4"/>
            <w:tcW w:w="5496" w:type="dxa"/>
            <w:vAlign w:val="top"/>
          </w:tcPr>
          <w:p>
            <w:pPr>
              <w:ind w:left="99" w:right="104" w:firstLine="9"/>
              <w:spacing w:before="87" w:line="21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2"/>
              </w:rPr>
              <w:t>2021 年年度报告存在</w:t>
            </w:r>
            <w:r>
              <w:rPr>
                <w:rFonts w:ascii="Microsoft YaHei" w:hAnsi="Microsoft YaHei" w:eastAsia="Microsoft YaHei" w:cs="Microsoft YaHei"/>
                <w:sz w:val="20"/>
                <w:szCs w:val="20"/>
                <w:b/>
                <w:bCs/>
                <w:spacing w:val="12"/>
              </w:rPr>
              <w:t>虚假记载</w:t>
            </w:r>
            <w:r>
              <w:rPr>
                <w:rFonts w:ascii="Microsoft YaHei" w:hAnsi="Microsoft YaHei" w:eastAsia="Microsoft YaHei" w:cs="Microsoft YaHei"/>
                <w:sz w:val="20"/>
                <w:szCs w:val="20"/>
                <w:spacing w:val="12"/>
              </w:rPr>
              <w:t>；</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12"/>
              </w:rPr>
              <w:t>2022 年第一季度报告</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存在</w:t>
            </w:r>
            <w:r>
              <w:rPr>
                <w:rFonts w:ascii="Microsoft YaHei" w:hAnsi="Microsoft YaHei" w:eastAsia="Microsoft YaHei" w:cs="Microsoft YaHei"/>
                <w:sz w:val="20"/>
                <w:szCs w:val="20"/>
                <w:b/>
                <w:bCs/>
                <w:spacing w:val="7"/>
              </w:rPr>
              <w:t>虚假记载。</w:t>
            </w:r>
          </w:p>
        </w:tc>
      </w:tr>
      <w:tr>
        <w:trPr>
          <w:trHeight w:val="2525" w:hRule="atLeast"/>
        </w:trPr>
        <w:tc>
          <w:tcPr>
            <w:tcW w:w="8053" w:type="dxa"/>
            <w:vAlign w:val="top"/>
            <w:gridSpan w:val="3"/>
          </w:tcPr>
          <w:p>
            <w:pPr>
              <w:ind w:left="122"/>
              <w:spacing w:before="46" w:line="23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8"/>
              </w:rPr>
              <w:t>【行政处罚决定】</w:t>
            </w:r>
            <w:r>
              <w:rPr>
                <w:rFonts w:ascii="Microsoft YaHei" w:hAnsi="Microsoft YaHei" w:eastAsia="Microsoft YaHei" w:cs="Microsoft YaHei"/>
                <w:sz w:val="20"/>
                <w:szCs w:val="20"/>
                <w:spacing w:val="8"/>
              </w:rPr>
              <w:t>上海证监局决定：</w:t>
            </w:r>
          </w:p>
          <w:p>
            <w:pPr>
              <w:ind w:left="138" w:right="210"/>
              <w:spacing w:before="25"/>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（一）对上海金力泰化工股份有限公司责令改正</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6"/>
              </w:rPr>
              <w:t>，给予警告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6"/>
              </w:rPr>
              <w:t>，并处以二百万元罚款；</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（二）对时任董事长,时任总经理袁某给予警告</w:t>
            </w:r>
            <w:r>
              <w:rPr>
                <w:rFonts w:ascii="Microsoft YaHei" w:hAnsi="Microsoft YaHei" w:eastAsia="Microsoft YaHei" w:cs="Microsoft YaHei"/>
                <w:sz w:val="20"/>
                <w:szCs w:val="20"/>
                <w:spacing w:val="-21"/>
              </w:rPr>
              <w:t xml:space="preserve"> </w:t>
            </w:r>
            <w:r>
              <w:rPr>
                <w:rFonts w:ascii="Microsoft YaHei" w:hAnsi="Microsoft YaHei" w:eastAsia="Microsoft YaHei" w:cs="Microsoft YaHei"/>
                <w:sz w:val="20"/>
                <w:szCs w:val="20"/>
                <w:spacing w:val="7"/>
              </w:rPr>
              <w:t>，并处以一百万元罚款；</w:t>
            </w:r>
          </w:p>
          <w:p>
            <w:pPr>
              <w:ind w:left="138"/>
              <w:spacing w:before="32" w:line="360"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position w:val="9"/>
              </w:rPr>
              <w:t>（三）对时任高管严某华给予警告</w:t>
            </w:r>
            <w:r>
              <w:rPr>
                <w:rFonts w:ascii="Microsoft YaHei" w:hAnsi="Microsoft YaHei" w:eastAsia="Microsoft YaHei" w:cs="Microsoft YaHei"/>
                <w:sz w:val="20"/>
                <w:szCs w:val="20"/>
                <w:spacing w:val="-28"/>
                <w:position w:val="9"/>
              </w:rPr>
              <w:t xml:space="preserve"> </w:t>
            </w:r>
            <w:r>
              <w:rPr>
                <w:rFonts w:ascii="Microsoft YaHei" w:hAnsi="Microsoft YaHei" w:eastAsia="Microsoft YaHei" w:cs="Microsoft YaHei"/>
                <w:sz w:val="20"/>
                <w:szCs w:val="20"/>
                <w:spacing w:val="7"/>
                <w:position w:val="9"/>
              </w:rPr>
              <w:t>，并处以一百万元罚</w:t>
            </w:r>
            <w:r>
              <w:rPr>
                <w:rFonts w:ascii="Microsoft YaHei" w:hAnsi="Microsoft YaHei" w:eastAsia="Microsoft YaHei" w:cs="Microsoft YaHei"/>
                <w:sz w:val="20"/>
                <w:szCs w:val="20"/>
                <w:spacing w:val="6"/>
                <w:position w:val="9"/>
              </w:rPr>
              <w:t>款；</w:t>
            </w:r>
          </w:p>
          <w:p>
            <w:pPr>
              <w:ind w:left="138"/>
              <w:spacing w:before="1" w:line="22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（四）对时任董事景某法给予警告</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7"/>
              </w:rPr>
              <w:t>，并处以五十万元罚</w:t>
            </w:r>
            <w:r>
              <w:rPr>
                <w:rFonts w:ascii="Microsoft YaHei" w:hAnsi="Microsoft YaHei" w:eastAsia="Microsoft YaHei" w:cs="Microsoft YaHei"/>
                <w:sz w:val="20"/>
                <w:szCs w:val="20"/>
                <w:spacing w:val="6"/>
              </w:rPr>
              <w:t>款；</w:t>
            </w:r>
          </w:p>
          <w:p>
            <w:pPr>
              <w:ind w:left="138" w:right="949"/>
              <w:spacing w:before="32"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（五）对时任高管,时任董事,时任董秘汤某给予警告</w:t>
            </w:r>
            <w:r>
              <w:rPr>
                <w:rFonts w:ascii="Microsoft YaHei" w:hAnsi="Microsoft YaHei" w:eastAsia="Microsoft YaHei" w:cs="Microsoft YaHei"/>
                <w:sz w:val="20"/>
                <w:szCs w:val="20"/>
                <w:spacing w:val="-17"/>
              </w:rPr>
              <w:t xml:space="preserve"> </w:t>
            </w:r>
            <w:r>
              <w:rPr>
                <w:rFonts w:ascii="Microsoft YaHei" w:hAnsi="Microsoft YaHei" w:eastAsia="Microsoft YaHei" w:cs="Microsoft YaHei"/>
                <w:sz w:val="20"/>
                <w:szCs w:val="20"/>
                <w:spacing w:val="6"/>
              </w:rPr>
              <w:t>，并处以五十万元罚款；</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（六）对时任财务总监隋某媛给予警告</w:t>
            </w:r>
            <w:r>
              <w:rPr>
                <w:rFonts w:ascii="Microsoft YaHei" w:hAnsi="Microsoft YaHei" w:eastAsia="Microsoft YaHei" w:cs="Microsoft YaHei"/>
                <w:sz w:val="20"/>
                <w:szCs w:val="20"/>
                <w:spacing w:val="-24"/>
              </w:rPr>
              <w:t xml:space="preserve"> </w:t>
            </w:r>
            <w:r>
              <w:rPr>
                <w:rFonts w:ascii="Microsoft YaHei" w:hAnsi="Microsoft YaHei" w:eastAsia="Microsoft YaHei" w:cs="Microsoft YaHei"/>
                <w:sz w:val="20"/>
                <w:szCs w:val="20"/>
                <w:spacing w:val="7"/>
              </w:rPr>
              <w:t>，并处以五十万元罚款。</w:t>
            </w:r>
          </w:p>
        </w:tc>
      </w:tr>
      <w:tr>
        <w:trPr>
          <w:trHeight w:val="724" w:hRule="atLeast"/>
        </w:trPr>
        <w:tc>
          <w:tcPr>
            <w:shd w:val="clear" w:fill="B8CCE4"/>
            <w:tcW w:w="1214" w:type="dxa"/>
            <w:vAlign w:val="top"/>
          </w:tcPr>
          <w:p>
            <w:pPr>
              <w:ind w:left="236"/>
              <w:spacing w:before="284"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002642</w:t>
            </w:r>
          </w:p>
        </w:tc>
        <w:tc>
          <w:tcPr>
            <w:shd w:val="clear" w:fill="B8CCE4"/>
            <w:tcW w:w="1343" w:type="dxa"/>
            <w:vAlign w:val="top"/>
          </w:tcPr>
          <w:p>
            <w:pPr>
              <w:ind w:left="242"/>
              <w:spacing w:before="271"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荣联科技</w:t>
            </w:r>
          </w:p>
        </w:tc>
        <w:tc>
          <w:tcPr>
            <w:shd w:val="clear" w:fill="B8CCE4"/>
            <w:tcW w:w="5496" w:type="dxa"/>
            <w:vAlign w:val="top"/>
          </w:tcPr>
          <w:p>
            <w:pPr>
              <w:ind w:left="100" w:right="104" w:hanging="1"/>
              <w:spacing w:before="90" w:line="21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荣联科技 2016 年、</w:t>
            </w:r>
            <w:r>
              <w:rPr>
                <w:rFonts w:ascii="Microsoft YaHei" w:hAnsi="Microsoft YaHei" w:eastAsia="Microsoft YaHei" w:cs="Microsoft YaHei"/>
                <w:sz w:val="20"/>
                <w:szCs w:val="20"/>
                <w:spacing w:val="-38"/>
              </w:rPr>
              <w:t xml:space="preserve"> </w:t>
            </w:r>
            <w:r>
              <w:rPr>
                <w:rFonts w:ascii="Microsoft YaHei" w:hAnsi="Microsoft YaHei" w:eastAsia="Microsoft YaHei" w:cs="Microsoft YaHei"/>
                <w:sz w:val="20"/>
                <w:szCs w:val="20"/>
                <w:spacing w:val="6"/>
              </w:rPr>
              <w:t>2017 年、</w:t>
            </w:r>
            <w:r>
              <w:rPr>
                <w:rFonts w:ascii="Microsoft YaHei" w:hAnsi="Microsoft YaHei" w:eastAsia="Microsoft YaHei" w:cs="Microsoft YaHei"/>
                <w:sz w:val="20"/>
                <w:szCs w:val="20"/>
                <w:spacing w:val="-39"/>
              </w:rPr>
              <w:t xml:space="preserve"> </w:t>
            </w:r>
            <w:r>
              <w:rPr>
                <w:rFonts w:ascii="Microsoft YaHei" w:hAnsi="Microsoft YaHei" w:eastAsia="Microsoft YaHei" w:cs="Microsoft YaHei"/>
                <w:sz w:val="20"/>
                <w:szCs w:val="20"/>
                <w:spacing w:val="6"/>
              </w:rPr>
              <w:t>2018 年</w:t>
            </w:r>
            <w:r>
              <w:rPr>
                <w:rFonts w:ascii="Microsoft YaHei" w:hAnsi="Microsoft YaHei" w:eastAsia="Microsoft YaHei" w:cs="Microsoft YaHei"/>
                <w:sz w:val="20"/>
                <w:szCs w:val="20"/>
                <w:spacing w:val="5"/>
              </w:rPr>
              <w:t>年度报告存在</w:t>
            </w:r>
            <w:r>
              <w:rPr>
                <w:rFonts w:ascii="Microsoft YaHei" w:hAnsi="Microsoft YaHei" w:eastAsia="Microsoft YaHei" w:cs="Microsoft YaHei"/>
                <w:sz w:val="20"/>
                <w:szCs w:val="20"/>
                <w:b/>
                <w:bCs/>
                <w:spacing w:val="5"/>
              </w:rPr>
              <w:t>虚假</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4"/>
              </w:rPr>
              <w:t>记载。</w:t>
            </w:r>
          </w:p>
        </w:tc>
      </w:tr>
      <w:tr>
        <w:trPr>
          <w:trHeight w:val="1445" w:hRule="atLeast"/>
        </w:trPr>
        <w:tc>
          <w:tcPr>
            <w:tcW w:w="8053" w:type="dxa"/>
            <w:vAlign w:val="top"/>
            <w:gridSpan w:val="3"/>
          </w:tcPr>
          <w:p>
            <w:pPr>
              <w:ind w:left="122"/>
              <w:spacing w:before="48" w:line="365"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position w:val="8"/>
              </w:rPr>
              <w:t>【市场禁入决定】</w:t>
            </w:r>
            <w:r>
              <w:rPr>
                <w:rFonts w:ascii="Microsoft YaHei" w:hAnsi="Microsoft YaHei" w:eastAsia="Microsoft YaHei" w:cs="Microsoft YaHei"/>
                <w:sz w:val="20"/>
                <w:szCs w:val="20"/>
                <w:spacing w:val="9"/>
                <w:position w:val="8"/>
              </w:rPr>
              <w:t>中国证券监督管理委员会北</w:t>
            </w:r>
            <w:r>
              <w:rPr>
                <w:rFonts w:ascii="Microsoft YaHei" w:hAnsi="Microsoft YaHei" w:eastAsia="Microsoft YaHei" w:cs="Microsoft YaHei"/>
                <w:sz w:val="20"/>
                <w:szCs w:val="20"/>
                <w:spacing w:val="8"/>
                <w:position w:val="8"/>
              </w:rPr>
              <w:t>京监管局决定：</w:t>
            </w:r>
          </w:p>
          <w:p>
            <w:pPr>
              <w:ind w:left="138"/>
              <w:spacing w:before="1" w:line="22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（一）对时任董事长王某辉采取 5 年证券市场</w:t>
            </w:r>
            <w:r>
              <w:rPr>
                <w:rFonts w:ascii="Microsoft YaHei" w:hAnsi="Microsoft YaHei" w:eastAsia="Microsoft YaHei" w:cs="Microsoft YaHei"/>
                <w:sz w:val="20"/>
                <w:szCs w:val="20"/>
                <w:spacing w:val="6"/>
              </w:rPr>
              <w:t>禁入措施；</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（二）对时任总经理张某采取 5 年证券市场禁入措施；</w:t>
            </w:r>
          </w:p>
          <w:p>
            <w:pPr>
              <w:ind w:left="138"/>
              <w:spacing w:before="32" w:line="21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（三）对时任财务总监鞠某涛采取 5 年证券市场禁</w:t>
            </w:r>
            <w:r>
              <w:rPr>
                <w:rFonts w:ascii="Microsoft YaHei" w:hAnsi="Microsoft YaHei" w:eastAsia="Microsoft YaHei" w:cs="Microsoft YaHei"/>
                <w:sz w:val="20"/>
                <w:szCs w:val="20"/>
                <w:spacing w:val="6"/>
              </w:rPr>
              <w:t>入措施。</w:t>
            </w:r>
          </w:p>
        </w:tc>
      </w:tr>
      <w:tr>
        <w:trPr>
          <w:trHeight w:val="725" w:hRule="atLeast"/>
        </w:trPr>
        <w:tc>
          <w:tcPr>
            <w:shd w:val="clear" w:fill="B8CCE4"/>
            <w:tcW w:w="1214" w:type="dxa"/>
            <w:vAlign w:val="top"/>
          </w:tcPr>
          <w:p>
            <w:pPr>
              <w:ind w:left="239"/>
              <w:spacing w:before="288"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600485</w:t>
            </w:r>
          </w:p>
        </w:tc>
        <w:tc>
          <w:tcPr>
            <w:shd w:val="clear" w:fill="B8CCE4"/>
            <w:tcW w:w="1343" w:type="dxa"/>
            <w:vAlign w:val="top"/>
          </w:tcPr>
          <w:p>
            <w:pPr>
              <w:ind w:left="262"/>
              <w:spacing w:before="274"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w:t>
            </w: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4"/>
              </w:rPr>
              <w:t xml:space="preserve"> 信威</w:t>
            </w:r>
          </w:p>
        </w:tc>
        <w:tc>
          <w:tcPr>
            <w:shd w:val="clear" w:fill="B8CCE4"/>
            <w:tcW w:w="5496" w:type="dxa"/>
            <w:vAlign w:val="top"/>
          </w:tcPr>
          <w:p>
            <w:pPr>
              <w:ind w:left="100" w:right="104" w:hanging="1"/>
              <w:spacing w:before="94" w:line="21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信威集团 2014 年、</w:t>
            </w:r>
            <w:r>
              <w:rPr>
                <w:rFonts w:ascii="Microsoft YaHei" w:hAnsi="Microsoft YaHei" w:eastAsia="Microsoft YaHei" w:cs="Microsoft YaHei"/>
                <w:sz w:val="20"/>
                <w:szCs w:val="20"/>
                <w:spacing w:val="-36"/>
              </w:rPr>
              <w:t xml:space="preserve"> </w:t>
            </w:r>
            <w:r>
              <w:rPr>
                <w:rFonts w:ascii="Microsoft YaHei" w:hAnsi="Microsoft YaHei" w:eastAsia="Microsoft YaHei" w:cs="Microsoft YaHei"/>
                <w:sz w:val="20"/>
                <w:szCs w:val="20"/>
                <w:spacing w:val="4"/>
              </w:rPr>
              <w:t>2015 年、</w:t>
            </w:r>
            <w:r>
              <w:rPr>
                <w:rFonts w:ascii="Microsoft YaHei" w:hAnsi="Microsoft YaHei" w:eastAsia="Microsoft YaHei" w:cs="Microsoft YaHei"/>
                <w:sz w:val="20"/>
                <w:szCs w:val="20"/>
                <w:spacing w:val="-37"/>
              </w:rPr>
              <w:t xml:space="preserve"> </w:t>
            </w:r>
            <w:r>
              <w:rPr>
                <w:rFonts w:ascii="Microsoft YaHei" w:hAnsi="Microsoft YaHei" w:eastAsia="Microsoft YaHei" w:cs="Microsoft YaHei"/>
                <w:sz w:val="20"/>
                <w:szCs w:val="20"/>
                <w:spacing w:val="4"/>
              </w:rPr>
              <w:t>2016 年、</w:t>
            </w:r>
            <w:r>
              <w:rPr>
                <w:rFonts w:ascii="Microsoft YaHei" w:hAnsi="Microsoft YaHei" w:eastAsia="Microsoft YaHei" w:cs="Microsoft YaHei"/>
                <w:sz w:val="20"/>
                <w:szCs w:val="20"/>
                <w:spacing w:val="-36"/>
              </w:rPr>
              <w:t xml:space="preserve"> </w:t>
            </w:r>
            <w:r>
              <w:rPr>
                <w:rFonts w:ascii="Microsoft YaHei" w:hAnsi="Microsoft YaHei" w:eastAsia="Microsoft YaHei" w:cs="Microsoft YaHei"/>
                <w:sz w:val="20"/>
                <w:szCs w:val="20"/>
                <w:spacing w:val="4"/>
              </w:rPr>
              <w:t>2017 年、</w:t>
            </w:r>
            <w:r>
              <w:rPr>
                <w:rFonts w:ascii="Microsoft YaHei" w:hAnsi="Microsoft YaHei" w:eastAsia="Microsoft YaHei" w:cs="Microsoft YaHei"/>
                <w:sz w:val="20"/>
                <w:szCs w:val="20"/>
                <w:spacing w:val="-38"/>
              </w:rPr>
              <w:t xml:space="preserve"> </w:t>
            </w:r>
            <w:r>
              <w:rPr>
                <w:rFonts w:ascii="Microsoft YaHei" w:hAnsi="Microsoft YaHei" w:eastAsia="Microsoft YaHei" w:cs="Microsoft YaHei"/>
                <w:sz w:val="20"/>
                <w:szCs w:val="20"/>
                <w:spacing w:val="4"/>
              </w:rPr>
              <w:t>2</w:t>
            </w:r>
            <w:r>
              <w:rPr>
                <w:rFonts w:ascii="Microsoft YaHei" w:hAnsi="Microsoft YaHei" w:eastAsia="Microsoft YaHei" w:cs="Microsoft YaHei"/>
                <w:sz w:val="20"/>
                <w:szCs w:val="20"/>
                <w:spacing w:val="3"/>
              </w:rPr>
              <w:t>018</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年、</w:t>
            </w:r>
            <w:r>
              <w:rPr>
                <w:rFonts w:ascii="Microsoft YaHei" w:hAnsi="Microsoft YaHei" w:eastAsia="Microsoft YaHei" w:cs="Microsoft YaHei"/>
                <w:sz w:val="20"/>
                <w:szCs w:val="20"/>
                <w:spacing w:val="-36"/>
              </w:rPr>
              <w:t xml:space="preserve"> </w:t>
            </w:r>
            <w:r>
              <w:rPr>
                <w:rFonts w:ascii="Microsoft YaHei" w:hAnsi="Microsoft YaHei" w:eastAsia="Microsoft YaHei" w:cs="Microsoft YaHei"/>
                <w:sz w:val="20"/>
                <w:szCs w:val="20"/>
                <w:spacing w:val="7"/>
              </w:rPr>
              <w:t>2019 年年度报告信息披露存在</w:t>
            </w:r>
            <w:r>
              <w:rPr>
                <w:rFonts w:ascii="Microsoft YaHei" w:hAnsi="Microsoft YaHei" w:eastAsia="Microsoft YaHei" w:cs="Microsoft YaHei"/>
                <w:sz w:val="20"/>
                <w:szCs w:val="20"/>
                <w:b/>
                <w:bCs/>
                <w:spacing w:val="7"/>
              </w:rPr>
              <w:t>虚</w:t>
            </w:r>
            <w:r>
              <w:rPr>
                <w:rFonts w:ascii="Microsoft YaHei" w:hAnsi="Microsoft YaHei" w:eastAsia="Microsoft YaHei" w:cs="Microsoft YaHei"/>
                <w:sz w:val="20"/>
                <w:szCs w:val="20"/>
                <w:b/>
                <w:bCs/>
                <w:spacing w:val="6"/>
              </w:rPr>
              <w:t>假记载。</w:t>
            </w:r>
          </w:p>
        </w:tc>
      </w:tr>
      <w:tr>
        <w:trPr>
          <w:trHeight w:val="1444" w:hRule="atLeast"/>
        </w:trPr>
        <w:tc>
          <w:tcPr>
            <w:tcW w:w="8053" w:type="dxa"/>
            <w:vAlign w:val="top"/>
            <w:gridSpan w:val="3"/>
          </w:tcPr>
          <w:p>
            <w:pPr>
              <w:ind w:left="122"/>
              <w:spacing w:before="52"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【市场禁入决定】</w:t>
            </w:r>
            <w:r>
              <w:rPr>
                <w:rFonts w:ascii="Microsoft YaHei" w:hAnsi="Microsoft YaHei" w:eastAsia="Microsoft YaHei" w:cs="Microsoft YaHei"/>
                <w:sz w:val="20"/>
                <w:szCs w:val="20"/>
                <w:spacing w:val="9"/>
              </w:rPr>
              <w:t>中国证券监督管理委员会北</w:t>
            </w:r>
            <w:r>
              <w:rPr>
                <w:rFonts w:ascii="Microsoft YaHei" w:hAnsi="Microsoft YaHei" w:eastAsia="Microsoft YaHei" w:cs="Microsoft YaHei"/>
                <w:sz w:val="20"/>
                <w:szCs w:val="20"/>
                <w:spacing w:val="8"/>
              </w:rPr>
              <w:t>京监管局决定：</w:t>
            </w:r>
          </w:p>
          <w:p>
            <w:pPr>
              <w:ind w:left="138"/>
              <w:spacing w:before="25"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（一）对实际控制人,时任董事长,时任总经理王某采取终身证券市场禁入措施；</w:t>
            </w:r>
          </w:p>
          <w:p>
            <w:pPr>
              <w:ind w:left="105" w:right="104" w:firstLine="33"/>
              <w:spacing w:before="32" w:line="23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（二）对时任高管,时任董事,时任财务总监余某、时任高管刘某分别采取 10 年证券市</w:t>
            </w:r>
            <w:r>
              <w:rPr>
                <w:rFonts w:ascii="Microsoft YaHei" w:hAnsi="Microsoft YaHei" w:eastAsia="Microsoft YaHei" w:cs="Microsoft YaHei"/>
                <w:sz w:val="20"/>
                <w:szCs w:val="20"/>
                <w:spacing w:val="16"/>
                <w:w w:val="101"/>
              </w:rPr>
              <w:t xml:space="preserve"> </w:t>
            </w:r>
            <w:r>
              <w:rPr>
                <w:rFonts w:ascii="Microsoft YaHei" w:hAnsi="Microsoft YaHei" w:eastAsia="Microsoft YaHei" w:cs="Microsoft YaHei"/>
                <w:sz w:val="20"/>
                <w:szCs w:val="20"/>
                <w:spacing w:val="7"/>
              </w:rPr>
              <w:t>场禁入措施。</w:t>
            </w:r>
          </w:p>
        </w:tc>
      </w:tr>
      <w:tr>
        <w:trPr>
          <w:trHeight w:val="373" w:hRule="atLeast"/>
        </w:trPr>
        <w:tc>
          <w:tcPr>
            <w:shd w:val="clear" w:fill="B8CCE4"/>
            <w:tcW w:w="1214" w:type="dxa"/>
            <w:vAlign w:val="top"/>
          </w:tcPr>
          <w:p>
            <w:pPr>
              <w:ind w:left="242"/>
              <w:spacing w:before="109" w:line="17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300367</w:t>
            </w:r>
          </w:p>
        </w:tc>
        <w:tc>
          <w:tcPr>
            <w:shd w:val="clear" w:fill="B8CCE4"/>
            <w:tcW w:w="1343" w:type="dxa"/>
            <w:vAlign w:val="top"/>
          </w:tcPr>
          <w:p>
            <w:pPr>
              <w:ind w:left="362"/>
              <w:spacing w:before="97"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网力退</w:t>
            </w:r>
          </w:p>
        </w:tc>
        <w:tc>
          <w:tcPr>
            <w:shd w:val="clear" w:fill="B8CCE4"/>
            <w:tcW w:w="5496" w:type="dxa"/>
            <w:vAlign w:val="top"/>
          </w:tcPr>
          <w:p>
            <w:pPr>
              <w:ind w:left="113"/>
              <w:spacing w:before="95"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中天华茂在对东方网力 </w:t>
            </w:r>
            <w:r>
              <w:rPr>
                <w:rFonts w:ascii="Microsoft YaHei" w:hAnsi="Microsoft YaHei" w:eastAsia="Microsoft YaHei" w:cs="Microsoft YaHei"/>
                <w:sz w:val="20"/>
                <w:szCs w:val="20"/>
                <w:b/>
                <w:bCs/>
                <w:spacing w:val="9"/>
              </w:rPr>
              <w:t>2020 年年度财务报表审计</w:t>
            </w:r>
            <w:r>
              <w:rPr>
                <w:rFonts w:ascii="Microsoft YaHei" w:hAnsi="Microsoft YaHei" w:eastAsia="Microsoft YaHei" w:cs="Microsoft YaHei"/>
                <w:sz w:val="20"/>
                <w:szCs w:val="20"/>
                <w:b/>
                <w:bCs/>
                <w:spacing w:val="8"/>
              </w:rPr>
              <w:t>过程</w:t>
            </w:r>
            <w:r>
              <w:rPr>
                <w:rFonts w:ascii="Microsoft YaHei" w:hAnsi="Microsoft YaHei" w:eastAsia="Microsoft YaHei" w:cs="Microsoft YaHei"/>
                <w:sz w:val="20"/>
                <w:szCs w:val="20"/>
                <w:spacing w:val="8"/>
              </w:rPr>
              <w:t>中</w:t>
            </w:r>
          </w:p>
        </w:tc>
      </w:tr>
    </w:tbl>
    <w:p>
      <w:pPr>
        <w:pStyle w:val="BodyText"/>
        <w:rPr/>
      </w:pPr>
      <w:r/>
    </w:p>
    <w:p>
      <w:pPr>
        <w:sectPr>
          <w:pgSz w:w="11910" w:h="16840"/>
          <w:pgMar w:top="400" w:right="1786" w:bottom="0" w:left="1786" w:header="0" w:footer="0" w:gutter="0"/>
        </w:sectPr>
        <w:rPr/>
      </w:pPr>
    </w:p>
    <w:tbl>
      <w:tblPr>
        <w:tblStyle w:val="TableNormal"/>
        <w:tblW w:w="8053"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1104" w:hRule="atLeast"/>
        </w:trPr>
        <w:tc>
          <w:tcPr>
            <w:shd w:val="clear" w:fill="B8CCE4"/>
            <w:tcW w:w="121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ind w:left="99" w:right="104"/>
              <w:spacing w:before="101" w:line="23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4"/>
              </w:rPr>
              <w:t>未勤勉尽责,未能保持职业怀疑,未能实施恰当的审计程序</w:t>
            </w:r>
            <w:r>
              <w:rPr>
                <w:rFonts w:ascii="Microsoft YaHei" w:hAnsi="Microsoft YaHei" w:eastAsia="Microsoft YaHei" w:cs="Microsoft YaHei"/>
                <w:sz w:val="20"/>
                <w:szCs w:val="20"/>
                <w:spacing w:val="16"/>
              </w:rPr>
              <w:t xml:space="preserve"> </w:t>
            </w:r>
            <w:r>
              <w:rPr>
                <w:rFonts w:ascii="Microsoft YaHei" w:hAnsi="Microsoft YaHei" w:eastAsia="Microsoft YaHei" w:cs="Microsoft YaHei"/>
                <w:sz w:val="20"/>
                <w:szCs w:val="20"/>
                <w:spacing w:val="16"/>
              </w:rPr>
              <w:t>并获取充分、适当的审计证据,</w:t>
            </w:r>
            <w:r>
              <w:rPr>
                <w:rFonts w:ascii="Microsoft YaHei" w:hAnsi="Microsoft YaHei" w:eastAsia="Microsoft YaHei" w:cs="Microsoft YaHei"/>
                <w:sz w:val="20"/>
                <w:szCs w:val="20"/>
                <w:spacing w:val="-30"/>
              </w:rPr>
              <w:t xml:space="preserve"> </w:t>
            </w:r>
            <w:r>
              <w:rPr>
                <w:rFonts w:ascii="Microsoft YaHei" w:hAnsi="Microsoft YaHei" w:eastAsia="Microsoft YaHei" w:cs="Microsoft YaHei"/>
                <w:sz w:val="20"/>
                <w:szCs w:val="20"/>
                <w:spacing w:val="16"/>
              </w:rPr>
              <w:t>出具的审计报告存在</w:t>
            </w:r>
            <w:r>
              <w:rPr>
                <w:rFonts w:ascii="Microsoft YaHei" w:hAnsi="Microsoft YaHei" w:eastAsia="Microsoft YaHei" w:cs="Microsoft YaHei"/>
                <w:sz w:val="20"/>
                <w:szCs w:val="20"/>
                <w:spacing w:val="15"/>
              </w:rPr>
              <w:t>虚假</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记载。</w:t>
            </w:r>
          </w:p>
        </w:tc>
      </w:tr>
      <w:tr>
        <w:trPr>
          <w:trHeight w:val="2524" w:hRule="atLeast"/>
        </w:trPr>
        <w:tc>
          <w:tcPr>
            <w:tcW w:w="8053" w:type="dxa"/>
            <w:vAlign w:val="top"/>
            <w:gridSpan w:val="3"/>
          </w:tcPr>
          <w:p>
            <w:pPr>
              <w:ind w:left="122"/>
              <w:spacing w:before="38" w:line="23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8"/>
              </w:rPr>
              <w:t>【市场禁入决定】</w:t>
            </w:r>
            <w:r>
              <w:rPr>
                <w:rFonts w:ascii="Microsoft YaHei" w:hAnsi="Microsoft YaHei" w:eastAsia="Microsoft YaHei" w:cs="Microsoft YaHei"/>
                <w:sz w:val="20"/>
                <w:szCs w:val="20"/>
                <w:spacing w:val="8"/>
              </w:rPr>
              <w:t>北京证监局决定:</w:t>
            </w:r>
          </w:p>
          <w:p>
            <w:pPr>
              <w:ind w:left="138"/>
              <w:spacing w:before="24" w:line="360"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position w:val="9"/>
              </w:rPr>
              <w:t>（一）对注册会计师邱某星采取 5 年证券市场禁</w:t>
            </w:r>
            <w:r>
              <w:rPr>
                <w:rFonts w:ascii="Microsoft YaHei" w:hAnsi="Microsoft YaHei" w:eastAsia="Microsoft YaHei" w:cs="Microsoft YaHei"/>
                <w:sz w:val="20"/>
                <w:szCs w:val="20"/>
                <w:spacing w:val="6"/>
                <w:position w:val="9"/>
              </w:rPr>
              <w:t>入措施;</w:t>
            </w:r>
          </w:p>
          <w:p>
            <w:pPr>
              <w:ind w:left="138"/>
              <w:spacing w:before="1" w:line="22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（二）对注册会计师谢某丽采取 3 年证券市场</w:t>
            </w:r>
            <w:r>
              <w:rPr>
                <w:rFonts w:ascii="Microsoft YaHei" w:hAnsi="Microsoft YaHei" w:eastAsia="Microsoft YaHei" w:cs="Microsoft YaHei"/>
                <w:sz w:val="20"/>
                <w:szCs w:val="20"/>
                <w:spacing w:val="6"/>
              </w:rPr>
              <w:t>禁入措施。</w:t>
            </w:r>
          </w:p>
          <w:p>
            <w:pPr>
              <w:ind w:left="104" w:right="104" w:firstLine="23"/>
              <w:spacing w:before="72" w:line="236"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3"/>
              </w:rPr>
              <w:t>自北京证监局宣布决定之日起,在禁入期间内,除不得继续在原机构从事证券业务或者</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10"/>
              </w:rPr>
              <w:t>担任原上市公司、非上市公众公司董事、监事、高级管理人员职务外,也不得在其他任</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2"/>
              </w:rPr>
              <w:t>何机构中从事证券业务或者担任其他上市公司、</w:t>
            </w:r>
            <w:r>
              <w:rPr>
                <w:rFonts w:ascii="Microsoft YaHei" w:hAnsi="Microsoft YaHei" w:eastAsia="Microsoft YaHei" w:cs="Microsoft YaHei"/>
                <w:sz w:val="20"/>
                <w:szCs w:val="20"/>
                <w:spacing w:val="11"/>
              </w:rPr>
              <w:t>非上市公众公司董事、监事、高级管</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理人员职务。</w:t>
            </w:r>
          </w:p>
        </w:tc>
      </w:tr>
      <w:tr>
        <w:trPr>
          <w:trHeight w:val="1085" w:hRule="atLeast"/>
        </w:trPr>
        <w:tc>
          <w:tcPr>
            <w:shd w:val="clear" w:fill="B8CCE4"/>
            <w:tcW w:w="1214" w:type="dxa"/>
            <w:vAlign w:val="top"/>
          </w:tcPr>
          <w:p>
            <w:pPr>
              <w:spacing w:line="370" w:lineRule="auto"/>
              <w:rPr>
                <w:rFonts w:ascii="Arial"/>
                <w:sz w:val="21"/>
              </w:rPr>
            </w:pPr>
            <w:r/>
          </w:p>
          <w:p>
            <w:pPr>
              <w:ind w:left="236"/>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002193</w:t>
            </w:r>
          </w:p>
        </w:tc>
        <w:tc>
          <w:tcPr>
            <w:shd w:val="clear" w:fill="B8CCE4"/>
            <w:tcW w:w="1343" w:type="dxa"/>
            <w:vAlign w:val="top"/>
          </w:tcPr>
          <w:p>
            <w:pPr>
              <w:spacing w:line="355" w:lineRule="auto"/>
              <w:rPr>
                <w:rFonts w:ascii="Arial"/>
                <w:sz w:val="21"/>
              </w:rPr>
            </w:pPr>
            <w:r/>
          </w:p>
          <w:p>
            <w:pPr>
              <w:ind w:left="242"/>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如意集团</w:t>
            </w:r>
          </w:p>
        </w:tc>
        <w:tc>
          <w:tcPr>
            <w:shd w:val="clear" w:fill="B8CCE4"/>
            <w:tcW w:w="5496" w:type="dxa"/>
            <w:vAlign w:val="top"/>
          </w:tcPr>
          <w:p>
            <w:pPr>
              <w:ind w:left="98" w:right="104" w:firstLine="1"/>
              <w:spacing w:before="84" w:line="23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未在 2019 年半年度报告、</w:t>
            </w:r>
            <w:r>
              <w:rPr>
                <w:rFonts w:ascii="Microsoft YaHei" w:hAnsi="Microsoft YaHei" w:eastAsia="Microsoft YaHei" w:cs="Microsoft YaHei"/>
                <w:sz w:val="20"/>
                <w:szCs w:val="20"/>
                <w:spacing w:val="-29"/>
              </w:rPr>
              <w:t xml:space="preserve"> </w:t>
            </w:r>
            <w:r>
              <w:rPr>
                <w:rFonts w:ascii="Microsoft YaHei" w:hAnsi="Microsoft YaHei" w:eastAsia="Microsoft YaHei" w:cs="Microsoft YaHei"/>
                <w:sz w:val="20"/>
                <w:szCs w:val="20"/>
                <w:spacing w:val="11"/>
              </w:rPr>
              <w:t>2019 年年度报告中披露</w:t>
            </w:r>
            <w:r>
              <w:rPr>
                <w:rFonts w:ascii="Microsoft YaHei" w:hAnsi="Microsoft YaHei" w:eastAsia="Microsoft YaHei" w:cs="Microsoft YaHei"/>
                <w:sz w:val="20"/>
                <w:szCs w:val="20"/>
                <w:b/>
                <w:bCs/>
                <w:spacing w:val="11"/>
              </w:rPr>
              <w:t>资金</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9"/>
              </w:rPr>
              <w:t>占用</w:t>
            </w:r>
            <w:r>
              <w:rPr>
                <w:rFonts w:ascii="Microsoft YaHei" w:hAnsi="Microsoft YaHei" w:eastAsia="Microsoft YaHei" w:cs="Microsoft YaHei"/>
                <w:sz w:val="20"/>
                <w:szCs w:val="20"/>
                <w:spacing w:val="9"/>
              </w:rPr>
              <w:t>事项</w:t>
            </w:r>
            <w:r>
              <w:rPr>
                <w:rFonts w:ascii="Microsoft YaHei" w:hAnsi="Microsoft YaHei" w:eastAsia="Microsoft YaHei" w:cs="Microsoft YaHei"/>
                <w:sz w:val="20"/>
                <w:szCs w:val="20"/>
                <w:spacing w:val="-22"/>
              </w:rPr>
              <w:t xml:space="preserve"> </w:t>
            </w:r>
            <w:r>
              <w:rPr>
                <w:rFonts w:ascii="Microsoft YaHei" w:hAnsi="Microsoft YaHei" w:eastAsia="Microsoft YaHei" w:cs="Microsoft YaHei"/>
                <w:sz w:val="20"/>
                <w:szCs w:val="20"/>
                <w:spacing w:val="9"/>
              </w:rPr>
              <w:t>，应当在 2019 年年度报告中将上述收购维信基</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金份额事项披露为</w:t>
            </w:r>
            <w:r>
              <w:rPr>
                <w:rFonts w:ascii="Microsoft YaHei" w:hAnsi="Microsoft YaHei" w:eastAsia="Microsoft YaHei" w:cs="Microsoft YaHei"/>
                <w:sz w:val="20"/>
                <w:szCs w:val="20"/>
                <w:b/>
                <w:bCs/>
                <w:spacing w:val="7"/>
              </w:rPr>
              <w:t>关联交易</w:t>
            </w:r>
            <w:r>
              <w:rPr>
                <w:rFonts w:ascii="Microsoft YaHei" w:hAnsi="Microsoft YaHei" w:eastAsia="Microsoft YaHei" w:cs="Microsoft YaHei"/>
                <w:sz w:val="20"/>
                <w:szCs w:val="20"/>
                <w:b/>
                <w:bCs/>
                <w:spacing w:val="-18"/>
              </w:rPr>
              <w:t xml:space="preserve"> </w:t>
            </w:r>
            <w:r>
              <w:rPr>
                <w:rFonts w:ascii="Microsoft YaHei" w:hAnsi="Microsoft YaHei" w:eastAsia="Microsoft YaHei" w:cs="Microsoft YaHei"/>
                <w:sz w:val="20"/>
                <w:szCs w:val="20"/>
                <w:spacing w:val="7"/>
              </w:rPr>
              <w:t>，但未予披露。</w:t>
            </w:r>
          </w:p>
        </w:tc>
      </w:tr>
      <w:tr>
        <w:trPr>
          <w:trHeight w:val="2524" w:hRule="atLeast"/>
        </w:trPr>
        <w:tc>
          <w:tcPr>
            <w:tcW w:w="8053" w:type="dxa"/>
            <w:vAlign w:val="top"/>
            <w:gridSpan w:val="3"/>
          </w:tcPr>
          <w:p>
            <w:pPr>
              <w:ind w:left="103" w:right="101" w:firstLine="18"/>
              <w:spacing w:before="41" w:line="247"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【市场禁入决定】</w:t>
            </w:r>
            <w:r>
              <w:rPr>
                <w:rFonts w:ascii="Microsoft YaHei" w:hAnsi="Microsoft YaHei" w:eastAsia="Microsoft YaHei" w:cs="Microsoft YaHei"/>
                <w:sz w:val="20"/>
                <w:szCs w:val="20"/>
                <w:spacing w:val="9"/>
              </w:rPr>
              <w:t>中国证券监督管理委员会</w:t>
            </w:r>
            <w:r>
              <w:rPr>
                <w:rFonts w:ascii="Microsoft YaHei" w:hAnsi="Microsoft YaHei" w:eastAsia="Microsoft YaHei" w:cs="Microsoft YaHei"/>
                <w:sz w:val="20"/>
                <w:szCs w:val="20"/>
                <w:spacing w:val="8"/>
              </w:rPr>
              <w:t>山东监管局决定</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8"/>
              </w:rPr>
              <w:t>：对实际控制人,时任董事</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长邱某夫采取</w:t>
            </w:r>
            <w:r>
              <w:rPr>
                <w:rFonts w:ascii="Microsoft YaHei" w:hAnsi="Microsoft YaHei" w:eastAsia="Microsoft YaHei" w:cs="Microsoft YaHei"/>
                <w:sz w:val="20"/>
                <w:szCs w:val="20"/>
                <w:spacing w:val="20"/>
                <w:w w:val="101"/>
              </w:rPr>
              <w:t xml:space="preserve"> </w:t>
            </w:r>
            <w:r>
              <w:rPr>
                <w:rFonts w:ascii="Microsoft YaHei" w:hAnsi="Microsoft YaHei" w:eastAsia="Microsoft YaHei" w:cs="Microsoft YaHei"/>
                <w:sz w:val="20"/>
                <w:szCs w:val="20"/>
                <w:spacing w:val="10"/>
              </w:rPr>
              <w:t>10 年市场禁入措施。对时任高管张某英采</w:t>
            </w:r>
            <w:r>
              <w:rPr>
                <w:rFonts w:ascii="Microsoft YaHei" w:hAnsi="Microsoft YaHei" w:eastAsia="Microsoft YaHei" w:cs="Microsoft YaHei"/>
                <w:sz w:val="20"/>
                <w:szCs w:val="20"/>
                <w:spacing w:val="9"/>
              </w:rPr>
              <w:t>取 5 年市场禁入措施</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9"/>
              </w:rPr>
              <w:t>，对时</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2"/>
              </w:rPr>
              <w:t>任董事,时任总经理杜某姝采取 3 年市场禁入措施。上述人员</w:t>
            </w:r>
            <w:r>
              <w:rPr>
                <w:rFonts w:ascii="Microsoft YaHei" w:hAnsi="Microsoft YaHei" w:eastAsia="Microsoft YaHei" w:cs="Microsoft YaHei"/>
                <w:sz w:val="20"/>
                <w:szCs w:val="20"/>
                <w:spacing w:val="-21"/>
              </w:rPr>
              <w:t xml:space="preserve"> </w:t>
            </w:r>
            <w:r>
              <w:rPr>
                <w:rFonts w:ascii="Microsoft YaHei" w:hAnsi="Microsoft YaHei" w:eastAsia="Microsoft YaHei" w:cs="Microsoft YaHei"/>
                <w:sz w:val="20"/>
                <w:szCs w:val="20"/>
                <w:spacing w:val="12"/>
              </w:rPr>
              <w:t>，</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12"/>
              </w:rPr>
              <w:t>自中国证券监督管理</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委员会山东监管局宣布决定之日起</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9"/>
              </w:rPr>
              <w:t>，在禁入期间内</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9"/>
              </w:rPr>
              <w:t>，</w:t>
            </w:r>
            <w:r>
              <w:rPr>
                <w:rFonts w:ascii="Microsoft YaHei" w:hAnsi="Microsoft YaHei" w:eastAsia="Microsoft YaHei" w:cs="Microsoft YaHei"/>
                <w:sz w:val="20"/>
                <w:szCs w:val="20"/>
                <w:spacing w:val="-38"/>
              </w:rPr>
              <w:t xml:space="preserve"> </w:t>
            </w:r>
            <w:r>
              <w:rPr>
                <w:rFonts w:ascii="Microsoft YaHei" w:hAnsi="Microsoft YaHei" w:eastAsia="Microsoft YaHei" w:cs="Microsoft YaHei"/>
                <w:sz w:val="20"/>
                <w:szCs w:val="20"/>
                <w:spacing w:val="9"/>
              </w:rPr>
              <w:t>除不得继续在原机构从事证券业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1"/>
              </w:rPr>
              <w:t>务或者担任原上市公司、非上市公众公司董事、监</w:t>
            </w:r>
            <w:r>
              <w:rPr>
                <w:rFonts w:ascii="Microsoft YaHei" w:hAnsi="Microsoft YaHei" w:eastAsia="Microsoft YaHei" w:cs="Microsoft YaHei"/>
                <w:sz w:val="20"/>
                <w:szCs w:val="20"/>
                <w:spacing w:val="10"/>
              </w:rPr>
              <w:t>事、高级管理人员职务外</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10"/>
              </w:rPr>
              <w:t>，也不得</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6"/>
              </w:rPr>
              <w:t>在其他任何机构中从事证券业务或者担任其他上市公司、</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16"/>
              </w:rPr>
              <w:t>非上市公众公司董事、</w:t>
            </w:r>
            <w:r>
              <w:rPr>
                <w:rFonts w:ascii="Microsoft YaHei" w:hAnsi="Microsoft YaHei" w:eastAsia="Microsoft YaHei" w:cs="Microsoft YaHei"/>
                <w:sz w:val="20"/>
                <w:szCs w:val="20"/>
                <w:spacing w:val="-39"/>
              </w:rPr>
              <w:t xml:space="preserve"> </w:t>
            </w:r>
            <w:r>
              <w:rPr>
                <w:rFonts w:ascii="Microsoft YaHei" w:hAnsi="Microsoft YaHei" w:eastAsia="Microsoft YaHei" w:cs="Microsoft YaHei"/>
                <w:sz w:val="20"/>
                <w:szCs w:val="20"/>
                <w:spacing w:val="16"/>
              </w:rPr>
              <w:t>监</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事、高级管理人员职务。</w:t>
            </w:r>
          </w:p>
        </w:tc>
      </w:tr>
      <w:tr>
        <w:trPr>
          <w:trHeight w:val="725" w:hRule="atLeast"/>
        </w:trPr>
        <w:tc>
          <w:tcPr>
            <w:shd w:val="clear" w:fill="B8CCE4"/>
            <w:tcW w:w="1214" w:type="dxa"/>
            <w:vAlign w:val="top"/>
          </w:tcPr>
          <w:p>
            <w:pPr>
              <w:ind w:left="242"/>
              <w:spacing w:before="28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300280</w:t>
            </w:r>
          </w:p>
        </w:tc>
        <w:tc>
          <w:tcPr>
            <w:shd w:val="clear" w:fill="B8CCE4"/>
            <w:tcW w:w="1343" w:type="dxa"/>
            <w:vAlign w:val="top"/>
          </w:tcPr>
          <w:p>
            <w:pPr>
              <w:ind w:left="244"/>
              <w:spacing w:before="268"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紫天科技</w:t>
            </w:r>
          </w:p>
        </w:tc>
        <w:tc>
          <w:tcPr>
            <w:shd w:val="clear" w:fill="B8CCE4"/>
            <w:tcW w:w="5496" w:type="dxa"/>
            <w:vAlign w:val="top"/>
          </w:tcPr>
          <w:p>
            <w:pPr>
              <w:ind w:left="98" w:right="104" w:firstLine="1"/>
              <w:spacing w:before="51"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20"/>
              </w:rPr>
              <w:t>控股股东未及时向公司发送《告知函》告知股</w:t>
            </w:r>
            <w:r>
              <w:rPr>
                <w:rFonts w:ascii="Microsoft YaHei" w:hAnsi="Microsoft YaHei" w:eastAsia="Microsoft YaHei" w:cs="Microsoft YaHei"/>
                <w:sz w:val="20"/>
                <w:szCs w:val="20"/>
                <w:spacing w:val="19"/>
              </w:rPr>
              <w:t>份冻结事</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项</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7"/>
              </w:rPr>
              <w:t>，导致紫天科技未及时披露</w:t>
            </w:r>
            <w:r>
              <w:rPr>
                <w:rFonts w:ascii="Microsoft YaHei" w:hAnsi="Microsoft YaHei" w:eastAsia="Microsoft YaHei" w:cs="Microsoft YaHei"/>
                <w:sz w:val="20"/>
                <w:szCs w:val="20"/>
                <w:b/>
                <w:bCs/>
                <w:spacing w:val="7"/>
              </w:rPr>
              <w:t>股份冻结</w:t>
            </w:r>
            <w:r>
              <w:rPr>
                <w:rFonts w:ascii="Microsoft YaHei" w:hAnsi="Microsoft YaHei" w:eastAsia="Microsoft YaHei" w:cs="Microsoft YaHei"/>
                <w:sz w:val="20"/>
                <w:szCs w:val="20"/>
                <w:spacing w:val="7"/>
              </w:rPr>
              <w:t>情况。</w:t>
            </w:r>
          </w:p>
        </w:tc>
      </w:tr>
      <w:tr>
        <w:trPr>
          <w:trHeight w:val="2524" w:hRule="atLeast"/>
        </w:trPr>
        <w:tc>
          <w:tcPr>
            <w:tcW w:w="8053" w:type="dxa"/>
            <w:vAlign w:val="top"/>
            <w:gridSpan w:val="3"/>
          </w:tcPr>
          <w:p>
            <w:pPr>
              <w:ind w:left="122"/>
              <w:spacing w:before="45"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【行政处罚决定】</w:t>
            </w:r>
            <w:r>
              <w:rPr>
                <w:rFonts w:ascii="Microsoft YaHei" w:hAnsi="Microsoft YaHei" w:eastAsia="Microsoft YaHei" w:cs="Microsoft YaHei"/>
                <w:sz w:val="20"/>
                <w:szCs w:val="20"/>
                <w:spacing w:val="9"/>
              </w:rPr>
              <w:t>中国证券监督管理委员会福</w:t>
            </w:r>
            <w:r>
              <w:rPr>
                <w:rFonts w:ascii="Microsoft YaHei" w:hAnsi="Microsoft YaHei" w:eastAsia="Microsoft YaHei" w:cs="Microsoft YaHei"/>
                <w:sz w:val="20"/>
                <w:szCs w:val="20"/>
                <w:spacing w:val="8"/>
              </w:rPr>
              <w:t>建监管局决定：</w:t>
            </w:r>
          </w:p>
          <w:p>
            <w:pPr>
              <w:ind w:left="138"/>
              <w:spacing w:before="25"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（一）对紫天科技给予警告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5"/>
              </w:rPr>
              <w:t>，并处以 50 万元罚款；</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（二）对安常投资给予警告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5"/>
              </w:rPr>
              <w:t>，并处以 75 万元罚款；</w:t>
            </w:r>
          </w:p>
          <w:p>
            <w:pPr>
              <w:ind w:left="105" w:right="104" w:firstLine="33"/>
              <w:spacing w:before="32"/>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（三）对时任董事长,时任总经理姚某欣给予警告</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，并处以 50 万元罚款</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，其中作为紫</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1"/>
              </w:rPr>
              <w:t>天科技违法行为直接负责的主管人员罚款 20 万元</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11"/>
              </w:rPr>
              <w:t>，作为控股股东违法行为直接负责</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5"/>
              </w:rPr>
              <w:t>的主管人员罚款 30 万元；</w:t>
            </w:r>
          </w:p>
          <w:p>
            <w:pPr>
              <w:ind w:left="138"/>
              <w:spacing w:before="50" w:line="21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（四）对时任高管,时任董事,时任董秘郭某给予警告</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6"/>
              </w:rPr>
              <w:t>，并处以 20 万元罚款。</w:t>
            </w:r>
          </w:p>
        </w:tc>
      </w:tr>
      <w:tr>
        <w:trPr>
          <w:trHeight w:val="366" w:hRule="atLeast"/>
        </w:trPr>
        <w:tc>
          <w:tcPr>
            <w:shd w:val="clear" w:fill="B8CCE4"/>
            <w:tcW w:w="1214" w:type="dxa"/>
            <w:vAlign w:val="top"/>
          </w:tcPr>
          <w:p>
            <w:pPr>
              <w:ind w:left="236"/>
              <w:spacing w:before="105" w:line="17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002483</w:t>
            </w:r>
          </w:p>
        </w:tc>
        <w:tc>
          <w:tcPr>
            <w:shd w:val="clear" w:fill="B8CCE4"/>
            <w:tcW w:w="1343" w:type="dxa"/>
            <w:vAlign w:val="top"/>
          </w:tcPr>
          <w:p>
            <w:pPr>
              <w:ind w:left="242"/>
              <w:spacing w:before="92"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润邦股份</w:t>
            </w:r>
          </w:p>
        </w:tc>
        <w:tc>
          <w:tcPr>
            <w:shd w:val="clear" w:fill="B8CCE4"/>
            <w:tcW w:w="5496" w:type="dxa"/>
            <w:vAlign w:val="top"/>
          </w:tcPr>
          <w:p>
            <w:pPr>
              <w:ind w:left="99"/>
              <w:spacing w:before="91" w:line="18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大股东</w:t>
            </w:r>
            <w:r>
              <w:rPr>
                <w:rFonts w:ascii="Microsoft YaHei" w:hAnsi="Microsoft YaHei" w:eastAsia="Microsoft YaHei" w:cs="Microsoft YaHei"/>
                <w:sz w:val="20"/>
                <w:szCs w:val="20"/>
                <w:b/>
                <w:bCs/>
                <w:spacing w:val="8"/>
              </w:rPr>
              <w:t>短线交易。</w:t>
            </w:r>
          </w:p>
        </w:tc>
      </w:tr>
      <w:tr>
        <w:trPr>
          <w:trHeight w:val="724" w:hRule="atLeast"/>
        </w:trPr>
        <w:tc>
          <w:tcPr>
            <w:tcW w:w="8053" w:type="dxa"/>
            <w:vAlign w:val="top"/>
            <w:gridSpan w:val="3"/>
          </w:tcPr>
          <w:p>
            <w:pPr>
              <w:ind w:left="112" w:right="104" w:firstLine="9"/>
              <w:spacing w:before="44"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4"/>
              </w:rPr>
              <w:t>【行政处罚决定】</w:t>
            </w:r>
            <w:r>
              <w:rPr>
                <w:rFonts w:ascii="Microsoft YaHei" w:hAnsi="Microsoft YaHei" w:eastAsia="Microsoft YaHei" w:cs="Microsoft YaHei"/>
                <w:sz w:val="20"/>
                <w:szCs w:val="20"/>
                <w:spacing w:val="14"/>
              </w:rPr>
              <w:t>中国证券监督管理委员会江</w:t>
            </w:r>
            <w:r>
              <w:rPr>
                <w:rFonts w:ascii="Microsoft YaHei" w:hAnsi="Microsoft YaHei" w:eastAsia="Microsoft YaHei" w:cs="Microsoft YaHei"/>
                <w:sz w:val="20"/>
                <w:szCs w:val="20"/>
                <w:spacing w:val="13"/>
              </w:rPr>
              <w:t>苏监管局决定:对王某山给予警告,并处</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以十五万元的罚款。</w:t>
            </w:r>
          </w:p>
        </w:tc>
      </w:tr>
      <w:tr>
        <w:trPr>
          <w:trHeight w:val="365" w:hRule="atLeast"/>
        </w:trPr>
        <w:tc>
          <w:tcPr>
            <w:shd w:val="clear" w:fill="B8CCE4"/>
            <w:tcW w:w="1214" w:type="dxa"/>
            <w:vAlign w:val="top"/>
          </w:tcPr>
          <w:p>
            <w:pPr>
              <w:ind w:left="239"/>
              <w:spacing w:before="106" w:line="17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603955</w:t>
            </w:r>
          </w:p>
        </w:tc>
        <w:tc>
          <w:tcPr>
            <w:shd w:val="clear" w:fill="B8CCE4"/>
            <w:tcW w:w="1343" w:type="dxa"/>
            <w:vAlign w:val="top"/>
          </w:tcPr>
          <w:p>
            <w:pPr>
              <w:ind w:left="242"/>
              <w:spacing w:before="91"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大千生态</w:t>
            </w:r>
          </w:p>
        </w:tc>
        <w:tc>
          <w:tcPr>
            <w:shd w:val="clear" w:fill="B8CCE4"/>
            <w:tcW w:w="5496" w:type="dxa"/>
            <w:vAlign w:val="top"/>
          </w:tcPr>
          <w:p>
            <w:pPr>
              <w:ind w:left="112"/>
              <w:spacing w:before="91"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6"/>
              </w:rPr>
              <w:t>内幕交易</w:t>
            </w:r>
            <w:r>
              <w:rPr>
                <w:rFonts w:ascii="Microsoft YaHei" w:hAnsi="Microsoft YaHei" w:eastAsia="Microsoft YaHei" w:cs="Microsoft YaHei"/>
                <w:sz w:val="20"/>
                <w:szCs w:val="20"/>
                <w:spacing w:val="6"/>
              </w:rPr>
              <w:t>公司股票。</w:t>
            </w:r>
          </w:p>
        </w:tc>
      </w:tr>
      <w:tr>
        <w:trPr>
          <w:trHeight w:val="1804" w:hRule="atLeast"/>
        </w:trPr>
        <w:tc>
          <w:tcPr>
            <w:tcW w:w="8053" w:type="dxa"/>
            <w:vAlign w:val="top"/>
            <w:gridSpan w:val="3"/>
          </w:tcPr>
          <w:p>
            <w:pPr>
              <w:ind w:left="122"/>
              <w:spacing w:before="48"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【行政处罚决定】</w:t>
            </w:r>
            <w:r>
              <w:rPr>
                <w:rFonts w:ascii="Microsoft YaHei" w:hAnsi="Microsoft YaHei" w:eastAsia="Microsoft YaHei" w:cs="Microsoft YaHei"/>
                <w:sz w:val="20"/>
                <w:szCs w:val="20"/>
                <w:spacing w:val="9"/>
              </w:rPr>
              <w:t>中国证券监督管理委员会深</w:t>
            </w:r>
            <w:r>
              <w:rPr>
                <w:rFonts w:ascii="Microsoft YaHei" w:hAnsi="Microsoft YaHei" w:eastAsia="Microsoft YaHei" w:cs="Microsoft YaHei"/>
                <w:sz w:val="20"/>
                <w:szCs w:val="20"/>
                <w:spacing w:val="8"/>
              </w:rPr>
              <w:t>圳监管局决定：</w:t>
            </w:r>
          </w:p>
          <w:p>
            <w:pPr>
              <w:ind w:left="106" w:right="149" w:firstLine="32"/>
              <w:spacing w:before="2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（一</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8"/>
              </w:rPr>
              <w:t>）对许某南内幕交易“大千生态</w:t>
            </w:r>
            <w:r>
              <w:rPr>
                <w:rFonts w:ascii="Microsoft YaHei" w:hAnsi="Microsoft YaHei" w:eastAsia="Microsoft YaHei" w:cs="Microsoft YaHei"/>
                <w:sz w:val="20"/>
                <w:szCs w:val="20"/>
                <w:spacing w:val="-40"/>
              </w:rPr>
              <w:t xml:space="preserve"> </w:t>
            </w:r>
            <w:r>
              <w:rPr>
                <w:rFonts w:ascii="Microsoft YaHei" w:hAnsi="Microsoft YaHei" w:eastAsia="Microsoft YaHei" w:cs="Microsoft YaHei"/>
                <w:sz w:val="20"/>
                <w:szCs w:val="20"/>
                <w:spacing w:val="8"/>
              </w:rPr>
              <w:t>”股票行为</w:t>
            </w:r>
            <w:r>
              <w:rPr>
                <w:rFonts w:ascii="Microsoft YaHei" w:hAnsi="Microsoft YaHei" w:eastAsia="Microsoft YaHei" w:cs="Microsoft YaHei"/>
                <w:sz w:val="20"/>
                <w:szCs w:val="20"/>
                <w:spacing w:val="-21"/>
              </w:rPr>
              <w:t xml:space="preserve"> </w:t>
            </w:r>
            <w:r>
              <w:rPr>
                <w:rFonts w:ascii="Microsoft YaHei" w:hAnsi="Microsoft YaHei" w:eastAsia="Microsoft YaHei" w:cs="Microsoft YaHei"/>
                <w:sz w:val="20"/>
                <w:szCs w:val="20"/>
                <w:spacing w:val="8"/>
              </w:rPr>
              <w:t>，没</w:t>
            </w:r>
            <w:r>
              <w:rPr>
                <w:rFonts w:ascii="Microsoft YaHei" w:hAnsi="Microsoft YaHei" w:eastAsia="Microsoft YaHei" w:cs="Microsoft YaHei"/>
                <w:sz w:val="20"/>
                <w:szCs w:val="20"/>
                <w:spacing w:val="7"/>
              </w:rPr>
              <w:t>收违法所得</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7"/>
              </w:rPr>
              <w:t>1,753,686.30 元，</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并处以 5,261,058.90 元罚款；</w:t>
            </w:r>
          </w:p>
          <w:p>
            <w:pPr>
              <w:ind w:left="105" w:right="103" w:firstLine="32"/>
              <w:spacing w:before="51" w:line="23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（二）对许某南在内幕信息公开前建议他人买入“大千生态</w:t>
            </w:r>
            <w:r>
              <w:rPr>
                <w:rFonts w:ascii="Microsoft YaHei" w:hAnsi="Microsoft YaHei" w:eastAsia="Microsoft YaHei" w:cs="Microsoft YaHei"/>
                <w:sz w:val="20"/>
                <w:szCs w:val="20"/>
                <w:spacing w:val="-40"/>
              </w:rPr>
              <w:t xml:space="preserve"> </w:t>
            </w:r>
            <w:r>
              <w:rPr>
                <w:rFonts w:ascii="Microsoft YaHei" w:hAnsi="Microsoft YaHei" w:eastAsia="Microsoft YaHei" w:cs="Microsoft YaHei"/>
                <w:sz w:val="20"/>
                <w:szCs w:val="20"/>
                <w:spacing w:val="10"/>
              </w:rPr>
              <w:t>”股票行为</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10"/>
              </w:rPr>
              <w:t>，处以</w:t>
            </w:r>
            <w:r>
              <w:rPr>
                <w:rFonts w:ascii="Microsoft YaHei" w:hAnsi="Microsoft YaHei" w:eastAsia="Microsoft YaHei" w:cs="Microsoft YaHei"/>
                <w:sz w:val="20"/>
                <w:szCs w:val="20"/>
                <w:spacing w:val="9"/>
              </w:rPr>
              <w:t xml:space="preserve"> 90 万</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元罚款。</w:t>
            </w:r>
          </w:p>
        </w:tc>
      </w:tr>
      <w:tr>
        <w:trPr>
          <w:trHeight w:val="366" w:hRule="atLeast"/>
        </w:trPr>
        <w:tc>
          <w:tcPr>
            <w:shd w:val="clear" w:fill="B8CCE4"/>
            <w:tcW w:w="1214" w:type="dxa"/>
            <w:vAlign w:val="top"/>
          </w:tcPr>
          <w:p>
            <w:pPr>
              <w:ind w:left="239"/>
              <w:spacing w:before="107" w:line="17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600481</w:t>
            </w:r>
          </w:p>
        </w:tc>
        <w:tc>
          <w:tcPr>
            <w:shd w:val="clear" w:fill="B8CCE4"/>
            <w:tcW w:w="1343" w:type="dxa"/>
            <w:vAlign w:val="top"/>
          </w:tcPr>
          <w:p>
            <w:pPr>
              <w:ind w:left="242"/>
              <w:spacing w:before="92"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双良节能</w:t>
            </w:r>
          </w:p>
        </w:tc>
        <w:tc>
          <w:tcPr>
            <w:shd w:val="clear" w:fill="B8CCE4"/>
            <w:tcW w:w="5496" w:type="dxa"/>
            <w:vAlign w:val="top"/>
          </w:tcPr>
          <w:p>
            <w:pPr>
              <w:ind w:left="108"/>
              <w:spacing w:before="94" w:line="18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时任董事亲属</w:t>
            </w:r>
            <w:r>
              <w:rPr>
                <w:rFonts w:ascii="Microsoft YaHei" w:hAnsi="Microsoft YaHei" w:eastAsia="Microsoft YaHei" w:cs="Microsoft YaHei"/>
                <w:sz w:val="20"/>
                <w:szCs w:val="20"/>
                <w:b/>
                <w:bCs/>
                <w:spacing w:val="7"/>
              </w:rPr>
              <w:t>短线交易。</w:t>
            </w:r>
          </w:p>
        </w:tc>
      </w:tr>
      <w:tr>
        <w:trPr>
          <w:trHeight w:val="724" w:hRule="atLeast"/>
        </w:trPr>
        <w:tc>
          <w:tcPr>
            <w:tcW w:w="8053" w:type="dxa"/>
            <w:vAlign w:val="top"/>
            <w:gridSpan w:val="3"/>
          </w:tcPr>
          <w:p>
            <w:pPr>
              <w:ind w:left="107" w:right="104" w:firstLine="14"/>
              <w:spacing w:before="50"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【行政处罚决定】</w:t>
            </w:r>
            <w:r>
              <w:rPr>
                <w:rFonts w:ascii="Microsoft YaHei" w:hAnsi="Microsoft YaHei" w:eastAsia="Microsoft YaHei" w:cs="Microsoft YaHei"/>
                <w:sz w:val="20"/>
                <w:szCs w:val="20"/>
                <w:spacing w:val="10"/>
              </w:rPr>
              <w:t>中国证券监督管理委员会安徽监管局决定</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10"/>
              </w:rPr>
              <w:t>：对时任董事江某方</w:t>
            </w:r>
            <w:r>
              <w:rPr>
                <w:rFonts w:ascii="Microsoft YaHei" w:hAnsi="Microsoft YaHei" w:eastAsia="Microsoft YaHei" w:cs="Microsoft YaHei"/>
                <w:sz w:val="20"/>
                <w:szCs w:val="20"/>
                <w:spacing w:val="9"/>
              </w:rPr>
              <w:t>给予</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3"/>
              </w:rPr>
              <w:t>警告</w:t>
            </w:r>
            <w:r>
              <w:rPr>
                <w:rFonts w:ascii="Microsoft YaHei" w:hAnsi="Microsoft YaHei" w:eastAsia="Microsoft YaHei" w:cs="Microsoft YaHei"/>
                <w:sz w:val="20"/>
                <w:szCs w:val="20"/>
                <w:spacing w:val="-15"/>
              </w:rPr>
              <w:t xml:space="preserve"> </w:t>
            </w:r>
            <w:r>
              <w:rPr>
                <w:rFonts w:ascii="Microsoft YaHei" w:hAnsi="Microsoft YaHei" w:eastAsia="Microsoft YaHei" w:cs="Microsoft YaHei"/>
                <w:sz w:val="20"/>
                <w:szCs w:val="20"/>
                <w:spacing w:val="3"/>
              </w:rPr>
              <w:t>，并处以 25 万元罚款。</w:t>
            </w:r>
          </w:p>
        </w:tc>
      </w:tr>
      <w:tr>
        <w:trPr>
          <w:trHeight w:val="1092" w:hRule="atLeast"/>
        </w:trPr>
        <w:tc>
          <w:tcPr>
            <w:shd w:val="clear" w:fill="B8CCE4"/>
            <w:tcW w:w="1214" w:type="dxa"/>
            <w:vAlign w:val="top"/>
          </w:tcPr>
          <w:p>
            <w:pPr>
              <w:spacing w:line="380" w:lineRule="auto"/>
              <w:rPr>
                <w:rFonts w:ascii="Arial"/>
                <w:sz w:val="21"/>
              </w:rPr>
            </w:pPr>
            <w:r/>
          </w:p>
          <w:p>
            <w:pPr>
              <w:ind w:left="236"/>
              <w:spacing w:before="85"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002193</w:t>
            </w:r>
          </w:p>
        </w:tc>
        <w:tc>
          <w:tcPr>
            <w:shd w:val="clear" w:fill="B8CCE4"/>
            <w:tcW w:w="1343" w:type="dxa"/>
            <w:vAlign w:val="top"/>
          </w:tcPr>
          <w:p>
            <w:pPr>
              <w:spacing w:line="365" w:lineRule="auto"/>
              <w:rPr>
                <w:rFonts w:ascii="Arial"/>
                <w:sz w:val="21"/>
              </w:rPr>
            </w:pPr>
            <w:r/>
          </w:p>
          <w:p>
            <w:pPr>
              <w:ind w:left="242"/>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如意集团</w:t>
            </w:r>
          </w:p>
        </w:tc>
        <w:tc>
          <w:tcPr>
            <w:shd w:val="clear" w:fill="B8CCE4"/>
            <w:tcW w:w="5496" w:type="dxa"/>
            <w:vAlign w:val="top"/>
          </w:tcPr>
          <w:p>
            <w:pPr>
              <w:ind w:left="98" w:right="104" w:firstLine="1"/>
              <w:spacing w:before="95"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未在 2019 年半年度报告、</w:t>
            </w:r>
            <w:r>
              <w:rPr>
                <w:rFonts w:ascii="Microsoft YaHei" w:hAnsi="Microsoft YaHei" w:eastAsia="Microsoft YaHei" w:cs="Microsoft YaHei"/>
                <w:sz w:val="20"/>
                <w:szCs w:val="20"/>
                <w:spacing w:val="-29"/>
              </w:rPr>
              <w:t xml:space="preserve"> </w:t>
            </w:r>
            <w:r>
              <w:rPr>
                <w:rFonts w:ascii="Microsoft YaHei" w:hAnsi="Microsoft YaHei" w:eastAsia="Microsoft YaHei" w:cs="Microsoft YaHei"/>
                <w:sz w:val="20"/>
                <w:szCs w:val="20"/>
                <w:spacing w:val="11"/>
              </w:rPr>
              <w:t>2019 年年度报告中披露</w:t>
            </w:r>
            <w:r>
              <w:rPr>
                <w:rFonts w:ascii="Microsoft YaHei" w:hAnsi="Microsoft YaHei" w:eastAsia="Microsoft YaHei" w:cs="Microsoft YaHei"/>
                <w:sz w:val="20"/>
                <w:szCs w:val="20"/>
                <w:b/>
                <w:bCs/>
                <w:spacing w:val="11"/>
              </w:rPr>
              <w:t>资金</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9"/>
              </w:rPr>
              <w:t>占用</w:t>
            </w:r>
            <w:r>
              <w:rPr>
                <w:rFonts w:ascii="Microsoft YaHei" w:hAnsi="Microsoft YaHei" w:eastAsia="Microsoft YaHei" w:cs="Microsoft YaHei"/>
                <w:sz w:val="20"/>
                <w:szCs w:val="20"/>
                <w:spacing w:val="9"/>
              </w:rPr>
              <w:t>事项</w:t>
            </w:r>
            <w:r>
              <w:rPr>
                <w:rFonts w:ascii="Microsoft YaHei" w:hAnsi="Microsoft YaHei" w:eastAsia="Microsoft YaHei" w:cs="Microsoft YaHei"/>
                <w:sz w:val="20"/>
                <w:szCs w:val="20"/>
                <w:spacing w:val="-22"/>
              </w:rPr>
              <w:t xml:space="preserve"> </w:t>
            </w:r>
            <w:r>
              <w:rPr>
                <w:rFonts w:ascii="Microsoft YaHei" w:hAnsi="Microsoft YaHei" w:eastAsia="Microsoft YaHei" w:cs="Microsoft YaHei"/>
                <w:sz w:val="20"/>
                <w:szCs w:val="20"/>
                <w:spacing w:val="9"/>
              </w:rPr>
              <w:t>，应当在 2019 年年度报告中将上述收购维信基</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金份额事项披露为</w:t>
            </w:r>
            <w:r>
              <w:rPr>
                <w:rFonts w:ascii="Microsoft YaHei" w:hAnsi="Microsoft YaHei" w:eastAsia="Microsoft YaHei" w:cs="Microsoft YaHei"/>
                <w:sz w:val="20"/>
                <w:szCs w:val="20"/>
                <w:b/>
                <w:bCs/>
                <w:spacing w:val="7"/>
              </w:rPr>
              <w:t>关联交易</w:t>
            </w:r>
            <w:r>
              <w:rPr>
                <w:rFonts w:ascii="Microsoft YaHei" w:hAnsi="Microsoft YaHei" w:eastAsia="Microsoft YaHei" w:cs="Microsoft YaHei"/>
                <w:sz w:val="20"/>
                <w:szCs w:val="20"/>
                <w:b/>
                <w:bCs/>
                <w:spacing w:val="-18"/>
              </w:rPr>
              <w:t xml:space="preserve"> </w:t>
            </w:r>
            <w:r>
              <w:rPr>
                <w:rFonts w:ascii="Microsoft YaHei" w:hAnsi="Microsoft YaHei" w:eastAsia="Microsoft YaHei" w:cs="Microsoft YaHei"/>
                <w:sz w:val="20"/>
                <w:szCs w:val="20"/>
                <w:spacing w:val="7"/>
              </w:rPr>
              <w:t>，但未予披露。</w:t>
            </w:r>
          </w:p>
        </w:tc>
      </w:tr>
    </w:tbl>
    <w:p>
      <w:pPr>
        <w:pStyle w:val="BodyText"/>
        <w:rPr/>
      </w:pPr>
      <w:r/>
    </w:p>
    <w:p>
      <w:pPr>
        <w:sectPr>
          <w:pgSz w:w="11910" w:h="16840"/>
          <w:pgMar w:top="400" w:right="1786" w:bottom="0" w:left="1786" w:header="0" w:footer="0" w:gutter="0"/>
        </w:sectPr>
        <w:rPr/>
      </w:pPr>
    </w:p>
    <w:tbl>
      <w:tblPr>
        <w:tblStyle w:val="TableNormal"/>
        <w:tblW w:w="8053" w:type="dxa"/>
        <w:tblInd w:w="51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3" w:hRule="atLeast"/>
        </w:trPr>
        <w:tc>
          <w:tcPr>
            <w:tcW w:w="8053" w:type="dxa"/>
            <w:vAlign w:val="top"/>
            <w:gridSpan w:val="3"/>
            <w:tcBorders>
              <w:top w:val="single" w:color="4F81BD" w:sz="2" w:space="0"/>
            </w:tcBorders>
          </w:tcPr>
          <w:p>
            <w:pPr>
              <w:ind w:left="105" w:right="104" w:firstLine="17"/>
              <w:spacing w:before="58"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【行政处罚决定】</w:t>
            </w:r>
            <w:r>
              <w:rPr>
                <w:rFonts w:ascii="Microsoft YaHei" w:hAnsi="Microsoft YaHei" w:eastAsia="Microsoft YaHei" w:cs="Microsoft YaHei"/>
                <w:sz w:val="20"/>
                <w:szCs w:val="20"/>
                <w:spacing w:val="10"/>
              </w:rPr>
              <w:t>中国证券监督管理委员会山东监管局决定</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10"/>
              </w:rPr>
              <w:t>：对时任董事王某瑛</w:t>
            </w:r>
            <w:r>
              <w:rPr>
                <w:rFonts w:ascii="Microsoft YaHei" w:hAnsi="Microsoft YaHei" w:eastAsia="Microsoft YaHei" w:cs="Microsoft YaHei"/>
                <w:sz w:val="20"/>
                <w:szCs w:val="20"/>
                <w:spacing w:val="9"/>
              </w:rPr>
              <w:t>、时</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任监事李某林给予警告</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6"/>
              </w:rPr>
              <w:t>，并分别处以 50 万元罚款。</w:t>
            </w:r>
          </w:p>
        </w:tc>
      </w:tr>
      <w:tr>
        <w:trPr>
          <w:trHeight w:val="365" w:hRule="atLeast"/>
        </w:trPr>
        <w:tc>
          <w:tcPr>
            <w:shd w:val="clear" w:fill="B8CCE4"/>
            <w:tcW w:w="1214" w:type="dxa"/>
            <w:vAlign w:val="top"/>
          </w:tcPr>
          <w:p>
            <w:pPr>
              <w:ind w:left="239"/>
              <w:spacing w:before="97"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600231</w:t>
            </w:r>
          </w:p>
        </w:tc>
        <w:tc>
          <w:tcPr>
            <w:shd w:val="clear" w:fill="B8CCE4"/>
            <w:tcW w:w="1343" w:type="dxa"/>
            <w:vAlign w:val="top"/>
          </w:tcPr>
          <w:p>
            <w:pPr>
              <w:ind w:left="245"/>
              <w:spacing w:before="85"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凌钢股份</w:t>
            </w:r>
          </w:p>
        </w:tc>
        <w:tc>
          <w:tcPr>
            <w:shd w:val="clear" w:fill="B8CCE4"/>
            <w:tcW w:w="5496" w:type="dxa"/>
            <w:vAlign w:val="top"/>
          </w:tcPr>
          <w:p>
            <w:pPr>
              <w:ind w:left="112"/>
              <w:spacing w:before="83"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6"/>
              </w:rPr>
              <w:t>内幕交易</w:t>
            </w:r>
            <w:r>
              <w:rPr>
                <w:rFonts w:ascii="Microsoft YaHei" w:hAnsi="Microsoft YaHei" w:eastAsia="Microsoft YaHei" w:cs="Microsoft YaHei"/>
                <w:sz w:val="20"/>
                <w:szCs w:val="20"/>
                <w:spacing w:val="6"/>
              </w:rPr>
              <w:t>相关股票。</w:t>
            </w:r>
          </w:p>
        </w:tc>
      </w:tr>
      <w:tr>
        <w:trPr>
          <w:trHeight w:val="1083" w:hRule="atLeast"/>
        </w:trPr>
        <w:tc>
          <w:tcPr>
            <w:tcW w:w="8053" w:type="dxa"/>
            <w:vAlign w:val="top"/>
            <w:gridSpan w:val="3"/>
          </w:tcPr>
          <w:p>
            <w:pPr>
              <w:ind w:left="122"/>
              <w:spacing w:before="39"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【行政处罚决定】</w:t>
            </w:r>
            <w:r>
              <w:rPr>
                <w:rFonts w:ascii="Microsoft YaHei" w:hAnsi="Microsoft YaHei" w:eastAsia="Microsoft YaHei" w:cs="Microsoft YaHei"/>
                <w:sz w:val="20"/>
                <w:szCs w:val="20"/>
                <w:spacing w:val="9"/>
              </w:rPr>
              <w:t>中国证券监督管理委员会山</w:t>
            </w:r>
            <w:r>
              <w:rPr>
                <w:rFonts w:ascii="Microsoft YaHei" w:hAnsi="Microsoft YaHei" w:eastAsia="Microsoft YaHei" w:cs="Microsoft YaHei"/>
                <w:sz w:val="20"/>
                <w:szCs w:val="20"/>
                <w:spacing w:val="8"/>
              </w:rPr>
              <w:t>西监管局决定：</w:t>
            </w:r>
          </w:p>
          <w:p>
            <w:pPr>
              <w:ind w:left="138" w:right="1436"/>
              <w:spacing w:before="2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（一）对张某没收违法所得</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3"/>
              </w:rPr>
              <w:t>1,343,043 元</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3"/>
              </w:rPr>
              <w:t>，并处以 4,029,129 元罚款；</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（二）对余某东处以 500,000 元罚款。</w:t>
            </w:r>
          </w:p>
        </w:tc>
      </w:tr>
      <w:tr>
        <w:trPr>
          <w:trHeight w:val="725" w:hRule="atLeast"/>
        </w:trPr>
        <w:tc>
          <w:tcPr>
            <w:shd w:val="clear" w:fill="B8CCE4"/>
            <w:tcW w:w="1214" w:type="dxa"/>
            <w:vAlign w:val="top"/>
          </w:tcPr>
          <w:p>
            <w:pPr>
              <w:ind w:left="236"/>
              <w:spacing w:before="281"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000667</w:t>
            </w:r>
          </w:p>
        </w:tc>
        <w:tc>
          <w:tcPr>
            <w:shd w:val="clear" w:fill="B8CCE4"/>
            <w:tcW w:w="1343" w:type="dxa"/>
            <w:vAlign w:val="top"/>
          </w:tcPr>
          <w:p>
            <w:pPr>
              <w:ind w:left="315"/>
              <w:spacing w:before="265"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3"/>
              </w:rPr>
              <w:t xml:space="preserve"> 美置</w:t>
            </w:r>
          </w:p>
        </w:tc>
        <w:tc>
          <w:tcPr>
            <w:shd w:val="clear" w:fill="B8CCE4"/>
            <w:tcW w:w="5496" w:type="dxa"/>
            <w:vAlign w:val="top"/>
          </w:tcPr>
          <w:p>
            <w:pPr>
              <w:ind w:left="99" w:right="104"/>
              <w:spacing w:before="85" w:line="22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未按规定及时披露</w:t>
            </w:r>
            <w:r>
              <w:rPr>
                <w:rFonts w:ascii="Microsoft YaHei" w:hAnsi="Microsoft YaHei" w:eastAsia="Microsoft YaHei" w:cs="Microsoft YaHei"/>
                <w:sz w:val="20"/>
                <w:szCs w:val="20"/>
                <w:b/>
                <w:bCs/>
                <w:spacing w:val="11"/>
              </w:rPr>
              <w:t>对外担保</w:t>
            </w:r>
            <w:r>
              <w:rPr>
                <w:rFonts w:ascii="Microsoft YaHei" w:hAnsi="Microsoft YaHei" w:eastAsia="Microsoft YaHei" w:cs="Microsoft YaHei"/>
                <w:sz w:val="20"/>
                <w:szCs w:val="20"/>
                <w:spacing w:val="11"/>
              </w:rPr>
              <w:t>；未按规定及时披露</w:t>
            </w:r>
            <w:r>
              <w:rPr>
                <w:rFonts w:ascii="Microsoft YaHei" w:hAnsi="Microsoft YaHei" w:eastAsia="Microsoft YaHei" w:cs="Microsoft YaHei"/>
                <w:sz w:val="20"/>
                <w:szCs w:val="20"/>
                <w:b/>
                <w:bCs/>
                <w:spacing w:val="11"/>
              </w:rPr>
              <w:t>重大诉讼</w:t>
            </w:r>
            <w:r>
              <w:rPr>
                <w:rFonts w:ascii="Microsoft YaHei" w:hAnsi="Microsoft YaHei" w:eastAsia="Microsoft YaHei" w:cs="Microsoft YaHei"/>
                <w:sz w:val="20"/>
                <w:szCs w:val="20"/>
                <w:b/>
                <w:bCs/>
                <w:spacing w:val="1"/>
              </w:rPr>
              <w:t xml:space="preserve"> </w:t>
            </w:r>
            <w:r>
              <w:rPr>
                <w:rFonts w:ascii="Microsoft YaHei" w:hAnsi="Microsoft YaHei" w:eastAsia="Microsoft YaHei" w:cs="Microsoft YaHei"/>
                <w:sz w:val="20"/>
                <w:szCs w:val="20"/>
                <w:b/>
                <w:bCs/>
                <w:spacing w:val="6"/>
              </w:rPr>
              <w:t>和仲裁。</w:t>
            </w:r>
          </w:p>
        </w:tc>
      </w:tr>
      <w:tr>
        <w:trPr>
          <w:trHeight w:val="1803" w:hRule="atLeast"/>
        </w:trPr>
        <w:tc>
          <w:tcPr>
            <w:tcW w:w="8053" w:type="dxa"/>
            <w:vAlign w:val="top"/>
            <w:gridSpan w:val="3"/>
          </w:tcPr>
          <w:p>
            <w:pPr>
              <w:ind w:left="122"/>
              <w:spacing w:before="42"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【行政处罚决定】</w:t>
            </w:r>
            <w:r>
              <w:rPr>
                <w:rFonts w:ascii="Microsoft YaHei" w:hAnsi="Microsoft YaHei" w:eastAsia="Microsoft YaHei" w:cs="Microsoft YaHei"/>
                <w:sz w:val="20"/>
                <w:szCs w:val="20"/>
                <w:spacing w:val="9"/>
              </w:rPr>
              <w:t>中国证券监督管理委员会云</w:t>
            </w:r>
            <w:r>
              <w:rPr>
                <w:rFonts w:ascii="Microsoft YaHei" w:hAnsi="Microsoft YaHei" w:eastAsia="Microsoft YaHei" w:cs="Microsoft YaHei"/>
                <w:sz w:val="20"/>
                <w:szCs w:val="20"/>
                <w:spacing w:val="8"/>
              </w:rPr>
              <w:t>南监管局决定：</w:t>
            </w:r>
          </w:p>
          <w:p>
            <w:pPr>
              <w:ind w:left="138" w:right="1417"/>
              <w:spacing w:before="26"/>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（一）对美好置业集团股份有限公司给予警告</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5"/>
              </w:rPr>
              <w:t>，并处以</w:t>
            </w:r>
            <w:r>
              <w:rPr>
                <w:rFonts w:ascii="Microsoft YaHei" w:hAnsi="Microsoft YaHei" w:eastAsia="Microsoft YaHei" w:cs="Microsoft YaHei"/>
                <w:sz w:val="20"/>
                <w:szCs w:val="20"/>
                <w:spacing w:val="17"/>
                <w:w w:val="101"/>
              </w:rPr>
              <w:t xml:space="preserve"> </w:t>
            </w:r>
            <w:r>
              <w:rPr>
                <w:rFonts w:ascii="Microsoft YaHei" w:hAnsi="Microsoft YaHei" w:eastAsia="Microsoft YaHei" w:cs="Microsoft YaHei"/>
                <w:sz w:val="20"/>
                <w:szCs w:val="20"/>
                <w:spacing w:val="5"/>
              </w:rPr>
              <w:t>150</w:t>
            </w:r>
            <w:r>
              <w:rPr>
                <w:rFonts w:ascii="Microsoft YaHei" w:hAnsi="Microsoft YaHei" w:eastAsia="Microsoft YaHei" w:cs="Microsoft YaHei"/>
                <w:sz w:val="20"/>
                <w:szCs w:val="20"/>
                <w:spacing w:val="4"/>
              </w:rPr>
              <w:t xml:space="preserve"> 万元罚款；</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（二）对时任董事长刘某明给予警告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6"/>
              </w:rPr>
              <w:t>，并处</w:t>
            </w:r>
            <w:r>
              <w:rPr>
                <w:rFonts w:ascii="Microsoft YaHei" w:hAnsi="Microsoft YaHei" w:eastAsia="Microsoft YaHei" w:cs="Microsoft YaHei"/>
                <w:sz w:val="20"/>
                <w:szCs w:val="20"/>
                <w:spacing w:val="5"/>
              </w:rPr>
              <w:t>以 30 万元罚款；</w:t>
            </w:r>
          </w:p>
          <w:p>
            <w:pPr>
              <w:ind w:left="138"/>
              <w:spacing w:before="32" w:line="360"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position w:val="9"/>
              </w:rPr>
              <w:t>（三）对时任高管李某锋给予警告</w:t>
            </w:r>
            <w:r>
              <w:rPr>
                <w:rFonts w:ascii="Microsoft YaHei" w:hAnsi="Microsoft YaHei" w:eastAsia="Microsoft YaHei" w:cs="Microsoft YaHei"/>
                <w:sz w:val="20"/>
                <w:szCs w:val="20"/>
                <w:spacing w:val="-10"/>
                <w:position w:val="9"/>
              </w:rPr>
              <w:t xml:space="preserve"> </w:t>
            </w:r>
            <w:r>
              <w:rPr>
                <w:rFonts w:ascii="Microsoft YaHei" w:hAnsi="Microsoft YaHei" w:eastAsia="Microsoft YaHei" w:cs="Microsoft YaHei"/>
                <w:sz w:val="20"/>
                <w:szCs w:val="20"/>
                <w:spacing w:val="5"/>
                <w:position w:val="9"/>
              </w:rPr>
              <w:t>，并处以 25 万元罚款；</w:t>
            </w:r>
          </w:p>
          <w:p>
            <w:pPr>
              <w:ind w:left="138"/>
              <w:spacing w:line="21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（四）对时任董秘冯某给予警告</w:t>
            </w:r>
            <w:r>
              <w:rPr>
                <w:rFonts w:ascii="Microsoft YaHei" w:hAnsi="Microsoft YaHei" w:eastAsia="Microsoft YaHei" w:cs="Microsoft YaHei"/>
                <w:sz w:val="20"/>
                <w:szCs w:val="20"/>
                <w:spacing w:val="-17"/>
              </w:rPr>
              <w:t xml:space="preserve"> </w:t>
            </w:r>
            <w:r>
              <w:rPr>
                <w:rFonts w:ascii="Microsoft YaHei" w:hAnsi="Microsoft YaHei" w:eastAsia="Microsoft YaHei" w:cs="Microsoft YaHei"/>
                <w:sz w:val="20"/>
                <w:szCs w:val="20"/>
                <w:spacing w:val="5"/>
              </w:rPr>
              <w:t>，并处以 25 万元罚款。</w:t>
            </w:r>
          </w:p>
        </w:tc>
      </w:tr>
      <w:tr>
        <w:trPr>
          <w:trHeight w:val="365" w:hRule="atLeast"/>
        </w:trPr>
        <w:tc>
          <w:tcPr>
            <w:shd w:val="clear" w:fill="B8CCE4"/>
            <w:tcW w:w="1214" w:type="dxa"/>
            <w:vAlign w:val="top"/>
          </w:tcPr>
          <w:p>
            <w:pPr>
              <w:ind w:left="236"/>
              <w:spacing w:before="103" w:line="17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002810</w:t>
            </w:r>
          </w:p>
        </w:tc>
        <w:tc>
          <w:tcPr>
            <w:shd w:val="clear" w:fill="B8CCE4"/>
            <w:tcW w:w="1343" w:type="dxa"/>
            <w:vAlign w:val="top"/>
          </w:tcPr>
          <w:p>
            <w:pPr>
              <w:ind w:left="260"/>
              <w:spacing w:before="89"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山东赫达</w:t>
            </w:r>
          </w:p>
        </w:tc>
        <w:tc>
          <w:tcPr>
            <w:shd w:val="clear" w:fill="B8CCE4"/>
            <w:tcW w:w="5496" w:type="dxa"/>
            <w:vAlign w:val="top"/>
          </w:tcPr>
          <w:p>
            <w:pPr>
              <w:ind w:left="101"/>
              <w:spacing w:before="87"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副总经理配售公司可转债后 </w:t>
            </w:r>
            <w:r>
              <w:rPr>
                <w:rFonts w:ascii="Microsoft YaHei" w:hAnsi="Microsoft YaHei" w:eastAsia="Microsoft YaHei" w:cs="Microsoft YaHei"/>
                <w:sz w:val="20"/>
                <w:szCs w:val="20"/>
                <w:b/>
                <w:bCs/>
                <w:spacing w:val="7"/>
              </w:rPr>
              <w:t>6 个月内卖出。</w:t>
            </w:r>
          </w:p>
        </w:tc>
      </w:tr>
      <w:tr>
        <w:trPr>
          <w:trHeight w:val="725" w:hRule="atLeast"/>
        </w:trPr>
        <w:tc>
          <w:tcPr>
            <w:tcW w:w="8053" w:type="dxa"/>
            <w:vAlign w:val="top"/>
            <w:gridSpan w:val="3"/>
          </w:tcPr>
          <w:p>
            <w:pPr>
              <w:ind w:left="108" w:right="104" w:firstLine="14"/>
              <w:spacing w:before="4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6"/>
              </w:rPr>
              <w:t>【行政处罚决定】</w:t>
            </w:r>
            <w:r>
              <w:rPr>
                <w:rFonts w:ascii="Microsoft YaHei" w:hAnsi="Microsoft YaHei" w:eastAsia="Microsoft YaHei" w:cs="Microsoft YaHei"/>
                <w:sz w:val="20"/>
                <w:szCs w:val="20"/>
                <w:spacing w:val="16"/>
              </w:rPr>
              <w:t>中国证券监督管理委员会山东监管</w:t>
            </w:r>
            <w:r>
              <w:rPr>
                <w:rFonts w:ascii="Microsoft YaHei" w:hAnsi="Microsoft YaHei" w:eastAsia="Microsoft YaHei" w:cs="Microsoft YaHei"/>
                <w:sz w:val="20"/>
                <w:szCs w:val="20"/>
                <w:spacing w:val="15"/>
              </w:rPr>
              <w:t>局决定</w:t>
            </w:r>
            <w:r>
              <w:rPr>
                <w:rFonts w:ascii="Microsoft YaHei" w:hAnsi="Microsoft YaHei" w:eastAsia="Microsoft YaHei" w:cs="Microsoft YaHei"/>
                <w:sz w:val="20"/>
                <w:szCs w:val="20"/>
                <w:spacing w:val="-12"/>
              </w:rPr>
              <w:t xml:space="preserve"> </w:t>
            </w:r>
            <w:r>
              <w:rPr>
                <w:rFonts w:ascii="Microsoft YaHei" w:hAnsi="Microsoft YaHei" w:eastAsia="Microsoft YaHei" w:cs="Microsoft YaHei"/>
                <w:sz w:val="20"/>
                <w:szCs w:val="20"/>
                <w:spacing w:val="15"/>
              </w:rPr>
              <w:t>：对高管邱某军给予警</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告</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4"/>
              </w:rPr>
              <w:t>，并处以 10 万元的罚款。</w:t>
            </w:r>
          </w:p>
        </w:tc>
      </w:tr>
      <w:tr>
        <w:trPr>
          <w:trHeight w:val="1083" w:hRule="atLeast"/>
        </w:trPr>
        <w:tc>
          <w:tcPr>
            <w:shd w:val="clear" w:fill="B8CCE4"/>
            <w:tcW w:w="1214" w:type="dxa"/>
            <w:vAlign w:val="top"/>
          </w:tcPr>
          <w:p>
            <w:pPr>
              <w:spacing w:line="375" w:lineRule="auto"/>
              <w:rPr>
                <w:rFonts w:ascii="Arial"/>
                <w:sz w:val="21"/>
              </w:rPr>
            </w:pPr>
            <w:r/>
          </w:p>
          <w:p>
            <w:pPr>
              <w:ind w:left="236"/>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002178</w:t>
            </w:r>
          </w:p>
        </w:tc>
        <w:tc>
          <w:tcPr>
            <w:shd w:val="clear" w:fill="B8CCE4"/>
            <w:tcW w:w="1343" w:type="dxa"/>
            <w:vAlign w:val="top"/>
          </w:tcPr>
          <w:p>
            <w:pPr>
              <w:spacing w:line="360" w:lineRule="auto"/>
              <w:rPr>
                <w:rFonts w:ascii="Arial"/>
                <w:sz w:val="21"/>
              </w:rPr>
            </w:pPr>
            <w:r/>
          </w:p>
          <w:p>
            <w:pPr>
              <w:ind w:left="243"/>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延华智能</w:t>
            </w:r>
          </w:p>
        </w:tc>
        <w:tc>
          <w:tcPr>
            <w:shd w:val="clear" w:fill="B8CCE4"/>
            <w:tcW w:w="5496" w:type="dxa"/>
            <w:vAlign w:val="top"/>
          </w:tcPr>
          <w:p>
            <w:pPr>
              <w:ind w:left="100" w:right="103" w:firstLine="7"/>
              <w:spacing w:before="89" w:line="257"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2022 年半年报、</w:t>
            </w:r>
            <w:r>
              <w:rPr>
                <w:rFonts w:ascii="Microsoft YaHei" w:hAnsi="Microsoft YaHei" w:eastAsia="Microsoft YaHei" w:cs="Microsoft YaHei"/>
                <w:sz w:val="20"/>
                <w:szCs w:val="20"/>
                <w:spacing w:val="-32"/>
              </w:rPr>
              <w:t xml:space="preserve"> </w:t>
            </w:r>
            <w:r>
              <w:rPr>
                <w:rFonts w:ascii="Microsoft YaHei" w:hAnsi="Microsoft YaHei" w:eastAsia="Microsoft YaHei" w:cs="Microsoft YaHei"/>
                <w:sz w:val="20"/>
                <w:szCs w:val="20"/>
                <w:spacing w:val="7"/>
              </w:rPr>
              <w:t>2022 年三季报存在</w:t>
            </w:r>
            <w:r>
              <w:rPr>
                <w:rFonts w:ascii="Microsoft YaHei" w:hAnsi="Microsoft YaHei" w:eastAsia="Microsoft YaHei" w:cs="Microsoft YaHei"/>
                <w:sz w:val="20"/>
                <w:szCs w:val="20"/>
                <w:b/>
                <w:bCs/>
                <w:spacing w:val="7"/>
              </w:rPr>
              <w:t>虚假记载</w:t>
            </w:r>
            <w:r>
              <w:rPr>
                <w:rFonts w:ascii="Microsoft YaHei" w:hAnsi="Microsoft YaHei" w:eastAsia="Microsoft YaHei" w:cs="Microsoft YaHei"/>
                <w:sz w:val="20"/>
                <w:szCs w:val="20"/>
                <w:spacing w:val="7"/>
              </w:rPr>
              <w:t>；</w:t>
            </w:r>
            <w:r>
              <w:rPr>
                <w:rFonts w:ascii="Microsoft YaHei" w:hAnsi="Microsoft YaHei" w:eastAsia="Microsoft YaHei" w:cs="Microsoft YaHei"/>
                <w:sz w:val="20"/>
                <w:szCs w:val="20"/>
                <w:spacing w:val="-29"/>
              </w:rPr>
              <w:t xml:space="preserve"> </w:t>
            </w:r>
            <w:r>
              <w:rPr>
                <w:rFonts w:ascii="Microsoft YaHei" w:hAnsi="Microsoft YaHei" w:eastAsia="Microsoft YaHei" w:cs="Microsoft YaHei"/>
                <w:sz w:val="20"/>
                <w:szCs w:val="20"/>
                <w:spacing w:val="7"/>
              </w:rPr>
              <w:t>2022 年</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8"/>
              </w:rPr>
              <w:t>半年报未全面</w:t>
            </w:r>
            <w:r>
              <w:rPr>
                <w:rFonts w:ascii="Microsoft YaHei" w:hAnsi="Microsoft YaHei" w:eastAsia="Microsoft YaHei" w:cs="Microsoft YaHei"/>
                <w:sz w:val="20"/>
                <w:szCs w:val="20"/>
                <w:spacing w:val="-35"/>
              </w:rPr>
              <w:t xml:space="preserve"> </w:t>
            </w:r>
            <w:r>
              <w:rPr>
                <w:rFonts w:ascii="Microsoft YaHei" w:hAnsi="Microsoft YaHei" w:eastAsia="Microsoft YaHei" w:cs="Microsoft YaHei"/>
                <w:sz w:val="20"/>
                <w:szCs w:val="20"/>
                <w:spacing w:val="18"/>
              </w:rPr>
              <w:t>、</w:t>
            </w:r>
            <w:r>
              <w:rPr>
                <w:rFonts w:ascii="Microsoft YaHei" w:hAnsi="Microsoft YaHei" w:eastAsia="Microsoft YaHei" w:cs="Microsoft YaHei"/>
                <w:sz w:val="20"/>
                <w:szCs w:val="20"/>
                <w:spacing w:val="-38"/>
              </w:rPr>
              <w:t xml:space="preserve"> </w:t>
            </w:r>
            <w:r>
              <w:rPr>
                <w:rFonts w:ascii="Microsoft YaHei" w:hAnsi="Microsoft YaHei" w:eastAsia="Microsoft YaHei" w:cs="Microsoft YaHei"/>
                <w:sz w:val="20"/>
                <w:szCs w:val="20"/>
                <w:spacing w:val="18"/>
              </w:rPr>
              <w:t>充分披露</w:t>
            </w:r>
            <w:r>
              <w:rPr>
                <w:rFonts w:ascii="Microsoft YaHei" w:hAnsi="Microsoft YaHei" w:eastAsia="Microsoft YaHei" w:cs="Microsoft YaHei"/>
                <w:sz w:val="20"/>
                <w:szCs w:val="20"/>
                <w:b/>
                <w:bCs/>
                <w:spacing w:val="18"/>
              </w:rPr>
              <w:t>参股公司泰和康业绩下</w:t>
            </w:r>
            <w:r>
              <w:rPr>
                <w:rFonts w:ascii="Microsoft YaHei" w:hAnsi="Microsoft YaHei" w:eastAsia="Microsoft YaHei" w:cs="Microsoft YaHei"/>
                <w:sz w:val="20"/>
                <w:szCs w:val="20"/>
                <w:b/>
                <w:bCs/>
                <w:spacing w:val="17"/>
              </w:rPr>
              <w:t>滑</w:t>
            </w:r>
            <w:r>
              <w:rPr>
                <w:rFonts w:ascii="Microsoft YaHei" w:hAnsi="Microsoft YaHei" w:eastAsia="Microsoft YaHei" w:cs="Microsoft YaHei"/>
                <w:sz w:val="20"/>
                <w:szCs w:val="20"/>
                <w:spacing w:val="17"/>
              </w:rPr>
              <w:t>的原</w:t>
            </w:r>
          </w:p>
          <w:p>
            <w:pPr>
              <w:ind w:left="113"/>
              <w:spacing w:line="17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因。</w:t>
            </w:r>
          </w:p>
        </w:tc>
      </w:tr>
      <w:tr>
        <w:trPr>
          <w:trHeight w:val="2172" w:hRule="atLeast"/>
        </w:trPr>
        <w:tc>
          <w:tcPr>
            <w:tcW w:w="8053" w:type="dxa"/>
            <w:vAlign w:val="top"/>
            <w:gridSpan w:val="3"/>
          </w:tcPr>
          <w:p>
            <w:pPr>
              <w:ind w:left="122"/>
              <w:spacing w:before="49" w:line="23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8"/>
              </w:rPr>
              <w:t>【行政处罚决定】</w:t>
            </w:r>
            <w:r>
              <w:rPr>
                <w:rFonts w:ascii="Microsoft YaHei" w:hAnsi="Microsoft YaHei" w:eastAsia="Microsoft YaHei" w:cs="Microsoft YaHei"/>
                <w:sz w:val="20"/>
                <w:szCs w:val="20"/>
                <w:spacing w:val="8"/>
              </w:rPr>
              <w:t>上海证监局决定:</w:t>
            </w:r>
          </w:p>
          <w:p>
            <w:pPr>
              <w:ind w:left="124"/>
              <w:spacing w:before="62" w:line="362" w:lineRule="exact"/>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position w:val="12"/>
              </w:rPr>
              <w:t>1.对延华智能责令改正</w:t>
            </w:r>
            <w:r>
              <w:rPr>
                <w:rFonts w:ascii="Microsoft YaHei" w:hAnsi="Microsoft YaHei" w:eastAsia="Microsoft YaHei" w:cs="Microsoft YaHei"/>
                <w:sz w:val="20"/>
                <w:szCs w:val="20"/>
                <w:spacing w:val="-28"/>
                <w:position w:val="12"/>
              </w:rPr>
              <w:t xml:space="preserve"> </w:t>
            </w:r>
            <w:r>
              <w:rPr>
                <w:rFonts w:ascii="Microsoft YaHei" w:hAnsi="Microsoft YaHei" w:eastAsia="Microsoft YaHei" w:cs="Microsoft YaHei"/>
                <w:sz w:val="20"/>
                <w:szCs w:val="20"/>
                <w:spacing w:val="6"/>
                <w:position w:val="12"/>
              </w:rPr>
              <w:t>，给予警告</w:t>
            </w:r>
            <w:r>
              <w:rPr>
                <w:rFonts w:ascii="Microsoft YaHei" w:hAnsi="Microsoft YaHei" w:eastAsia="Microsoft YaHei" w:cs="Microsoft YaHei"/>
                <w:sz w:val="20"/>
                <w:szCs w:val="20"/>
                <w:spacing w:val="-26"/>
                <w:position w:val="12"/>
              </w:rPr>
              <w:t xml:space="preserve"> </w:t>
            </w:r>
            <w:r>
              <w:rPr>
                <w:rFonts w:ascii="Microsoft YaHei" w:hAnsi="Microsoft YaHei" w:eastAsia="Microsoft YaHei" w:cs="Microsoft YaHei"/>
                <w:sz w:val="20"/>
                <w:szCs w:val="20"/>
                <w:spacing w:val="6"/>
                <w:position w:val="12"/>
              </w:rPr>
              <w:t>，并处以两百</w:t>
            </w:r>
            <w:r>
              <w:rPr>
                <w:rFonts w:ascii="Microsoft YaHei" w:hAnsi="Microsoft YaHei" w:eastAsia="Microsoft YaHei" w:cs="Microsoft YaHei"/>
                <w:sz w:val="20"/>
                <w:szCs w:val="20"/>
                <w:spacing w:val="5"/>
                <w:position w:val="12"/>
              </w:rPr>
              <w:t>万元罚款；</w:t>
            </w:r>
          </w:p>
          <w:p>
            <w:pPr>
              <w:ind w:left="114"/>
              <w:spacing w:before="1"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2.对时任董事长龚某国给予警告</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7"/>
              </w:rPr>
              <w:t>，并处以一百万元罚款；</w:t>
            </w:r>
          </w:p>
          <w:p>
            <w:pPr>
              <w:ind w:left="104" w:right="1246" w:firstLine="12"/>
              <w:spacing w:before="88"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3.对时任总经理,时任财务总监黄某玲给予警告</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7"/>
              </w:rPr>
              <w:t>，并</w:t>
            </w:r>
            <w:r>
              <w:rPr>
                <w:rFonts w:ascii="Microsoft YaHei" w:hAnsi="Microsoft YaHei" w:eastAsia="Microsoft YaHei" w:cs="Microsoft YaHei"/>
                <w:sz w:val="20"/>
                <w:szCs w:val="20"/>
                <w:spacing w:val="6"/>
              </w:rPr>
              <w:t>处以七十五万元罚款；</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4.对时任财务总监曹某给予警告</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8"/>
              </w:rPr>
              <w:t>，并处以五</w:t>
            </w:r>
            <w:r>
              <w:rPr>
                <w:rFonts w:ascii="Microsoft YaHei" w:hAnsi="Microsoft YaHei" w:eastAsia="Microsoft YaHei" w:cs="Microsoft YaHei"/>
                <w:sz w:val="20"/>
                <w:szCs w:val="20"/>
                <w:spacing w:val="7"/>
              </w:rPr>
              <w:t>十万元罚款；</w:t>
            </w:r>
          </w:p>
          <w:p>
            <w:pPr>
              <w:ind w:left="120"/>
              <w:spacing w:before="89"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5.对时任董秘唐某妍给予警告</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7"/>
              </w:rPr>
              <w:t>，并处以五十万元</w:t>
            </w:r>
            <w:r>
              <w:rPr>
                <w:rFonts w:ascii="Microsoft YaHei" w:hAnsi="Microsoft YaHei" w:eastAsia="Microsoft YaHei" w:cs="Microsoft YaHei"/>
                <w:sz w:val="20"/>
                <w:szCs w:val="20"/>
                <w:spacing w:val="6"/>
              </w:rPr>
              <w:t>罚款。</w:t>
            </w:r>
          </w:p>
        </w:tc>
      </w:tr>
    </w:tbl>
    <w:p>
      <w:pPr>
        <w:pStyle w:val="BodyText"/>
        <w:spacing w:line="277" w:lineRule="auto"/>
        <w:rPr/>
      </w:pPr>
      <w:r/>
    </w:p>
    <w:p>
      <w:pPr>
        <w:pStyle w:val="BodyText"/>
        <w:spacing w:line="277" w:lineRule="auto"/>
        <w:rPr/>
      </w:pPr>
      <w:r/>
    </w:p>
    <w:p>
      <w:pPr>
        <w:pStyle w:val="BodyText"/>
        <w:spacing w:line="278"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（2）行政处罚决定事先告知书</w:t>
      </w:r>
    </w:p>
    <w:p>
      <w:pPr>
        <w:spacing w:line="218" w:lineRule="exact"/>
        <w:rPr/>
      </w:pPr>
      <w:r/>
    </w:p>
    <w:tbl>
      <w:tblPr>
        <w:tblStyle w:val="TableNormal"/>
        <w:tblW w:w="8053" w:type="dxa"/>
        <w:tblInd w:w="51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6" w:hRule="atLeast"/>
        </w:trPr>
        <w:tc>
          <w:tcPr>
            <w:shd w:val="clear" w:fill="4F81BD"/>
            <w:tcW w:w="1214" w:type="dxa"/>
            <w:vAlign w:val="top"/>
            <w:tcBorders>
              <w:bottom w:val="single" w:color="4F81BD" w:sz="2" w:space="0"/>
            </w:tcBorders>
          </w:tcPr>
          <w:p>
            <w:pPr>
              <w:ind w:left="181"/>
              <w:spacing w:before="107"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公司代码</w:t>
            </w:r>
          </w:p>
        </w:tc>
        <w:tc>
          <w:tcPr>
            <w:shd w:val="clear" w:fill="4F81BD"/>
            <w:tcW w:w="1343" w:type="dxa"/>
            <w:vAlign w:val="top"/>
            <w:tcBorders>
              <w:bottom w:val="single" w:color="4F81BD" w:sz="2" w:space="0"/>
            </w:tcBorders>
          </w:tcPr>
          <w:p>
            <w:pPr>
              <w:ind w:left="243"/>
              <w:spacing w:before="108"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公司简称</w:t>
            </w:r>
          </w:p>
        </w:tc>
        <w:tc>
          <w:tcPr>
            <w:shd w:val="clear" w:fill="4F81BD"/>
            <w:tcW w:w="5496" w:type="dxa"/>
            <w:vAlign w:val="top"/>
            <w:tcBorders>
              <w:bottom w:val="single" w:color="4F81BD" w:sz="2" w:space="0"/>
            </w:tcBorders>
          </w:tcPr>
          <w:p>
            <w:pPr>
              <w:ind w:left="2320"/>
              <w:spacing w:before="107"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违规行为</w:t>
            </w:r>
          </w:p>
        </w:tc>
      </w:tr>
      <w:tr>
        <w:trPr>
          <w:trHeight w:val="728" w:hRule="atLeast"/>
        </w:trPr>
        <w:tc>
          <w:tcPr>
            <w:shd w:val="clear" w:fill="B8CCE4"/>
            <w:tcW w:w="1214" w:type="dxa"/>
            <w:vAlign w:val="top"/>
            <w:tcBorders>
              <w:top w:val="single" w:color="4F81BD" w:sz="2" w:space="0"/>
            </w:tcBorders>
          </w:tcPr>
          <w:p>
            <w:pPr>
              <w:ind w:left="242"/>
              <w:spacing w:before="281"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300266</w:t>
            </w:r>
          </w:p>
        </w:tc>
        <w:tc>
          <w:tcPr>
            <w:shd w:val="clear" w:fill="B8CCE4"/>
            <w:tcW w:w="1343" w:type="dxa"/>
            <w:vAlign w:val="top"/>
            <w:tcBorders>
              <w:top w:val="single" w:color="4F81BD" w:sz="2" w:space="0"/>
            </w:tcBorders>
          </w:tcPr>
          <w:p>
            <w:pPr>
              <w:ind w:left="244"/>
              <w:spacing w:before="26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兴源环境</w:t>
            </w:r>
          </w:p>
        </w:tc>
        <w:tc>
          <w:tcPr>
            <w:shd w:val="clear" w:fill="B8CCE4"/>
            <w:tcW w:w="5496" w:type="dxa"/>
            <w:vAlign w:val="top"/>
            <w:tcBorders>
              <w:top w:val="single" w:color="4F81BD" w:sz="2" w:space="0"/>
            </w:tcBorders>
          </w:tcPr>
          <w:p>
            <w:pPr>
              <w:ind w:left="99" w:right="104" w:firstLine="2"/>
              <w:spacing w:before="86"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兴源环境 2016 年至 2022 年年</w:t>
            </w:r>
            <w:r>
              <w:rPr>
                <w:rFonts w:ascii="Microsoft YaHei" w:hAnsi="Microsoft YaHei" w:eastAsia="Microsoft YaHei" w:cs="Microsoft YaHei"/>
                <w:sz w:val="20"/>
                <w:szCs w:val="20"/>
                <w:spacing w:val="9"/>
              </w:rPr>
              <w:t>报财务数据及相关披露存</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在</w:t>
            </w:r>
            <w:r>
              <w:rPr>
                <w:rFonts w:ascii="Microsoft YaHei" w:hAnsi="Microsoft YaHei" w:eastAsia="Microsoft YaHei" w:cs="Microsoft YaHei"/>
                <w:sz w:val="20"/>
                <w:szCs w:val="20"/>
                <w:b/>
                <w:bCs/>
                <w:spacing w:val="7"/>
              </w:rPr>
              <w:t>虚假记载。</w:t>
            </w:r>
          </w:p>
        </w:tc>
      </w:tr>
      <w:tr>
        <w:trPr>
          <w:trHeight w:val="1083" w:hRule="atLeast"/>
        </w:trPr>
        <w:tc>
          <w:tcPr>
            <w:tcW w:w="8053" w:type="dxa"/>
            <w:vAlign w:val="top"/>
            <w:gridSpan w:val="3"/>
          </w:tcPr>
          <w:p>
            <w:pPr>
              <w:ind w:left="122"/>
              <w:spacing w:before="41"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【行政处罚决定（拟）】</w:t>
            </w:r>
            <w:r>
              <w:rPr>
                <w:rFonts w:ascii="Microsoft YaHei" w:hAnsi="Microsoft YaHei" w:eastAsia="Microsoft YaHei" w:cs="Microsoft YaHei"/>
                <w:sz w:val="20"/>
                <w:szCs w:val="20"/>
                <w:spacing w:val="11"/>
              </w:rPr>
              <w:t>中国证监会浙江监管局拟决定</w:t>
            </w:r>
            <w:r>
              <w:rPr>
                <w:rFonts w:ascii="Microsoft YaHei" w:hAnsi="Microsoft YaHei" w:eastAsia="Microsoft YaHei" w:cs="Microsoft YaHei"/>
                <w:sz w:val="20"/>
                <w:szCs w:val="20"/>
                <w:spacing w:val="1"/>
              </w:rPr>
              <w:t>：（</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11"/>
              </w:rPr>
              <w:t>一）对兴源环境科</w:t>
            </w:r>
            <w:r>
              <w:rPr>
                <w:rFonts w:ascii="Microsoft YaHei" w:hAnsi="Microsoft YaHei" w:eastAsia="Microsoft YaHei" w:cs="Microsoft YaHei"/>
                <w:sz w:val="20"/>
                <w:szCs w:val="20"/>
                <w:spacing w:val="10"/>
              </w:rPr>
              <w:t>技股份</w:t>
            </w:r>
          </w:p>
          <w:p>
            <w:pPr>
              <w:ind w:left="104"/>
              <w:spacing w:before="69" w:line="22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有限公司责令改正</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5"/>
              </w:rPr>
              <w:t>，给予警告</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5"/>
              </w:rPr>
              <w:t>，并处以 200 万元罚款;</w:t>
            </w:r>
          </w:p>
          <w:p>
            <w:pPr>
              <w:ind w:left="138"/>
              <w:spacing w:before="1" w:line="21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（二）对财务总监孙某给予警告</w:t>
            </w:r>
            <w:r>
              <w:rPr>
                <w:rFonts w:ascii="Microsoft YaHei" w:hAnsi="Microsoft YaHei" w:eastAsia="Microsoft YaHei" w:cs="Microsoft YaHei"/>
                <w:sz w:val="20"/>
                <w:szCs w:val="20"/>
                <w:spacing w:val="-17"/>
              </w:rPr>
              <w:t xml:space="preserve"> </w:t>
            </w:r>
            <w:r>
              <w:rPr>
                <w:rFonts w:ascii="Microsoft YaHei" w:hAnsi="Microsoft YaHei" w:eastAsia="Microsoft YaHei" w:cs="Microsoft YaHei"/>
                <w:sz w:val="20"/>
                <w:szCs w:val="20"/>
                <w:spacing w:val="5"/>
              </w:rPr>
              <w:t>，并处以 80 万元罚款。</w:t>
            </w:r>
          </w:p>
        </w:tc>
      </w:tr>
      <w:tr>
        <w:trPr>
          <w:trHeight w:val="1083" w:hRule="atLeast"/>
        </w:trPr>
        <w:tc>
          <w:tcPr>
            <w:shd w:val="clear" w:fill="B8CCE4"/>
            <w:tcW w:w="1214" w:type="dxa"/>
            <w:vAlign w:val="top"/>
          </w:tcPr>
          <w:p>
            <w:pPr>
              <w:spacing w:line="372" w:lineRule="auto"/>
              <w:rPr>
                <w:rFonts w:ascii="Arial"/>
                <w:sz w:val="21"/>
              </w:rPr>
            </w:pPr>
            <w:r/>
          </w:p>
          <w:p>
            <w:pPr>
              <w:ind w:left="236"/>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002586</w:t>
            </w:r>
          </w:p>
        </w:tc>
        <w:tc>
          <w:tcPr>
            <w:shd w:val="clear" w:fill="B8CCE4"/>
            <w:tcW w:w="1343" w:type="dxa"/>
            <w:vAlign w:val="top"/>
          </w:tcPr>
          <w:p>
            <w:pPr>
              <w:spacing w:line="357" w:lineRule="auto"/>
              <w:rPr>
                <w:rFonts w:ascii="Arial"/>
                <w:sz w:val="21"/>
              </w:rPr>
            </w:pPr>
            <w:r/>
          </w:p>
          <w:p>
            <w:pPr>
              <w:ind w:left="26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2"/>
              </w:rPr>
              <w:t>*</w:t>
            </w: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10"/>
              </w:rPr>
              <w:t xml:space="preserve"> </w:t>
            </w:r>
            <w:r>
              <w:rPr>
                <w:rFonts w:ascii="Microsoft YaHei" w:hAnsi="Microsoft YaHei" w:eastAsia="Microsoft YaHei" w:cs="Microsoft YaHei"/>
                <w:sz w:val="20"/>
                <w:szCs w:val="20"/>
                <w:spacing w:val="2"/>
              </w:rPr>
              <w:t>围海</w:t>
            </w:r>
          </w:p>
        </w:tc>
        <w:tc>
          <w:tcPr>
            <w:shd w:val="clear" w:fill="B8CCE4"/>
            <w:tcW w:w="5496" w:type="dxa"/>
            <w:vAlign w:val="top"/>
          </w:tcPr>
          <w:p>
            <w:pPr>
              <w:ind w:left="98" w:right="103" w:firstLine="10"/>
              <w:spacing w:before="86"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2019 年年度报告商誉减值事项存在</w:t>
            </w:r>
            <w:r>
              <w:rPr>
                <w:rFonts w:ascii="Microsoft YaHei" w:hAnsi="Microsoft YaHei" w:eastAsia="Microsoft YaHei" w:cs="Microsoft YaHei"/>
                <w:sz w:val="20"/>
                <w:szCs w:val="20"/>
                <w:b/>
                <w:bCs/>
                <w:spacing w:val="11"/>
              </w:rPr>
              <w:t>虚假记载</w:t>
            </w:r>
            <w:r>
              <w:rPr>
                <w:rFonts w:ascii="Microsoft YaHei" w:hAnsi="Microsoft YaHei" w:eastAsia="Microsoft YaHei" w:cs="Microsoft YaHei"/>
                <w:sz w:val="20"/>
                <w:szCs w:val="20"/>
                <w:spacing w:val="11"/>
              </w:rPr>
              <w:t>；</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11"/>
              </w:rPr>
              <w:t>部分工程</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项目</w:t>
            </w:r>
            <w:r>
              <w:rPr>
                <w:rFonts w:ascii="Microsoft YaHei" w:hAnsi="Microsoft YaHei" w:eastAsia="Microsoft YaHei" w:cs="Microsoft YaHei"/>
                <w:sz w:val="20"/>
                <w:szCs w:val="20"/>
                <w:b/>
                <w:bCs/>
                <w:spacing w:val="9"/>
              </w:rPr>
              <w:t>未合理确认减值损失</w:t>
            </w:r>
            <w:r>
              <w:rPr>
                <w:rFonts w:ascii="Microsoft YaHei" w:hAnsi="Microsoft YaHei" w:eastAsia="Microsoft YaHei" w:cs="Microsoft YaHei"/>
                <w:sz w:val="20"/>
                <w:szCs w:val="20"/>
                <w:b/>
                <w:bCs/>
                <w:spacing w:val="-22"/>
              </w:rPr>
              <w:t xml:space="preserve"> </w:t>
            </w:r>
            <w:r>
              <w:rPr>
                <w:rFonts w:ascii="Microsoft YaHei" w:hAnsi="Microsoft YaHei" w:eastAsia="Microsoft YaHei" w:cs="Microsoft YaHei"/>
                <w:sz w:val="20"/>
                <w:szCs w:val="20"/>
                <w:spacing w:val="9"/>
              </w:rPr>
              <w:t>，导致虚增 2021 年利润、虚减</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2022 年利润。</w:t>
            </w:r>
          </w:p>
        </w:tc>
      </w:tr>
      <w:tr>
        <w:trPr>
          <w:trHeight w:val="1828" w:hRule="atLeast"/>
        </w:trPr>
        <w:tc>
          <w:tcPr>
            <w:tcW w:w="8053" w:type="dxa"/>
            <w:vAlign w:val="top"/>
            <w:gridSpan w:val="3"/>
          </w:tcPr>
          <w:p>
            <w:pPr>
              <w:ind w:left="122"/>
              <w:spacing w:before="46"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【行政处罚决定（拟）】</w:t>
            </w:r>
            <w:r>
              <w:rPr>
                <w:rFonts w:ascii="Microsoft YaHei" w:hAnsi="Microsoft YaHei" w:eastAsia="Microsoft YaHei" w:cs="Microsoft YaHei"/>
                <w:sz w:val="20"/>
                <w:szCs w:val="20"/>
                <w:spacing w:val="9"/>
              </w:rPr>
              <w:t>中国证券监督管理委员会宁波监管局拟作出以下决定：</w:t>
            </w:r>
          </w:p>
          <w:p>
            <w:pPr>
              <w:ind w:left="105" w:right="104" w:firstLine="33"/>
              <w:spacing w:before="31"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（一）对浙江省围海建设集团股份有限公司责令改正</w:t>
            </w:r>
            <w:r>
              <w:rPr>
                <w:rFonts w:ascii="Microsoft YaHei" w:hAnsi="Microsoft YaHei" w:eastAsia="Microsoft YaHei" w:cs="Microsoft YaHei"/>
                <w:sz w:val="20"/>
                <w:szCs w:val="20"/>
                <w:spacing w:val="-10"/>
              </w:rPr>
              <w:t xml:space="preserve"> </w:t>
            </w:r>
            <w:r>
              <w:rPr>
                <w:rFonts w:ascii="Microsoft YaHei" w:hAnsi="Microsoft YaHei" w:eastAsia="Microsoft YaHei" w:cs="Microsoft YaHei"/>
                <w:sz w:val="20"/>
                <w:szCs w:val="20"/>
                <w:spacing w:val="6"/>
              </w:rPr>
              <w:t>，给予警告</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6"/>
              </w:rPr>
              <w:t>，并处以 600 万元罚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3"/>
              </w:rPr>
              <w:t>款；</w:t>
            </w:r>
          </w:p>
          <w:p>
            <w:pPr>
              <w:ind w:left="107" w:right="106" w:firstLine="31"/>
              <w:spacing w:before="50"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（二）对时任董事长,时任董秘冯某婷、</w:t>
            </w:r>
            <w:r>
              <w:rPr>
                <w:rFonts w:ascii="Microsoft YaHei" w:hAnsi="Microsoft YaHei" w:eastAsia="Microsoft YaHei" w:cs="Microsoft YaHei"/>
                <w:sz w:val="20"/>
                <w:szCs w:val="20"/>
                <w:spacing w:val="-37"/>
              </w:rPr>
              <w:t xml:space="preserve"> </w:t>
            </w:r>
            <w:r>
              <w:rPr>
                <w:rFonts w:ascii="Microsoft YaHei" w:hAnsi="Microsoft YaHei" w:eastAsia="Microsoft YaHei" w:cs="Microsoft YaHei"/>
                <w:sz w:val="20"/>
                <w:szCs w:val="20"/>
                <w:spacing w:val="11"/>
              </w:rPr>
              <w:t>时任董事长,时任董秘,时任总经理汪</w:t>
            </w:r>
            <w:r>
              <w:rPr>
                <w:rFonts w:ascii="Microsoft YaHei" w:hAnsi="Microsoft YaHei" w:eastAsia="Microsoft YaHei" w:cs="Microsoft YaHei"/>
                <w:sz w:val="20"/>
                <w:szCs w:val="20"/>
                <w:spacing w:val="10"/>
              </w:rPr>
              <w:t>某强给予</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3"/>
              </w:rPr>
              <w:t>警告</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3"/>
              </w:rPr>
              <w:t>，并分别处以</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3"/>
              </w:rPr>
              <w:t>150 万元罚款；</w:t>
            </w:r>
          </w:p>
        </w:tc>
      </w:tr>
    </w:tbl>
    <w:p>
      <w:pPr>
        <w:pStyle w:val="BodyText"/>
        <w:rPr/>
      </w:pPr>
      <w:r/>
    </w:p>
    <w:p>
      <w:pPr>
        <w:sectPr>
          <w:pgSz w:w="11910" w:h="16840"/>
          <w:pgMar w:top="400" w:right="1786" w:bottom="0" w:left="1397" w:header="0" w:footer="0" w:gutter="0"/>
        </w:sectPr>
        <w:rPr/>
      </w:pPr>
    </w:p>
    <w:tbl>
      <w:tblPr>
        <w:tblStyle w:val="TableNormal"/>
        <w:tblW w:w="8053" w:type="dxa"/>
        <w:tblInd w:w="519" w:type="dxa"/>
        <w:tblLayout w:type="fixed"/>
        <w:tblBorders>
          <w:left w:val="single" w:color="4F81BD" w:sz="6" w:space="0"/>
          <w:bottom w:val="single" w:color="4F81BD" w:sz="6" w:space="0"/>
          <w:right w:val="single" w:color="4F81BD" w:sz="6" w:space="0"/>
          <w:top w:val="single" w:color="4F81BD" w:sz="2" w:space="0"/>
        </w:tblBorders>
      </w:tblPr>
      <w:tblGrid>
        <w:gridCol w:w="8053"/>
      </w:tblGrid>
      <w:tr>
        <w:trPr>
          <w:trHeight w:val="1820" w:hRule="atLeast"/>
        </w:trPr>
        <w:tc>
          <w:tcPr>
            <w:tcW w:w="8053" w:type="dxa"/>
            <w:vAlign w:val="top"/>
          </w:tcPr>
          <w:p>
            <w:pPr>
              <w:ind w:left="138"/>
              <w:spacing w:before="63"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（三）对时任高管,时任总经理付某阳给予警告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6"/>
              </w:rPr>
              <w:t>，并处以</w:t>
            </w:r>
            <w:r>
              <w:rPr>
                <w:rFonts w:ascii="Microsoft YaHei" w:hAnsi="Microsoft YaHei" w:eastAsia="Microsoft YaHei" w:cs="Microsoft YaHei"/>
                <w:sz w:val="20"/>
                <w:szCs w:val="20"/>
                <w:spacing w:val="18"/>
              </w:rPr>
              <w:t xml:space="preserve"> </w:t>
            </w:r>
            <w:r>
              <w:rPr>
                <w:rFonts w:ascii="Microsoft YaHei" w:hAnsi="Microsoft YaHei" w:eastAsia="Microsoft YaHei" w:cs="Microsoft YaHei"/>
                <w:sz w:val="20"/>
                <w:szCs w:val="20"/>
                <w:spacing w:val="6"/>
              </w:rPr>
              <w:t>1</w:t>
            </w:r>
            <w:r>
              <w:rPr>
                <w:rFonts w:ascii="Microsoft YaHei" w:hAnsi="Microsoft YaHei" w:eastAsia="Microsoft YaHei" w:cs="Microsoft YaHei"/>
                <w:sz w:val="20"/>
                <w:szCs w:val="20"/>
                <w:spacing w:val="5"/>
              </w:rPr>
              <w:t>00 万元罚款；</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（四）对时任高管李某给予警告</w:t>
            </w:r>
            <w:r>
              <w:rPr>
                <w:rFonts w:ascii="Microsoft YaHei" w:hAnsi="Microsoft YaHei" w:eastAsia="Microsoft YaHei" w:cs="Microsoft YaHei"/>
                <w:sz w:val="20"/>
                <w:szCs w:val="20"/>
                <w:spacing w:val="-17"/>
              </w:rPr>
              <w:t xml:space="preserve"> </w:t>
            </w:r>
            <w:r>
              <w:rPr>
                <w:rFonts w:ascii="Microsoft YaHei" w:hAnsi="Microsoft YaHei" w:eastAsia="Microsoft YaHei" w:cs="Microsoft YaHei"/>
                <w:sz w:val="20"/>
                <w:szCs w:val="20"/>
                <w:spacing w:val="5"/>
              </w:rPr>
              <w:t>，并处以 80 万元罚款；</w:t>
            </w:r>
          </w:p>
          <w:p>
            <w:pPr>
              <w:ind w:left="138"/>
              <w:spacing w:before="32" w:line="22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（五）对时任财务总监王某飞给予警告</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6"/>
              </w:rPr>
              <w:t>，并处以 70 万元</w:t>
            </w:r>
            <w:r>
              <w:rPr>
                <w:rFonts w:ascii="Microsoft YaHei" w:hAnsi="Microsoft YaHei" w:eastAsia="Microsoft YaHei" w:cs="Microsoft YaHei"/>
                <w:sz w:val="20"/>
                <w:szCs w:val="20"/>
                <w:spacing w:val="5"/>
              </w:rPr>
              <w:t>罚款；</w:t>
            </w:r>
          </w:p>
          <w:p>
            <w:pPr>
              <w:ind w:left="105" w:right="104" w:firstLine="33"/>
              <w:spacing w:before="32"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（六）对时任独董唐某新、时任财务总监胡某胜、时任财务总</w:t>
            </w:r>
            <w:r>
              <w:rPr>
                <w:rFonts w:ascii="Microsoft YaHei" w:hAnsi="Microsoft YaHei" w:eastAsia="Microsoft YaHei" w:cs="Microsoft YaHei"/>
                <w:sz w:val="20"/>
                <w:szCs w:val="20"/>
                <w:spacing w:val="9"/>
              </w:rPr>
              <w:t>监宋某给予警告</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9"/>
              </w:rPr>
              <w:t>，并分</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5"/>
              </w:rPr>
              <w:t>别处以 60 万元罚款。</w:t>
            </w:r>
          </w:p>
        </w:tc>
      </w:tr>
    </w:tbl>
    <w:p>
      <w:pPr>
        <w:pStyle w:val="BodyText"/>
        <w:spacing w:line="276" w:lineRule="auto"/>
        <w:rPr/>
      </w:pPr>
      <w:r/>
    </w:p>
    <w:p>
      <w:pPr>
        <w:pStyle w:val="BodyText"/>
        <w:spacing w:line="277" w:lineRule="auto"/>
        <w:rPr/>
      </w:pPr>
      <w:r/>
    </w:p>
    <w:p>
      <w:pPr>
        <w:pStyle w:val="BodyText"/>
        <w:spacing w:line="277"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5"/>
        </w:rPr>
        <w:t>（3）行政监管措施</w:t>
      </w:r>
    </w:p>
    <w:p>
      <w:pPr>
        <w:spacing w:line="218" w:lineRule="exact"/>
        <w:rPr/>
      </w:pPr>
      <w:r/>
    </w:p>
    <w:tbl>
      <w:tblPr>
        <w:tblStyle w:val="TableNormal"/>
        <w:tblW w:w="8053" w:type="dxa"/>
        <w:tblInd w:w="51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7" w:hRule="atLeast"/>
        </w:trPr>
        <w:tc>
          <w:tcPr>
            <w:shd w:val="clear" w:fill="4F81BD"/>
            <w:tcW w:w="1214" w:type="dxa"/>
            <w:vAlign w:val="top"/>
            <w:tcBorders>
              <w:bottom w:val="single" w:color="4F81BD" w:sz="2" w:space="0"/>
            </w:tcBorders>
          </w:tcPr>
          <w:p>
            <w:pPr>
              <w:ind w:left="181"/>
              <w:spacing w:before="109"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公司代码</w:t>
            </w:r>
          </w:p>
        </w:tc>
        <w:tc>
          <w:tcPr>
            <w:shd w:val="clear" w:fill="4F81BD"/>
            <w:tcW w:w="1343" w:type="dxa"/>
            <w:vAlign w:val="top"/>
            <w:tcBorders>
              <w:bottom w:val="single" w:color="4F81BD" w:sz="2" w:space="0"/>
            </w:tcBorders>
          </w:tcPr>
          <w:p>
            <w:pPr>
              <w:ind w:left="243"/>
              <w:spacing w:before="109"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公司简称</w:t>
            </w:r>
          </w:p>
        </w:tc>
        <w:tc>
          <w:tcPr>
            <w:shd w:val="clear" w:fill="4F81BD"/>
            <w:tcW w:w="5496" w:type="dxa"/>
            <w:vAlign w:val="top"/>
            <w:tcBorders>
              <w:bottom w:val="single" w:color="4F81BD" w:sz="2" w:space="0"/>
            </w:tcBorders>
          </w:tcPr>
          <w:p>
            <w:pPr>
              <w:ind w:left="2320"/>
              <w:spacing w:before="109"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违规行为</w:t>
            </w:r>
          </w:p>
        </w:tc>
      </w:tr>
      <w:tr>
        <w:trPr>
          <w:trHeight w:val="1089" w:hRule="atLeast"/>
        </w:trPr>
        <w:tc>
          <w:tcPr>
            <w:shd w:val="clear" w:fill="B8CCE4"/>
            <w:tcW w:w="1214" w:type="dxa"/>
            <w:vAlign w:val="top"/>
            <w:tcBorders>
              <w:top w:val="single" w:color="4F81BD" w:sz="2" w:space="0"/>
            </w:tcBorders>
          </w:tcPr>
          <w:p>
            <w:pPr>
              <w:spacing w:line="372" w:lineRule="auto"/>
              <w:rPr>
                <w:rFonts w:ascii="Arial"/>
                <w:sz w:val="21"/>
              </w:rPr>
            </w:pPr>
            <w:r/>
          </w:p>
          <w:p>
            <w:pPr>
              <w:ind w:left="239"/>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688130</w:t>
            </w:r>
          </w:p>
        </w:tc>
        <w:tc>
          <w:tcPr>
            <w:shd w:val="clear" w:fill="B8CCE4"/>
            <w:tcW w:w="1343" w:type="dxa"/>
            <w:vAlign w:val="top"/>
            <w:tcBorders>
              <w:top w:val="single" w:color="4F81BD" w:sz="2" w:space="0"/>
            </w:tcBorders>
          </w:tcPr>
          <w:p>
            <w:pPr>
              <w:spacing w:line="359" w:lineRule="auto"/>
              <w:rPr>
                <w:rFonts w:ascii="Arial"/>
                <w:sz w:val="21"/>
              </w:rPr>
            </w:pPr>
            <w:r/>
          </w:p>
          <w:p>
            <w:pPr>
              <w:ind w:left="358"/>
              <w:spacing w:before="8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晶华微</w:t>
            </w:r>
          </w:p>
        </w:tc>
        <w:tc>
          <w:tcPr>
            <w:shd w:val="clear" w:fill="B8CCE4"/>
            <w:tcW w:w="5496" w:type="dxa"/>
            <w:vAlign w:val="top"/>
            <w:tcBorders>
              <w:top w:val="single" w:color="4F81BD" w:sz="2" w:space="0"/>
            </w:tcBorders>
          </w:tcPr>
          <w:p>
            <w:pPr>
              <w:ind w:left="98" w:right="104"/>
              <w:spacing w:before="47"/>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天健会计师事务所（特殊普通合伙）</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10"/>
              </w:rPr>
              <w:t>、注册会计师在执行</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杭州晶华微电子股份有限公司 </w:t>
            </w:r>
            <w:r>
              <w:rPr>
                <w:rFonts w:ascii="Microsoft YaHei" w:hAnsi="Microsoft YaHei" w:eastAsia="Microsoft YaHei" w:cs="Microsoft YaHei"/>
                <w:sz w:val="20"/>
                <w:szCs w:val="20"/>
                <w:b/>
                <w:bCs/>
                <w:spacing w:val="9"/>
              </w:rPr>
              <w:t>2022 年财务报表审计项目</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spacing w:val="7"/>
              </w:rPr>
              <w:t>中存在问题。</w:t>
            </w:r>
          </w:p>
        </w:tc>
      </w:tr>
      <w:tr>
        <w:trPr>
          <w:trHeight w:val="725" w:hRule="atLeast"/>
        </w:trPr>
        <w:tc>
          <w:tcPr>
            <w:tcW w:w="8053" w:type="dxa"/>
            <w:vAlign w:val="top"/>
            <w:gridSpan w:val="3"/>
          </w:tcPr>
          <w:p>
            <w:pPr>
              <w:ind w:left="105" w:right="104" w:firstLine="17"/>
              <w:spacing w:before="40"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中国证券监督管理委员会浙江监管局决定对天健会计师事务所（特</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殊普通合伙）</w:t>
            </w:r>
            <w:r>
              <w:rPr>
                <w:rFonts w:ascii="Microsoft YaHei" w:hAnsi="Microsoft YaHei" w:eastAsia="Microsoft YaHei" w:cs="Microsoft YaHei"/>
                <w:sz w:val="20"/>
                <w:szCs w:val="20"/>
                <w:spacing w:val="-35"/>
              </w:rPr>
              <w:t xml:space="preserve"> </w:t>
            </w:r>
            <w:r>
              <w:rPr>
                <w:rFonts w:ascii="Microsoft YaHei" w:hAnsi="Microsoft YaHei" w:eastAsia="Microsoft YaHei" w:cs="Microsoft YaHei"/>
                <w:sz w:val="20"/>
                <w:szCs w:val="20"/>
                <w:spacing w:val="9"/>
              </w:rPr>
              <w:t>、注册会计师采取监管谈话的监督管理措施并记入证券期货诚</w:t>
            </w:r>
            <w:r>
              <w:rPr>
                <w:rFonts w:ascii="Microsoft YaHei" w:hAnsi="Microsoft YaHei" w:eastAsia="Microsoft YaHei" w:cs="Microsoft YaHei"/>
                <w:sz w:val="20"/>
                <w:szCs w:val="20"/>
                <w:spacing w:val="8"/>
              </w:rPr>
              <w:t>信档案。</w:t>
            </w:r>
          </w:p>
        </w:tc>
      </w:tr>
      <w:tr>
        <w:trPr>
          <w:trHeight w:val="1084" w:hRule="atLeast"/>
        </w:trPr>
        <w:tc>
          <w:tcPr>
            <w:shd w:val="clear" w:fill="B8CCE4"/>
            <w:tcW w:w="1214" w:type="dxa"/>
            <w:vAlign w:val="top"/>
          </w:tcPr>
          <w:p>
            <w:pPr>
              <w:spacing w:line="369" w:lineRule="auto"/>
              <w:rPr>
                <w:rFonts w:ascii="Arial"/>
                <w:sz w:val="21"/>
              </w:rPr>
            </w:pPr>
            <w:r/>
          </w:p>
          <w:p>
            <w:pPr>
              <w:ind w:left="236"/>
              <w:spacing w:before="85"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002122</w:t>
            </w:r>
          </w:p>
        </w:tc>
        <w:tc>
          <w:tcPr>
            <w:shd w:val="clear" w:fill="B8CCE4"/>
            <w:tcW w:w="1343" w:type="dxa"/>
            <w:vAlign w:val="top"/>
          </w:tcPr>
          <w:p>
            <w:pPr>
              <w:spacing w:line="354" w:lineRule="auto"/>
              <w:rPr>
                <w:rFonts w:ascii="Arial"/>
                <w:sz w:val="21"/>
              </w:rPr>
            </w:pPr>
            <w:r/>
          </w:p>
          <w:p>
            <w:pPr>
              <w:ind w:left="241"/>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汇洲智能</w:t>
            </w:r>
          </w:p>
        </w:tc>
        <w:tc>
          <w:tcPr>
            <w:shd w:val="clear" w:fill="B8CCE4"/>
            <w:tcW w:w="5496" w:type="dxa"/>
            <w:vAlign w:val="top"/>
          </w:tcPr>
          <w:p>
            <w:pPr>
              <w:ind w:left="99" w:right="104"/>
              <w:spacing w:before="83" w:line="23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北京中锋资产评估有限责任公司及资产评估师在执行天马</w:t>
            </w:r>
            <w:r>
              <w:rPr>
                <w:rFonts w:ascii="Microsoft YaHei" w:hAnsi="Microsoft YaHei" w:eastAsia="Microsoft YaHei" w:cs="Microsoft YaHei"/>
                <w:sz w:val="20"/>
                <w:szCs w:val="20"/>
                <w:spacing w:val="1"/>
              </w:rPr>
              <w:t xml:space="preserve"> </w:t>
            </w:r>
            <w:r>
              <w:rPr>
                <w:rFonts w:ascii="Microsoft YaHei" w:hAnsi="Microsoft YaHei" w:eastAsia="Microsoft YaHei" w:cs="Microsoft YaHei"/>
                <w:sz w:val="20"/>
                <w:szCs w:val="20"/>
                <w:spacing w:val="10"/>
              </w:rPr>
              <w:t>轴承集团股份有限公司 </w:t>
            </w:r>
            <w:r>
              <w:rPr>
                <w:rFonts w:ascii="Microsoft YaHei" w:hAnsi="Microsoft YaHei" w:eastAsia="Microsoft YaHei" w:cs="Microsoft YaHei"/>
                <w:sz w:val="20"/>
                <w:szCs w:val="20"/>
                <w:b/>
                <w:bCs/>
                <w:spacing w:val="10"/>
              </w:rPr>
              <w:t>2019-2022 年共 17 个涉</w:t>
            </w:r>
            <w:r>
              <w:rPr>
                <w:rFonts w:ascii="Microsoft YaHei" w:hAnsi="Microsoft YaHei" w:eastAsia="Microsoft YaHei" w:cs="Microsoft YaHei"/>
                <w:sz w:val="20"/>
                <w:szCs w:val="20"/>
                <w:b/>
                <w:bCs/>
                <w:spacing w:val="9"/>
              </w:rPr>
              <w:t>及股权</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9"/>
              </w:rPr>
              <w:t>收购相关项目进行评估</w:t>
            </w:r>
            <w:r>
              <w:rPr>
                <w:rFonts w:ascii="Microsoft YaHei" w:hAnsi="Microsoft YaHei" w:eastAsia="Microsoft YaHei" w:cs="Microsoft YaHei"/>
                <w:sz w:val="20"/>
                <w:szCs w:val="20"/>
                <w:spacing w:val="9"/>
              </w:rPr>
              <w:t>中存在问题。</w:t>
            </w:r>
          </w:p>
        </w:tc>
      </w:tr>
      <w:tr>
        <w:trPr>
          <w:trHeight w:val="725" w:hRule="atLeast"/>
        </w:trPr>
        <w:tc>
          <w:tcPr>
            <w:tcW w:w="8053" w:type="dxa"/>
            <w:vAlign w:val="top"/>
            <w:gridSpan w:val="3"/>
          </w:tcPr>
          <w:p>
            <w:pPr>
              <w:ind w:left="105" w:right="104" w:firstLine="17"/>
              <w:spacing w:before="42"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浙江证监局决定对北京中锋资产评估有限责任公司及资产评估师采</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取出具警示函的监督管理措施</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8"/>
              </w:rPr>
              <w:t>，并记入证券期货市场诚信档案。</w:t>
            </w:r>
          </w:p>
        </w:tc>
      </w:tr>
      <w:tr>
        <w:trPr>
          <w:trHeight w:val="1084" w:hRule="atLeast"/>
        </w:trPr>
        <w:tc>
          <w:tcPr>
            <w:shd w:val="clear" w:fill="B8CCE4"/>
            <w:tcW w:w="1214" w:type="dxa"/>
            <w:vAlign w:val="top"/>
          </w:tcPr>
          <w:p>
            <w:pPr>
              <w:spacing w:line="372" w:lineRule="auto"/>
              <w:rPr>
                <w:rFonts w:ascii="Arial"/>
                <w:sz w:val="21"/>
              </w:rPr>
            </w:pPr>
            <w:r/>
          </w:p>
          <w:p>
            <w:pPr>
              <w:ind w:left="236"/>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002522</w:t>
            </w:r>
          </w:p>
        </w:tc>
        <w:tc>
          <w:tcPr>
            <w:shd w:val="clear" w:fill="B8CCE4"/>
            <w:tcW w:w="1343" w:type="dxa"/>
            <w:vAlign w:val="top"/>
          </w:tcPr>
          <w:p>
            <w:pPr>
              <w:spacing w:line="359" w:lineRule="auto"/>
              <w:rPr>
                <w:rFonts w:ascii="Arial"/>
                <w:sz w:val="21"/>
              </w:rPr>
            </w:pPr>
            <w:r/>
          </w:p>
          <w:p>
            <w:pPr>
              <w:ind w:left="242"/>
              <w:spacing w:before="85"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浙江众成</w:t>
            </w:r>
          </w:p>
        </w:tc>
        <w:tc>
          <w:tcPr>
            <w:shd w:val="clear" w:fill="B8CCE4"/>
            <w:tcW w:w="5496" w:type="dxa"/>
            <w:vAlign w:val="top"/>
          </w:tcPr>
          <w:p>
            <w:pPr>
              <w:ind w:left="99" w:right="104" w:firstLine="14"/>
              <w:spacing w:before="44"/>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中兴华会计师事务所（特殊普通合伙）及注册会计师在执</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9"/>
              </w:rPr>
              <w:t>行浙江众成包装材料股份有限公司 </w:t>
            </w:r>
            <w:r>
              <w:rPr>
                <w:rFonts w:ascii="Microsoft YaHei" w:hAnsi="Microsoft YaHei" w:eastAsia="Microsoft YaHei" w:cs="Microsoft YaHei"/>
                <w:sz w:val="20"/>
                <w:szCs w:val="20"/>
                <w:b/>
                <w:bCs/>
                <w:spacing w:val="9"/>
              </w:rPr>
              <w:t>2022 年财务报表审计</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b/>
                <w:bCs/>
                <w:spacing w:val="8"/>
              </w:rPr>
              <w:t>项目</w:t>
            </w:r>
            <w:r>
              <w:rPr>
                <w:rFonts w:ascii="Microsoft YaHei" w:hAnsi="Microsoft YaHei" w:eastAsia="Microsoft YaHei" w:cs="Microsoft YaHei"/>
                <w:sz w:val="20"/>
                <w:szCs w:val="20"/>
                <w:spacing w:val="8"/>
              </w:rPr>
              <w:t>中存在问题。</w:t>
            </w:r>
          </w:p>
        </w:tc>
      </w:tr>
      <w:tr>
        <w:trPr>
          <w:trHeight w:val="725" w:hRule="atLeast"/>
        </w:trPr>
        <w:tc>
          <w:tcPr>
            <w:tcW w:w="8053" w:type="dxa"/>
            <w:vAlign w:val="top"/>
            <w:gridSpan w:val="3"/>
          </w:tcPr>
          <w:p>
            <w:pPr>
              <w:ind w:left="105" w:right="104" w:firstLine="16"/>
              <w:spacing w:before="4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浙江证监局决定对中兴华会计师事务所（特殊普通合伙）及注册会</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计师采取出具警示函的监督管理措施</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8"/>
              </w:rPr>
              <w:t>，并记入证券期货市场诚信档案。</w:t>
            </w:r>
          </w:p>
        </w:tc>
      </w:tr>
      <w:tr>
        <w:trPr>
          <w:trHeight w:val="1084" w:hRule="atLeast"/>
        </w:trPr>
        <w:tc>
          <w:tcPr>
            <w:shd w:val="clear" w:fill="B8CCE4"/>
            <w:tcW w:w="1214" w:type="dxa"/>
            <w:vAlign w:val="top"/>
          </w:tcPr>
          <w:p>
            <w:pPr>
              <w:spacing w:line="374" w:lineRule="auto"/>
              <w:rPr>
                <w:rFonts w:ascii="Arial"/>
                <w:sz w:val="21"/>
              </w:rPr>
            </w:pPr>
            <w:r/>
          </w:p>
          <w:p>
            <w:pPr>
              <w:ind w:left="242"/>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300270</w:t>
            </w:r>
          </w:p>
        </w:tc>
        <w:tc>
          <w:tcPr>
            <w:shd w:val="clear" w:fill="B8CCE4"/>
            <w:tcW w:w="1343" w:type="dxa"/>
            <w:vAlign w:val="top"/>
          </w:tcPr>
          <w:p>
            <w:pPr>
              <w:spacing w:line="359" w:lineRule="auto"/>
              <w:rPr>
                <w:rFonts w:ascii="Arial"/>
                <w:sz w:val="21"/>
              </w:rPr>
            </w:pPr>
            <w:r/>
          </w:p>
          <w:p>
            <w:pPr>
              <w:ind w:left="256"/>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中威电子</w:t>
            </w:r>
          </w:p>
        </w:tc>
        <w:tc>
          <w:tcPr>
            <w:shd w:val="clear" w:fill="B8CCE4"/>
            <w:tcW w:w="5496" w:type="dxa"/>
            <w:vAlign w:val="top"/>
          </w:tcPr>
          <w:p>
            <w:pPr>
              <w:ind w:left="99" w:right="104"/>
              <w:spacing w:before="48" w:line="23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8"/>
              </w:rPr>
              <w:t>大华会计师事务所（特殊普通合伙）</w:t>
            </w:r>
            <w:r>
              <w:rPr>
                <w:rFonts w:ascii="Microsoft YaHei" w:hAnsi="Microsoft YaHei" w:eastAsia="Microsoft YaHei" w:cs="Microsoft YaHei"/>
                <w:sz w:val="20"/>
                <w:szCs w:val="20"/>
                <w:spacing w:val="-15"/>
              </w:rPr>
              <w:t xml:space="preserve"> </w:t>
            </w:r>
            <w:r>
              <w:rPr>
                <w:rFonts w:ascii="Microsoft YaHei" w:hAnsi="Microsoft YaHei" w:eastAsia="Microsoft YaHei" w:cs="Microsoft YaHei"/>
                <w:sz w:val="20"/>
                <w:szCs w:val="20"/>
                <w:spacing w:val="18"/>
              </w:rPr>
              <w:t>及注册会计师郑志</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刚、王志东在执行杭州中威电子股份有限公司 </w:t>
            </w:r>
            <w:r>
              <w:rPr>
                <w:rFonts w:ascii="Microsoft YaHei" w:hAnsi="Microsoft YaHei" w:eastAsia="Microsoft YaHei" w:cs="Microsoft YaHei"/>
                <w:sz w:val="20"/>
                <w:szCs w:val="20"/>
                <w:b/>
                <w:bCs/>
                <w:spacing w:val="9"/>
              </w:rPr>
              <w:t>2022 年财</w:t>
            </w:r>
            <w:r>
              <w:rPr>
                <w:rFonts w:ascii="Microsoft YaHei" w:hAnsi="Microsoft YaHei" w:eastAsia="Microsoft YaHei" w:cs="Microsoft YaHei"/>
                <w:sz w:val="20"/>
                <w:szCs w:val="20"/>
                <w:b/>
                <w:bCs/>
                <w:spacing w:val="11"/>
              </w:rPr>
              <w:t xml:space="preserve"> </w:t>
            </w:r>
            <w:r>
              <w:rPr>
                <w:rFonts w:ascii="Microsoft YaHei" w:hAnsi="Microsoft YaHei" w:eastAsia="Microsoft YaHei" w:cs="Microsoft YaHei"/>
                <w:sz w:val="20"/>
                <w:szCs w:val="20"/>
                <w:b/>
                <w:bCs/>
                <w:spacing w:val="9"/>
              </w:rPr>
              <w:t>务报表审计项目</w:t>
            </w:r>
            <w:r>
              <w:rPr>
                <w:rFonts w:ascii="Microsoft YaHei" w:hAnsi="Microsoft YaHei" w:eastAsia="Microsoft YaHei" w:cs="Microsoft YaHei"/>
                <w:sz w:val="20"/>
                <w:szCs w:val="20"/>
                <w:spacing w:val="9"/>
              </w:rPr>
              <w:t>中存在问题。</w:t>
            </w:r>
          </w:p>
        </w:tc>
      </w:tr>
      <w:tr>
        <w:trPr>
          <w:trHeight w:val="725" w:hRule="atLeast"/>
        </w:trPr>
        <w:tc>
          <w:tcPr>
            <w:tcW w:w="8053" w:type="dxa"/>
            <w:vAlign w:val="top"/>
            <w:gridSpan w:val="3"/>
          </w:tcPr>
          <w:p>
            <w:pPr>
              <w:ind w:left="116" w:right="104" w:firstLine="6"/>
              <w:spacing w:before="4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浙江证监局决定对大华会计师事务所（特殊普通合伙）及注册会计</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师采取出具警示函的监督管理措施</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8"/>
              </w:rPr>
              <w:t>，并记入证券期货市场诚信档案。</w:t>
            </w:r>
          </w:p>
        </w:tc>
      </w:tr>
      <w:tr>
        <w:trPr>
          <w:trHeight w:val="1085" w:hRule="atLeast"/>
        </w:trPr>
        <w:tc>
          <w:tcPr>
            <w:shd w:val="clear" w:fill="B8CCE4"/>
            <w:tcW w:w="1214" w:type="dxa"/>
            <w:vAlign w:val="top"/>
          </w:tcPr>
          <w:p>
            <w:pPr>
              <w:spacing w:line="374" w:lineRule="auto"/>
              <w:rPr>
                <w:rFonts w:ascii="Arial"/>
                <w:sz w:val="21"/>
              </w:rPr>
            </w:pPr>
            <w:r/>
          </w:p>
          <w:p>
            <w:pPr>
              <w:ind w:left="236"/>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002122</w:t>
            </w:r>
          </w:p>
        </w:tc>
        <w:tc>
          <w:tcPr>
            <w:shd w:val="clear" w:fill="B8CCE4"/>
            <w:tcW w:w="1343" w:type="dxa"/>
            <w:vAlign w:val="top"/>
          </w:tcPr>
          <w:p>
            <w:pPr>
              <w:spacing w:line="359" w:lineRule="auto"/>
              <w:rPr>
                <w:rFonts w:ascii="Arial"/>
                <w:sz w:val="21"/>
              </w:rPr>
            </w:pPr>
            <w:r/>
          </w:p>
          <w:p>
            <w:pPr>
              <w:ind w:left="241"/>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汇洲智能</w:t>
            </w:r>
          </w:p>
        </w:tc>
        <w:tc>
          <w:tcPr>
            <w:shd w:val="clear" w:fill="B8CCE4"/>
            <w:tcW w:w="5496" w:type="dxa"/>
            <w:vAlign w:val="top"/>
          </w:tcPr>
          <w:p>
            <w:pPr>
              <w:ind w:left="99" w:right="104" w:firstLine="14"/>
              <w:spacing w:before="54" w:line="238"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中兴财光华会计师事务所（特殊普通合伙）及注册会计师</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9"/>
              </w:rPr>
              <w:t>在执行天马轴承集团股份有限公司 </w:t>
            </w:r>
            <w:r>
              <w:rPr>
                <w:rFonts w:ascii="Microsoft YaHei" w:hAnsi="Microsoft YaHei" w:eastAsia="Microsoft YaHei" w:cs="Microsoft YaHei"/>
                <w:sz w:val="20"/>
                <w:szCs w:val="20"/>
                <w:b/>
                <w:bCs/>
                <w:spacing w:val="9"/>
              </w:rPr>
              <w:t>2019-2022 年财务报</w:t>
            </w:r>
            <w:r>
              <w:rPr>
                <w:rFonts w:ascii="Microsoft YaHei" w:hAnsi="Microsoft YaHei" w:eastAsia="Microsoft YaHei" w:cs="Microsoft YaHei"/>
                <w:sz w:val="20"/>
                <w:szCs w:val="20"/>
                <w:b/>
                <w:bCs/>
                <w:spacing w:val="14"/>
              </w:rPr>
              <w:t xml:space="preserve"> </w:t>
            </w:r>
            <w:r>
              <w:rPr>
                <w:rFonts w:ascii="Microsoft YaHei" w:hAnsi="Microsoft YaHei" w:eastAsia="Microsoft YaHei" w:cs="Microsoft YaHei"/>
                <w:sz w:val="20"/>
                <w:szCs w:val="20"/>
                <w:b/>
                <w:bCs/>
                <w:spacing w:val="8"/>
              </w:rPr>
              <w:t>表审计项目中</w:t>
            </w:r>
            <w:r>
              <w:rPr>
                <w:rFonts w:ascii="Microsoft YaHei" w:hAnsi="Microsoft YaHei" w:eastAsia="Microsoft YaHei" w:cs="Microsoft YaHei"/>
                <w:sz w:val="20"/>
                <w:szCs w:val="20"/>
                <w:spacing w:val="8"/>
              </w:rPr>
              <w:t>存在问题。</w:t>
            </w:r>
          </w:p>
        </w:tc>
      </w:tr>
      <w:tr>
        <w:trPr>
          <w:trHeight w:val="724" w:hRule="atLeast"/>
        </w:trPr>
        <w:tc>
          <w:tcPr>
            <w:tcW w:w="8053" w:type="dxa"/>
            <w:vAlign w:val="top"/>
            <w:gridSpan w:val="3"/>
          </w:tcPr>
          <w:p>
            <w:pPr>
              <w:ind w:left="106" w:right="104" w:firstLine="15"/>
              <w:spacing w:before="47"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浙江证监局决定对中兴财光华会计师事务所（特殊普通合伙）及注</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册会计师采取出具警示函的监督管理措施</w:t>
            </w:r>
            <w:r>
              <w:rPr>
                <w:rFonts w:ascii="Microsoft YaHei" w:hAnsi="Microsoft YaHei" w:eastAsia="Microsoft YaHei" w:cs="Microsoft YaHei"/>
                <w:sz w:val="20"/>
                <w:szCs w:val="20"/>
                <w:spacing w:val="-11"/>
              </w:rPr>
              <w:t xml:space="preserve"> </w:t>
            </w:r>
            <w:r>
              <w:rPr>
                <w:rFonts w:ascii="Microsoft YaHei" w:hAnsi="Microsoft YaHei" w:eastAsia="Microsoft YaHei" w:cs="Microsoft YaHei"/>
                <w:sz w:val="20"/>
                <w:szCs w:val="20"/>
                <w:spacing w:val="8"/>
              </w:rPr>
              <w:t>，并记入证券期货市场诚信档案。</w:t>
            </w:r>
          </w:p>
        </w:tc>
      </w:tr>
      <w:tr>
        <w:trPr>
          <w:trHeight w:val="1444" w:hRule="atLeast"/>
        </w:trPr>
        <w:tc>
          <w:tcPr>
            <w:shd w:val="clear" w:fill="B8CCE4"/>
            <w:tcW w:w="1214" w:type="dxa"/>
            <w:vAlign w:val="top"/>
          </w:tcPr>
          <w:p>
            <w:pPr>
              <w:spacing w:line="277" w:lineRule="auto"/>
              <w:rPr>
                <w:rFonts w:ascii="Arial"/>
                <w:sz w:val="21"/>
              </w:rPr>
            </w:pPr>
            <w:r/>
          </w:p>
          <w:p>
            <w:pPr>
              <w:spacing w:line="278" w:lineRule="auto"/>
              <w:rPr>
                <w:rFonts w:ascii="Arial"/>
                <w:sz w:val="21"/>
              </w:rPr>
            </w:pPr>
            <w:r/>
          </w:p>
          <w:p>
            <w:pPr>
              <w:ind w:left="242"/>
              <w:spacing w:before="85"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301013</w:t>
            </w:r>
          </w:p>
        </w:tc>
        <w:tc>
          <w:tcPr>
            <w:shd w:val="clear" w:fill="B8CCE4"/>
            <w:tcW w:w="1343" w:type="dxa"/>
            <w:vAlign w:val="top"/>
          </w:tcPr>
          <w:p>
            <w:pPr>
              <w:spacing w:line="271" w:lineRule="auto"/>
              <w:rPr>
                <w:rFonts w:ascii="Arial"/>
                <w:sz w:val="21"/>
              </w:rPr>
            </w:pPr>
            <w:r/>
          </w:p>
          <w:p>
            <w:pPr>
              <w:spacing w:line="272" w:lineRule="auto"/>
              <w:rPr>
                <w:rFonts w:ascii="Arial"/>
                <w:sz w:val="21"/>
              </w:rPr>
            </w:pPr>
            <w:r/>
          </w:p>
          <w:p>
            <w:pPr>
              <w:ind w:left="347"/>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利和兴</w:t>
            </w:r>
          </w:p>
        </w:tc>
        <w:tc>
          <w:tcPr>
            <w:shd w:val="clear" w:fill="B8CCE4"/>
            <w:tcW w:w="5496" w:type="dxa"/>
            <w:vAlign w:val="top"/>
          </w:tcPr>
          <w:p>
            <w:pPr>
              <w:ind w:left="98" w:right="104" w:firstLine="1"/>
              <w:spacing w:before="89" w:line="235"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深圳市利和兴股份有限公司财务会计方面存在相关</w:t>
            </w:r>
            <w:r>
              <w:rPr>
                <w:rFonts w:ascii="Microsoft YaHei" w:hAnsi="Microsoft YaHei" w:eastAsia="Microsoft YaHei" w:cs="Microsoft YaHei"/>
                <w:sz w:val="20"/>
                <w:szCs w:val="20"/>
                <w:b/>
                <w:bCs/>
                <w:spacing w:val="11"/>
              </w:rPr>
              <w:t>业务收</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11"/>
              </w:rPr>
              <w:t>入确认时点</w:t>
            </w:r>
            <w:r>
              <w:rPr>
                <w:rFonts w:ascii="Microsoft YaHei" w:hAnsi="Microsoft YaHei" w:eastAsia="Microsoft YaHei" w:cs="Microsoft YaHei"/>
                <w:sz w:val="20"/>
                <w:szCs w:val="20"/>
                <w:spacing w:val="11"/>
              </w:rPr>
              <w:t>与披露的会计政策不一致、升级改造技术服务</w:t>
            </w:r>
            <w:r>
              <w:rPr>
                <w:rFonts w:ascii="Microsoft YaHei" w:hAnsi="Microsoft YaHei" w:eastAsia="Microsoft YaHei" w:cs="Microsoft YaHei"/>
                <w:sz w:val="20"/>
                <w:szCs w:val="20"/>
                <w:spacing w:val="2"/>
              </w:rPr>
              <w:t xml:space="preserve"> </w:t>
            </w:r>
            <w:r>
              <w:rPr>
                <w:rFonts w:ascii="Microsoft YaHei" w:hAnsi="Microsoft YaHei" w:eastAsia="Microsoft YaHei" w:cs="Microsoft YaHei"/>
                <w:sz w:val="20"/>
                <w:szCs w:val="20"/>
                <w:b/>
                <w:bCs/>
                <w:spacing w:val="11"/>
              </w:rPr>
              <w:t>成本核算</w:t>
            </w:r>
            <w:r>
              <w:rPr>
                <w:rFonts w:ascii="Microsoft YaHei" w:hAnsi="Microsoft YaHei" w:eastAsia="Microsoft YaHei" w:cs="Microsoft YaHei"/>
                <w:sz w:val="20"/>
                <w:szCs w:val="20"/>
                <w:spacing w:val="11"/>
              </w:rPr>
              <w:t>不规范、存货跌价</w:t>
            </w:r>
            <w:r>
              <w:rPr>
                <w:rFonts w:ascii="Microsoft YaHei" w:hAnsi="Microsoft YaHei" w:eastAsia="Microsoft YaHei" w:cs="Microsoft YaHei"/>
                <w:sz w:val="20"/>
                <w:szCs w:val="20"/>
                <w:b/>
                <w:bCs/>
                <w:spacing w:val="11"/>
              </w:rPr>
              <w:t>准备计提</w:t>
            </w:r>
            <w:r>
              <w:rPr>
                <w:rFonts w:ascii="Microsoft YaHei" w:hAnsi="Microsoft YaHei" w:eastAsia="Microsoft YaHei" w:cs="Microsoft YaHei"/>
                <w:sz w:val="20"/>
                <w:szCs w:val="20"/>
                <w:spacing w:val="11"/>
              </w:rPr>
              <w:t>依据不充分、在建工</w:t>
            </w:r>
            <w:r>
              <w:rPr>
                <w:rFonts w:ascii="Microsoft YaHei" w:hAnsi="Microsoft YaHei" w:eastAsia="Microsoft YaHei" w:cs="Microsoft YaHei"/>
                <w:sz w:val="20"/>
                <w:szCs w:val="20"/>
                <w:spacing w:val="2"/>
              </w:rPr>
              <w:t xml:space="preserve"> </w:t>
            </w:r>
            <w:r>
              <w:rPr>
                <w:rFonts w:ascii="Microsoft YaHei" w:hAnsi="Microsoft YaHei" w:eastAsia="Microsoft YaHei" w:cs="Microsoft YaHei"/>
                <w:sz w:val="20"/>
                <w:szCs w:val="20"/>
                <w:spacing w:val="9"/>
              </w:rPr>
              <w:t>程和生产调试</w:t>
            </w:r>
            <w:r>
              <w:rPr>
                <w:rFonts w:ascii="Microsoft YaHei" w:hAnsi="Microsoft YaHei" w:eastAsia="Microsoft YaHei" w:cs="Microsoft YaHei"/>
                <w:sz w:val="20"/>
                <w:szCs w:val="20"/>
                <w:b/>
                <w:bCs/>
                <w:spacing w:val="9"/>
              </w:rPr>
              <w:t>成本核算</w:t>
            </w:r>
            <w:r>
              <w:rPr>
                <w:rFonts w:ascii="Microsoft YaHei" w:hAnsi="Microsoft YaHei" w:eastAsia="Microsoft YaHei" w:cs="Microsoft YaHei"/>
                <w:sz w:val="20"/>
                <w:szCs w:val="20"/>
                <w:spacing w:val="9"/>
              </w:rPr>
              <w:t>不准确等问题。</w:t>
            </w:r>
          </w:p>
        </w:tc>
      </w:tr>
      <w:tr>
        <w:trPr>
          <w:trHeight w:val="724" w:hRule="atLeast"/>
        </w:trPr>
        <w:tc>
          <w:tcPr>
            <w:tcW w:w="8053" w:type="dxa"/>
            <w:vAlign w:val="top"/>
            <w:gridSpan w:val="3"/>
          </w:tcPr>
          <w:p>
            <w:pPr>
              <w:ind w:left="106" w:right="149" w:firstLine="15"/>
              <w:spacing w:before="50"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8"/>
              </w:rPr>
              <w:t>【行政监管措施】</w:t>
            </w:r>
            <w:r>
              <w:rPr>
                <w:rFonts w:ascii="Microsoft YaHei" w:hAnsi="Microsoft YaHei" w:eastAsia="Microsoft YaHei" w:cs="Microsoft YaHei"/>
                <w:sz w:val="20"/>
                <w:szCs w:val="20"/>
                <w:spacing w:val="8"/>
              </w:rPr>
              <w:t>中国证券监督管理委员会深圳监管局决定对董事长,总经理林宜潘、</w:t>
            </w:r>
            <w:r>
              <w:rPr>
                <w:rFonts w:ascii="Microsoft YaHei" w:hAnsi="Microsoft YaHei" w:eastAsia="Microsoft YaHei" w:cs="Microsoft YaHei"/>
                <w:sz w:val="20"/>
                <w:szCs w:val="20"/>
                <w:spacing w:val="12"/>
              </w:rPr>
              <w:t xml:space="preserve"> </w:t>
            </w:r>
            <w:r>
              <w:rPr>
                <w:rFonts w:ascii="Microsoft YaHei" w:hAnsi="Microsoft YaHei" w:eastAsia="Microsoft YaHei" w:cs="Microsoft YaHei"/>
                <w:sz w:val="20"/>
                <w:szCs w:val="20"/>
                <w:spacing w:val="9"/>
              </w:rPr>
              <w:t>高管贺某华分别采取出具警示函的监管措施。</w:t>
            </w:r>
          </w:p>
        </w:tc>
      </w:tr>
      <w:tr>
        <w:trPr>
          <w:trHeight w:val="372" w:hRule="atLeast"/>
        </w:trPr>
        <w:tc>
          <w:tcPr>
            <w:shd w:val="clear" w:fill="B8CCE4"/>
            <w:tcW w:w="1214" w:type="dxa"/>
            <w:vAlign w:val="top"/>
          </w:tcPr>
          <w:p>
            <w:pPr>
              <w:ind w:left="236"/>
              <w:spacing w:before="110" w:line="17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002724</w:t>
            </w:r>
          </w:p>
        </w:tc>
        <w:tc>
          <w:tcPr>
            <w:shd w:val="clear" w:fill="B8CCE4"/>
            <w:tcW w:w="1343" w:type="dxa"/>
            <w:vAlign w:val="top"/>
          </w:tcPr>
          <w:p>
            <w:pPr>
              <w:ind w:left="348"/>
              <w:spacing w:before="96"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海洋王</w:t>
            </w:r>
          </w:p>
        </w:tc>
        <w:tc>
          <w:tcPr>
            <w:shd w:val="clear" w:fill="B8CCE4"/>
            <w:tcW w:w="5496" w:type="dxa"/>
            <w:vAlign w:val="top"/>
          </w:tcPr>
          <w:p>
            <w:pPr>
              <w:ind w:left="102"/>
              <w:spacing w:before="96"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三会运作、子公司财务核算</w:t>
            </w:r>
            <w:r>
              <w:rPr>
                <w:rFonts w:ascii="Microsoft YaHei" w:hAnsi="Microsoft YaHei" w:eastAsia="Microsoft YaHei" w:cs="Microsoft YaHei"/>
                <w:sz w:val="20"/>
                <w:szCs w:val="20"/>
                <w:spacing w:val="9"/>
              </w:rPr>
              <w:t>等方面存在不规范问题。</w:t>
            </w:r>
          </w:p>
        </w:tc>
      </w:tr>
    </w:tbl>
    <w:p>
      <w:pPr>
        <w:pStyle w:val="BodyText"/>
        <w:rPr/>
      </w:pPr>
      <w:r/>
    </w:p>
    <w:p>
      <w:pPr>
        <w:sectPr>
          <w:pgSz w:w="11910" w:h="16840"/>
          <w:pgMar w:top="400" w:right="1786" w:bottom="0" w:left="1397" w:header="0" w:footer="0" w:gutter="0"/>
        </w:sectPr>
        <w:rPr/>
      </w:pPr>
    </w:p>
    <w:tbl>
      <w:tblPr>
        <w:tblStyle w:val="TableNormal"/>
        <w:tblW w:w="8053"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4" w:hRule="atLeast"/>
        </w:trPr>
        <w:tc>
          <w:tcPr>
            <w:tcW w:w="8053" w:type="dxa"/>
            <w:vAlign w:val="top"/>
            <w:gridSpan w:val="3"/>
            <w:tcBorders>
              <w:top w:val="single" w:color="4F81BD" w:sz="2" w:space="0"/>
            </w:tcBorders>
          </w:tcPr>
          <w:p>
            <w:pPr>
              <w:ind w:left="106" w:right="104" w:firstLine="16"/>
              <w:spacing w:before="58"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中国证券监督管理委员会深圳监管局决定对总经理杨某杰、董事会</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秘书,总经理,时任财务总监陈某分别采取出具警示函的行政监管措施。</w:t>
            </w:r>
          </w:p>
        </w:tc>
      </w:tr>
      <w:tr>
        <w:trPr>
          <w:trHeight w:val="1085" w:hRule="atLeast"/>
        </w:trPr>
        <w:tc>
          <w:tcPr>
            <w:shd w:val="clear" w:fill="B8CCE4"/>
            <w:tcW w:w="1214" w:type="dxa"/>
            <w:vAlign w:val="top"/>
          </w:tcPr>
          <w:p>
            <w:pPr>
              <w:spacing w:line="365" w:lineRule="auto"/>
              <w:rPr>
                <w:rFonts w:ascii="Arial"/>
                <w:sz w:val="21"/>
              </w:rPr>
            </w:pPr>
            <w:r/>
          </w:p>
          <w:p>
            <w:pPr>
              <w:ind w:left="236"/>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001309</w:t>
            </w:r>
          </w:p>
        </w:tc>
        <w:tc>
          <w:tcPr>
            <w:shd w:val="clear" w:fill="B8CCE4"/>
            <w:tcW w:w="1343" w:type="dxa"/>
            <w:vAlign w:val="top"/>
          </w:tcPr>
          <w:p>
            <w:pPr>
              <w:spacing w:line="352" w:lineRule="auto"/>
              <w:rPr>
                <w:rFonts w:ascii="Arial"/>
                <w:sz w:val="21"/>
              </w:rPr>
            </w:pPr>
            <w:r/>
          </w:p>
          <w:p>
            <w:pPr>
              <w:ind w:left="347"/>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德明利</w:t>
            </w:r>
          </w:p>
        </w:tc>
        <w:tc>
          <w:tcPr>
            <w:shd w:val="clear" w:fill="B8CCE4"/>
            <w:tcW w:w="5496" w:type="dxa"/>
            <w:vAlign w:val="top"/>
          </w:tcPr>
          <w:p>
            <w:pPr>
              <w:ind w:left="99" w:right="104"/>
              <w:spacing w:before="82" w:line="23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未及时披露控股子公司与关联方合资设立新公司的</w:t>
            </w:r>
            <w:r>
              <w:rPr>
                <w:rFonts w:ascii="Microsoft YaHei" w:hAnsi="Microsoft YaHei" w:eastAsia="Microsoft YaHei" w:cs="Microsoft YaHei"/>
                <w:sz w:val="20"/>
                <w:szCs w:val="20"/>
                <w:b/>
                <w:bCs/>
                <w:spacing w:val="11"/>
              </w:rPr>
              <w:t>关联交</w:t>
            </w:r>
            <w:r>
              <w:rPr>
                <w:rFonts w:ascii="Microsoft YaHei" w:hAnsi="Microsoft YaHei" w:eastAsia="Microsoft YaHei" w:cs="Microsoft YaHei"/>
                <w:sz w:val="20"/>
                <w:szCs w:val="20"/>
                <w:b/>
                <w:bCs/>
                <w:spacing w:val="1"/>
              </w:rPr>
              <w:t xml:space="preserve"> </w:t>
            </w:r>
            <w:r>
              <w:rPr>
                <w:rFonts w:ascii="Microsoft YaHei" w:hAnsi="Microsoft YaHei" w:eastAsia="Microsoft YaHei" w:cs="Microsoft YaHei"/>
                <w:sz w:val="20"/>
                <w:szCs w:val="20"/>
                <w:b/>
                <w:bCs/>
                <w:spacing w:val="9"/>
              </w:rPr>
              <w:t>易</w:t>
            </w:r>
            <w:r>
              <w:rPr>
                <w:rFonts w:ascii="Microsoft YaHei" w:hAnsi="Microsoft YaHei" w:eastAsia="Microsoft YaHei" w:cs="Microsoft YaHei"/>
                <w:sz w:val="20"/>
                <w:szCs w:val="20"/>
                <w:spacing w:val="9"/>
              </w:rPr>
              <w:t>事项</w:t>
            </w:r>
            <w:r>
              <w:rPr>
                <w:rFonts w:ascii="Microsoft YaHei" w:hAnsi="Microsoft YaHei" w:eastAsia="Microsoft YaHei" w:cs="Microsoft YaHei"/>
                <w:sz w:val="20"/>
                <w:szCs w:val="20"/>
                <w:spacing w:val="-8"/>
              </w:rPr>
              <w:t xml:space="preserve"> </w:t>
            </w:r>
            <w:r>
              <w:rPr>
                <w:rFonts w:ascii="Microsoft YaHei" w:hAnsi="Microsoft YaHei" w:eastAsia="Microsoft YaHei" w:cs="Microsoft YaHei"/>
                <w:sz w:val="20"/>
                <w:szCs w:val="20"/>
                <w:spacing w:val="9"/>
              </w:rPr>
              <w:t>，未按规定对个别重大事项进行</w:t>
            </w:r>
            <w:r>
              <w:rPr>
                <w:rFonts w:ascii="Microsoft YaHei" w:hAnsi="Microsoft YaHei" w:eastAsia="Microsoft YaHei" w:cs="Microsoft YaHei"/>
                <w:sz w:val="20"/>
                <w:szCs w:val="20"/>
                <w:b/>
                <w:bCs/>
                <w:spacing w:val="9"/>
              </w:rPr>
              <w:t>内幕信息知情人登</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6"/>
              </w:rPr>
              <w:t>记</w:t>
            </w:r>
            <w:r>
              <w:rPr>
                <w:rFonts w:ascii="Microsoft YaHei" w:hAnsi="Microsoft YaHei" w:eastAsia="Microsoft YaHei" w:cs="Microsoft YaHei"/>
                <w:sz w:val="20"/>
                <w:szCs w:val="20"/>
                <w:b/>
                <w:bCs/>
                <w:spacing w:val="-11"/>
              </w:rPr>
              <w:t xml:space="preserve"> </w:t>
            </w:r>
            <w:r>
              <w:rPr>
                <w:rFonts w:ascii="Microsoft YaHei" w:hAnsi="Microsoft YaHei" w:eastAsia="Microsoft YaHei" w:cs="Microsoft YaHei"/>
                <w:sz w:val="20"/>
                <w:szCs w:val="20"/>
                <w:spacing w:val="6"/>
              </w:rPr>
              <w:t>，</w:t>
            </w:r>
            <w:r>
              <w:rPr>
                <w:rFonts w:ascii="Microsoft YaHei" w:hAnsi="Microsoft YaHei" w:eastAsia="Microsoft YaHei" w:cs="Microsoft YaHei"/>
                <w:sz w:val="20"/>
                <w:szCs w:val="20"/>
                <w:spacing w:val="-37"/>
              </w:rPr>
              <w:t xml:space="preserve"> </w:t>
            </w:r>
            <w:r>
              <w:rPr>
                <w:rFonts w:ascii="Microsoft YaHei" w:hAnsi="Microsoft YaHei" w:eastAsia="Microsoft YaHei" w:cs="Microsoft YaHei"/>
                <w:sz w:val="20"/>
                <w:szCs w:val="20"/>
                <w:b/>
                <w:bCs/>
                <w:spacing w:val="6"/>
              </w:rPr>
              <w:t>内幕信息知情人</w:t>
            </w:r>
            <w:r>
              <w:rPr>
                <w:rFonts w:ascii="Microsoft YaHei" w:hAnsi="Microsoft YaHei" w:eastAsia="Microsoft YaHei" w:cs="Microsoft YaHei"/>
                <w:sz w:val="20"/>
                <w:szCs w:val="20"/>
                <w:spacing w:val="6"/>
              </w:rPr>
              <w:t>未对知情人档案进行确认。</w:t>
            </w:r>
          </w:p>
        </w:tc>
      </w:tr>
      <w:tr>
        <w:trPr>
          <w:trHeight w:val="1085" w:hRule="atLeast"/>
        </w:trPr>
        <w:tc>
          <w:tcPr>
            <w:tcW w:w="8053" w:type="dxa"/>
            <w:vAlign w:val="top"/>
            <w:gridSpan w:val="3"/>
          </w:tcPr>
          <w:p>
            <w:pPr>
              <w:ind w:left="104" w:right="104" w:firstLine="18"/>
              <w:spacing w:before="40" w:line="24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中国证券监督管理委员会深圳监管局决定对深圳市德明利技术股份</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有限公司、董事长李某、</w:t>
            </w:r>
            <w:r>
              <w:rPr>
                <w:rFonts w:ascii="Microsoft YaHei" w:hAnsi="Microsoft YaHei" w:eastAsia="Microsoft YaHei" w:cs="Microsoft YaHei"/>
                <w:sz w:val="20"/>
                <w:szCs w:val="20"/>
                <w:spacing w:val="-24"/>
              </w:rPr>
              <w:t xml:space="preserve"> </w:t>
            </w:r>
            <w:r>
              <w:rPr>
                <w:rFonts w:ascii="Microsoft YaHei" w:hAnsi="Microsoft YaHei" w:eastAsia="Microsoft YaHei" w:cs="Microsoft YaHei"/>
                <w:sz w:val="20"/>
                <w:szCs w:val="20"/>
                <w:spacing w:val="9"/>
              </w:rPr>
              <w:t>时任董秘,时任总经理田某分别采取出具警示函的行政监管措</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3"/>
              </w:rPr>
              <w:t>施。</w:t>
            </w:r>
          </w:p>
        </w:tc>
      </w:tr>
      <w:tr>
        <w:trPr>
          <w:trHeight w:val="724" w:hRule="atLeast"/>
        </w:trPr>
        <w:tc>
          <w:tcPr>
            <w:shd w:val="clear" w:fill="B8CCE4"/>
            <w:tcW w:w="1214" w:type="dxa"/>
            <w:vAlign w:val="top"/>
          </w:tcPr>
          <w:p>
            <w:pPr>
              <w:ind w:left="236"/>
              <w:spacing w:before="278"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000723</w:t>
            </w:r>
          </w:p>
        </w:tc>
        <w:tc>
          <w:tcPr>
            <w:shd w:val="clear" w:fill="B8CCE4"/>
            <w:tcW w:w="1343" w:type="dxa"/>
            <w:vAlign w:val="top"/>
          </w:tcPr>
          <w:p>
            <w:pPr>
              <w:ind w:left="243"/>
              <w:spacing w:before="262"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美锦能源</w:t>
            </w:r>
          </w:p>
        </w:tc>
        <w:tc>
          <w:tcPr>
            <w:shd w:val="clear" w:fill="B8CCE4"/>
            <w:tcW w:w="5496" w:type="dxa"/>
            <w:vAlign w:val="top"/>
          </w:tcPr>
          <w:p>
            <w:pPr>
              <w:ind w:left="99" w:right="104"/>
              <w:spacing w:before="82"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注册会计师在山西美锦能源股份有限公司 </w:t>
            </w:r>
            <w:r>
              <w:rPr>
                <w:rFonts w:ascii="Microsoft YaHei" w:hAnsi="Microsoft YaHei" w:eastAsia="Microsoft YaHei" w:cs="Microsoft YaHei"/>
                <w:sz w:val="20"/>
                <w:szCs w:val="20"/>
                <w:b/>
                <w:bCs/>
                <w:spacing w:val="9"/>
              </w:rPr>
              <w:t>2022 年度财务</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b/>
                <w:bCs/>
                <w:spacing w:val="9"/>
              </w:rPr>
              <w:t>报表和内部控制审计</w:t>
            </w:r>
            <w:r>
              <w:rPr>
                <w:rFonts w:ascii="Microsoft YaHei" w:hAnsi="Microsoft YaHei" w:eastAsia="Microsoft YaHei" w:cs="Microsoft YaHei"/>
                <w:sz w:val="20"/>
                <w:szCs w:val="20"/>
                <w:spacing w:val="9"/>
              </w:rPr>
              <w:t>项目执业中存在问题。</w:t>
            </w:r>
          </w:p>
        </w:tc>
      </w:tr>
      <w:tr>
        <w:trPr>
          <w:trHeight w:val="726" w:hRule="atLeast"/>
        </w:trPr>
        <w:tc>
          <w:tcPr>
            <w:tcW w:w="8053" w:type="dxa"/>
            <w:vAlign w:val="top"/>
            <w:gridSpan w:val="3"/>
          </w:tcPr>
          <w:p>
            <w:pPr>
              <w:ind w:left="106" w:right="104" w:firstLine="15"/>
              <w:spacing w:before="41"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上海证券监管专员办事处决定对注册会计师采取出具警示函的行政</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6"/>
              </w:rPr>
              <w:t>监管措施。</w:t>
            </w:r>
          </w:p>
        </w:tc>
      </w:tr>
      <w:tr>
        <w:trPr>
          <w:trHeight w:val="724" w:hRule="atLeast"/>
        </w:trPr>
        <w:tc>
          <w:tcPr>
            <w:shd w:val="clear" w:fill="B8CCE4"/>
            <w:tcW w:w="1214" w:type="dxa"/>
            <w:vAlign w:val="top"/>
          </w:tcPr>
          <w:p>
            <w:pPr>
              <w:ind w:left="242"/>
              <w:spacing w:before="279"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300842</w:t>
            </w:r>
          </w:p>
        </w:tc>
        <w:tc>
          <w:tcPr>
            <w:shd w:val="clear" w:fill="B8CCE4"/>
            <w:tcW w:w="1343" w:type="dxa"/>
            <w:vAlign w:val="top"/>
          </w:tcPr>
          <w:p>
            <w:pPr>
              <w:ind w:left="250"/>
              <w:spacing w:before="264"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帝科股份</w:t>
            </w:r>
          </w:p>
        </w:tc>
        <w:tc>
          <w:tcPr>
            <w:shd w:val="clear" w:fill="B8CCE4"/>
            <w:tcW w:w="5496" w:type="dxa"/>
            <w:vAlign w:val="top"/>
          </w:tcPr>
          <w:p>
            <w:pPr>
              <w:ind w:left="99" w:right="104"/>
              <w:spacing w:before="84" w:line="22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注册会计师在无锡帝科电子材料股份有限公司 </w:t>
            </w:r>
            <w:r>
              <w:rPr>
                <w:rFonts w:ascii="Microsoft YaHei" w:hAnsi="Microsoft YaHei" w:eastAsia="Microsoft YaHei" w:cs="Microsoft YaHei"/>
                <w:sz w:val="20"/>
                <w:szCs w:val="20"/>
                <w:b/>
                <w:bCs/>
                <w:spacing w:val="9"/>
              </w:rPr>
              <w:t>2022 年度</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b/>
                <w:bCs/>
                <w:spacing w:val="9"/>
              </w:rPr>
              <w:t>财务报表和内部控制审计</w:t>
            </w:r>
            <w:r>
              <w:rPr>
                <w:rFonts w:ascii="Microsoft YaHei" w:hAnsi="Microsoft YaHei" w:eastAsia="Microsoft YaHei" w:cs="Microsoft YaHei"/>
                <w:sz w:val="20"/>
                <w:szCs w:val="20"/>
                <w:spacing w:val="9"/>
              </w:rPr>
              <w:t>项目执业中存在问题。</w:t>
            </w:r>
          </w:p>
        </w:tc>
      </w:tr>
      <w:tr>
        <w:trPr>
          <w:trHeight w:val="365" w:hRule="atLeast"/>
        </w:trPr>
        <w:tc>
          <w:tcPr>
            <w:tcW w:w="8053" w:type="dxa"/>
            <w:vAlign w:val="top"/>
            <w:gridSpan w:val="3"/>
          </w:tcPr>
          <w:p>
            <w:pPr>
              <w:ind w:left="122"/>
              <w:spacing w:before="43" w:line="21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【行政监管措施】</w:t>
            </w:r>
            <w:r>
              <w:rPr>
                <w:rFonts w:ascii="Microsoft YaHei" w:hAnsi="Microsoft YaHei" w:eastAsia="Microsoft YaHei" w:cs="Microsoft YaHei"/>
                <w:sz w:val="20"/>
                <w:szCs w:val="20"/>
                <w:spacing w:val="9"/>
              </w:rPr>
              <w:t>上海专员办决定对注册会计师采取出具警示函的行政监管措施。</w:t>
            </w:r>
          </w:p>
        </w:tc>
      </w:tr>
      <w:tr>
        <w:trPr>
          <w:trHeight w:val="725" w:hRule="atLeast"/>
        </w:trPr>
        <w:tc>
          <w:tcPr>
            <w:shd w:val="clear" w:fill="B8CCE4"/>
            <w:tcW w:w="1214" w:type="dxa"/>
            <w:vAlign w:val="top"/>
          </w:tcPr>
          <w:p>
            <w:pPr>
              <w:ind w:left="242"/>
              <w:spacing w:before="281"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300278</w:t>
            </w:r>
          </w:p>
        </w:tc>
        <w:tc>
          <w:tcPr>
            <w:shd w:val="clear" w:fill="B8CCE4"/>
            <w:tcW w:w="1343" w:type="dxa"/>
            <w:vAlign w:val="top"/>
          </w:tcPr>
          <w:p>
            <w:pPr>
              <w:ind w:left="349"/>
              <w:spacing w:before="26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华昌达</w:t>
            </w:r>
          </w:p>
        </w:tc>
        <w:tc>
          <w:tcPr>
            <w:shd w:val="clear" w:fill="B8CCE4"/>
            <w:tcW w:w="5496" w:type="dxa"/>
            <w:vAlign w:val="top"/>
          </w:tcPr>
          <w:p>
            <w:pPr>
              <w:ind w:left="97" w:right="103" w:firstLine="2"/>
              <w:spacing w:before="85" w:line="22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注册会计师在华昌达智能装备集团股份有限公司 </w:t>
            </w:r>
            <w:r>
              <w:rPr>
                <w:rFonts w:ascii="Microsoft YaHei" w:hAnsi="Microsoft YaHei" w:eastAsia="Microsoft YaHei" w:cs="Microsoft YaHei"/>
                <w:sz w:val="20"/>
                <w:szCs w:val="20"/>
                <w:b/>
                <w:bCs/>
                <w:spacing w:val="9"/>
              </w:rPr>
              <w:t>2022 年</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b/>
                <w:bCs/>
                <w:spacing w:val="9"/>
              </w:rPr>
              <w:t>度财务报表审计</w:t>
            </w:r>
            <w:r>
              <w:rPr>
                <w:rFonts w:ascii="Microsoft YaHei" w:hAnsi="Microsoft YaHei" w:eastAsia="Microsoft YaHei" w:cs="Microsoft YaHei"/>
                <w:sz w:val="20"/>
                <w:szCs w:val="20"/>
                <w:spacing w:val="9"/>
              </w:rPr>
              <w:t>项目执业中存在问题。</w:t>
            </w:r>
          </w:p>
        </w:tc>
      </w:tr>
      <w:tr>
        <w:trPr>
          <w:trHeight w:val="724" w:hRule="atLeast"/>
        </w:trPr>
        <w:tc>
          <w:tcPr>
            <w:tcW w:w="8053" w:type="dxa"/>
            <w:vAlign w:val="top"/>
            <w:gridSpan w:val="3"/>
          </w:tcPr>
          <w:p>
            <w:pPr>
              <w:ind w:left="105" w:right="104" w:firstLine="16"/>
              <w:spacing w:before="41"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中国证监会上海专员办决定对注册会计师采取出具警示函的行政监</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6"/>
              </w:rPr>
              <w:t>管措施。</w:t>
            </w:r>
          </w:p>
        </w:tc>
      </w:tr>
      <w:tr>
        <w:trPr>
          <w:trHeight w:val="725" w:hRule="atLeast"/>
        </w:trPr>
        <w:tc>
          <w:tcPr>
            <w:shd w:val="clear" w:fill="B8CCE4"/>
            <w:tcW w:w="1214" w:type="dxa"/>
            <w:vAlign w:val="top"/>
          </w:tcPr>
          <w:p>
            <w:pPr>
              <w:ind w:left="236"/>
              <w:spacing w:before="28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002350</w:t>
            </w:r>
          </w:p>
        </w:tc>
        <w:tc>
          <w:tcPr>
            <w:shd w:val="clear" w:fill="B8CCE4"/>
            <w:tcW w:w="1343" w:type="dxa"/>
            <w:vAlign w:val="top"/>
          </w:tcPr>
          <w:p>
            <w:pPr>
              <w:ind w:left="242"/>
              <w:spacing w:before="26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北京科锐</w:t>
            </w:r>
          </w:p>
        </w:tc>
        <w:tc>
          <w:tcPr>
            <w:shd w:val="clear" w:fill="B8CCE4"/>
            <w:tcW w:w="5496" w:type="dxa"/>
            <w:vAlign w:val="top"/>
          </w:tcPr>
          <w:p>
            <w:pPr>
              <w:ind w:left="97" w:right="103" w:firstLine="2"/>
              <w:spacing w:before="88" w:line="21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注册会计师在北京科锐配电自动化股份有限公司 </w:t>
            </w:r>
            <w:r>
              <w:rPr>
                <w:rFonts w:ascii="Microsoft YaHei" w:hAnsi="Microsoft YaHei" w:eastAsia="Microsoft YaHei" w:cs="Microsoft YaHei"/>
                <w:sz w:val="20"/>
                <w:szCs w:val="20"/>
                <w:b/>
                <w:bCs/>
                <w:spacing w:val="9"/>
              </w:rPr>
              <w:t>2022 年</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b/>
                <w:bCs/>
                <w:spacing w:val="9"/>
              </w:rPr>
              <w:t>度财务报表审计</w:t>
            </w:r>
            <w:r>
              <w:rPr>
                <w:rFonts w:ascii="Microsoft YaHei" w:hAnsi="Microsoft YaHei" w:eastAsia="Microsoft YaHei" w:cs="Microsoft YaHei"/>
                <w:sz w:val="20"/>
                <w:szCs w:val="20"/>
                <w:spacing w:val="9"/>
              </w:rPr>
              <w:t>项目执业中存在问题。</w:t>
            </w:r>
          </w:p>
        </w:tc>
      </w:tr>
      <w:tr>
        <w:trPr>
          <w:trHeight w:val="724" w:hRule="atLeast"/>
        </w:trPr>
        <w:tc>
          <w:tcPr>
            <w:tcW w:w="8053" w:type="dxa"/>
            <w:vAlign w:val="top"/>
            <w:gridSpan w:val="3"/>
          </w:tcPr>
          <w:p>
            <w:pPr>
              <w:ind w:left="105" w:right="104" w:firstLine="16"/>
              <w:spacing w:before="44"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中国证监会上海专员办决定对注册会计师采取出具警示函的行政监</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6"/>
              </w:rPr>
              <w:t>管措施。</w:t>
            </w:r>
          </w:p>
        </w:tc>
      </w:tr>
      <w:tr>
        <w:trPr>
          <w:trHeight w:val="365" w:hRule="atLeast"/>
        </w:trPr>
        <w:tc>
          <w:tcPr>
            <w:shd w:val="clear" w:fill="B8CCE4"/>
            <w:tcW w:w="1214" w:type="dxa"/>
            <w:vAlign w:val="top"/>
          </w:tcPr>
          <w:p>
            <w:pPr>
              <w:ind w:left="239"/>
              <w:spacing w:before="103" w:line="17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603758</w:t>
            </w:r>
          </w:p>
        </w:tc>
        <w:tc>
          <w:tcPr>
            <w:shd w:val="clear" w:fill="B8CCE4"/>
            <w:tcW w:w="1343" w:type="dxa"/>
            <w:vAlign w:val="top"/>
          </w:tcPr>
          <w:p>
            <w:pPr>
              <w:ind w:left="242"/>
              <w:spacing w:before="89"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秦安股份</w:t>
            </w:r>
          </w:p>
        </w:tc>
        <w:tc>
          <w:tcPr>
            <w:shd w:val="clear" w:fill="B8CCE4"/>
            <w:tcW w:w="5496" w:type="dxa"/>
            <w:vAlign w:val="top"/>
          </w:tcPr>
          <w:p>
            <w:pPr>
              <w:ind w:left="99"/>
              <w:spacing w:before="87"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提前离任高管在原定任期及届满 6 个月内</w:t>
            </w:r>
            <w:r>
              <w:rPr>
                <w:rFonts w:ascii="Microsoft YaHei" w:hAnsi="Microsoft YaHei" w:eastAsia="Microsoft YaHei" w:cs="Microsoft YaHei"/>
                <w:sz w:val="20"/>
                <w:szCs w:val="20"/>
                <w:b/>
                <w:bCs/>
                <w:spacing w:val="8"/>
              </w:rPr>
              <w:t>超比例减持。</w:t>
            </w:r>
          </w:p>
        </w:tc>
      </w:tr>
      <w:tr>
        <w:trPr>
          <w:trHeight w:val="725" w:hRule="atLeast"/>
        </w:trPr>
        <w:tc>
          <w:tcPr>
            <w:tcW w:w="8053" w:type="dxa"/>
            <w:vAlign w:val="top"/>
            <w:gridSpan w:val="3"/>
          </w:tcPr>
          <w:p>
            <w:pPr>
              <w:ind w:left="117" w:right="104" w:firstLine="4"/>
              <w:spacing w:before="48"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中国证券监督管理委员会重庆监管局决定对时任高管采取出具警示</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6"/>
              </w:rPr>
              <w:t>函的行政监管措施。</w:t>
            </w:r>
          </w:p>
        </w:tc>
      </w:tr>
      <w:tr>
        <w:trPr>
          <w:trHeight w:val="1084" w:hRule="atLeast"/>
        </w:trPr>
        <w:tc>
          <w:tcPr>
            <w:shd w:val="clear" w:fill="B8CCE4"/>
            <w:tcW w:w="1214" w:type="dxa"/>
            <w:vAlign w:val="top"/>
          </w:tcPr>
          <w:p>
            <w:pPr>
              <w:spacing w:line="375" w:lineRule="auto"/>
              <w:rPr>
                <w:rFonts w:ascii="Arial"/>
                <w:sz w:val="21"/>
              </w:rPr>
            </w:pPr>
            <w:r/>
          </w:p>
          <w:p>
            <w:pPr>
              <w:ind w:left="242"/>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300331</w:t>
            </w:r>
          </w:p>
        </w:tc>
        <w:tc>
          <w:tcPr>
            <w:shd w:val="clear" w:fill="B8CCE4"/>
            <w:tcW w:w="1343" w:type="dxa"/>
            <w:vAlign w:val="top"/>
          </w:tcPr>
          <w:p>
            <w:pPr>
              <w:spacing w:line="362" w:lineRule="auto"/>
              <w:rPr>
                <w:rFonts w:ascii="Arial"/>
                <w:sz w:val="21"/>
              </w:rPr>
            </w:pPr>
            <w:r/>
          </w:p>
          <w:p>
            <w:pPr>
              <w:ind w:left="24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苏大维格</w:t>
            </w:r>
          </w:p>
        </w:tc>
        <w:tc>
          <w:tcPr>
            <w:shd w:val="clear" w:fill="B8CCE4"/>
            <w:tcW w:w="5496" w:type="dxa"/>
            <w:vAlign w:val="top"/>
          </w:tcPr>
          <w:p>
            <w:pPr>
              <w:ind w:left="98" w:right="103"/>
              <w:spacing w:before="87"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公司在深圳证券交易所</w:t>
            </w:r>
            <w:r>
              <w:rPr>
                <w:rFonts w:ascii="Microsoft YaHei" w:hAnsi="Microsoft YaHei" w:eastAsia="Microsoft YaHei" w:cs="Microsoft YaHei"/>
                <w:sz w:val="20"/>
                <w:szCs w:val="20"/>
                <w:b/>
                <w:bCs/>
                <w:spacing w:val="11"/>
              </w:rPr>
              <w:t>互动易平台</w:t>
            </w:r>
            <w:r>
              <w:rPr>
                <w:rFonts w:ascii="Microsoft YaHei" w:hAnsi="Microsoft YaHei" w:eastAsia="Microsoft YaHei" w:cs="Microsoft YaHei"/>
                <w:sz w:val="20"/>
                <w:szCs w:val="20"/>
                <w:spacing w:val="11"/>
              </w:rPr>
              <w:t>回答投资者关于“贵司</w:t>
            </w:r>
            <w:r>
              <w:rPr>
                <w:rFonts w:ascii="Microsoft YaHei" w:hAnsi="Microsoft YaHei" w:eastAsia="Microsoft YaHei" w:cs="Microsoft YaHei"/>
                <w:sz w:val="20"/>
                <w:szCs w:val="20"/>
                <w:spacing w:val="1"/>
              </w:rPr>
              <w:t xml:space="preserve"> </w:t>
            </w:r>
            <w:r>
              <w:rPr>
                <w:rFonts w:ascii="Microsoft YaHei" w:hAnsi="Microsoft YaHei" w:eastAsia="Microsoft YaHei" w:cs="Microsoft YaHei"/>
                <w:sz w:val="20"/>
                <w:szCs w:val="20"/>
                <w:spacing w:val="16"/>
              </w:rPr>
              <w:t>光刻机及相关技术有哪些知名企业在使用</w:t>
            </w:r>
            <w:r>
              <w:rPr>
                <w:rFonts w:ascii="Microsoft YaHei" w:hAnsi="Microsoft YaHei" w:eastAsia="Microsoft YaHei" w:cs="Microsoft YaHei"/>
                <w:sz w:val="20"/>
                <w:szCs w:val="20"/>
                <w:spacing w:val="-30"/>
              </w:rPr>
              <w:t xml:space="preserve"> </w:t>
            </w:r>
            <w:r>
              <w:rPr>
                <w:rFonts w:ascii="Microsoft YaHei" w:hAnsi="Microsoft YaHei" w:eastAsia="Microsoft YaHei" w:cs="Microsoft YaHei"/>
                <w:sz w:val="20"/>
                <w:szCs w:val="20"/>
                <w:spacing w:val="16"/>
              </w:rPr>
              <w:t>”的提问时,信</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息披露不准确、不完整,构成误导性陈述。</w:t>
            </w:r>
          </w:p>
        </w:tc>
      </w:tr>
      <w:tr>
        <w:trPr>
          <w:trHeight w:val="725" w:hRule="atLeast"/>
        </w:trPr>
        <w:tc>
          <w:tcPr>
            <w:tcW w:w="8053" w:type="dxa"/>
            <w:vAlign w:val="top"/>
            <w:gridSpan w:val="3"/>
          </w:tcPr>
          <w:p>
            <w:pPr>
              <w:ind w:left="114" w:right="104" w:firstLine="8"/>
              <w:spacing w:before="48"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中国证券监督管理委员会江苏监管局决定对董事长采取出具警示函</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的行政监管措施,并记入证券期货市场诚信档案。</w:t>
            </w:r>
          </w:p>
        </w:tc>
      </w:tr>
      <w:tr>
        <w:trPr>
          <w:trHeight w:val="1445" w:hRule="atLeast"/>
        </w:trPr>
        <w:tc>
          <w:tcPr>
            <w:shd w:val="clear" w:fill="B8CCE4"/>
            <w:tcW w:w="1214" w:type="dxa"/>
            <w:vAlign w:val="top"/>
          </w:tcPr>
          <w:p>
            <w:pPr>
              <w:spacing w:line="278" w:lineRule="auto"/>
              <w:rPr>
                <w:rFonts w:ascii="Arial"/>
                <w:sz w:val="21"/>
              </w:rPr>
            </w:pPr>
            <w:r/>
          </w:p>
          <w:p>
            <w:pPr>
              <w:spacing w:line="279" w:lineRule="auto"/>
              <w:rPr>
                <w:rFonts w:ascii="Arial"/>
                <w:sz w:val="21"/>
              </w:rPr>
            </w:pPr>
            <w:r/>
          </w:p>
          <w:p>
            <w:pPr>
              <w:ind w:left="242"/>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300423</w:t>
            </w:r>
          </w:p>
        </w:tc>
        <w:tc>
          <w:tcPr>
            <w:shd w:val="clear" w:fill="B8CCE4"/>
            <w:tcW w:w="1343" w:type="dxa"/>
            <w:vAlign w:val="top"/>
          </w:tcPr>
          <w:p>
            <w:pPr>
              <w:spacing w:line="272" w:lineRule="auto"/>
              <w:rPr>
                <w:rFonts w:ascii="Arial"/>
                <w:sz w:val="21"/>
              </w:rPr>
            </w:pPr>
            <w:r/>
          </w:p>
          <w:p>
            <w:pPr>
              <w:spacing w:line="272" w:lineRule="auto"/>
              <w:rPr>
                <w:rFonts w:ascii="Arial"/>
                <w:sz w:val="21"/>
              </w:rPr>
            </w:pPr>
            <w:r/>
          </w:p>
          <w:p>
            <w:pPr>
              <w:ind w:left="244"/>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昇辉科技</w:t>
            </w:r>
          </w:p>
        </w:tc>
        <w:tc>
          <w:tcPr>
            <w:shd w:val="clear" w:fill="B8CCE4"/>
            <w:tcW w:w="5496" w:type="dxa"/>
            <w:vAlign w:val="top"/>
          </w:tcPr>
          <w:p>
            <w:pPr>
              <w:ind w:left="98" w:right="104" w:firstLine="1"/>
              <w:spacing w:before="50" w:line="242"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深圳君瑞资产评估所（特殊普通合伙）及资产评估师执行</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的昇辉智能科技股份有限公司 </w:t>
            </w:r>
            <w:r>
              <w:rPr>
                <w:rFonts w:ascii="Microsoft YaHei" w:hAnsi="Microsoft YaHei" w:eastAsia="Microsoft YaHei" w:cs="Microsoft YaHei"/>
                <w:sz w:val="20"/>
                <w:szCs w:val="20"/>
                <w:b/>
                <w:bCs/>
                <w:spacing w:val="9"/>
              </w:rPr>
              <w:t>2021 年、</w:t>
            </w:r>
            <w:r>
              <w:rPr>
                <w:rFonts w:ascii="Microsoft YaHei" w:hAnsi="Microsoft YaHei" w:eastAsia="Microsoft YaHei" w:cs="Microsoft YaHei"/>
                <w:sz w:val="20"/>
                <w:szCs w:val="20"/>
                <w:b/>
                <w:bCs/>
                <w:spacing w:val="-17"/>
              </w:rPr>
              <w:t xml:space="preserve"> </w:t>
            </w:r>
            <w:r>
              <w:rPr>
                <w:rFonts w:ascii="Microsoft YaHei" w:hAnsi="Microsoft YaHei" w:eastAsia="Microsoft YaHei" w:cs="Microsoft YaHei"/>
                <w:sz w:val="20"/>
                <w:szCs w:val="20"/>
                <w:b/>
                <w:bCs/>
                <w:spacing w:val="9"/>
              </w:rPr>
              <w:t>2022 年商誉减</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11"/>
              </w:rPr>
              <w:t>值测试涉及的昇辉控股有限公司资产组组合</w:t>
            </w:r>
            <w:r>
              <w:rPr>
                <w:rFonts w:ascii="Microsoft YaHei" w:hAnsi="Microsoft YaHei" w:eastAsia="Microsoft YaHei" w:cs="Microsoft YaHei"/>
                <w:sz w:val="20"/>
                <w:szCs w:val="20"/>
                <w:spacing w:val="11"/>
              </w:rPr>
              <w:t>可收回金额评</w:t>
            </w:r>
            <w:r>
              <w:rPr>
                <w:rFonts w:ascii="Microsoft YaHei" w:hAnsi="Microsoft YaHei" w:eastAsia="Microsoft YaHei" w:cs="Microsoft YaHei"/>
                <w:sz w:val="20"/>
                <w:szCs w:val="20"/>
                <w:spacing w:val="2"/>
              </w:rPr>
              <w:t xml:space="preserve"> </w:t>
            </w:r>
            <w:r>
              <w:rPr>
                <w:rFonts w:ascii="Microsoft YaHei" w:hAnsi="Microsoft YaHei" w:eastAsia="Microsoft YaHei" w:cs="Microsoft YaHei"/>
                <w:sz w:val="20"/>
                <w:szCs w:val="20"/>
                <w:spacing w:val="8"/>
              </w:rPr>
              <w:t>估项目存在问题。</w:t>
            </w:r>
          </w:p>
        </w:tc>
      </w:tr>
      <w:tr>
        <w:trPr>
          <w:trHeight w:val="724" w:hRule="atLeast"/>
        </w:trPr>
        <w:tc>
          <w:tcPr>
            <w:tcW w:w="8053" w:type="dxa"/>
            <w:vAlign w:val="top"/>
            <w:gridSpan w:val="3"/>
          </w:tcPr>
          <w:p>
            <w:pPr>
              <w:ind w:left="104" w:right="104" w:firstLine="18"/>
              <w:spacing w:before="50"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山东证监局决定对深圳君瑞资产评估所（特殊普通合伙）及资产评</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估师采取出具警示函的监督管理措施并记入证券期货市场诚信档案数据库。</w:t>
            </w:r>
          </w:p>
        </w:tc>
      </w:tr>
      <w:tr>
        <w:trPr>
          <w:trHeight w:val="365" w:hRule="atLeast"/>
        </w:trPr>
        <w:tc>
          <w:tcPr>
            <w:shd w:val="clear" w:fill="B8CCE4"/>
            <w:tcW w:w="1214" w:type="dxa"/>
            <w:vAlign w:val="top"/>
          </w:tcPr>
          <w:p>
            <w:pPr>
              <w:ind w:left="236"/>
              <w:spacing w:before="110" w:line="17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001203</w:t>
            </w:r>
          </w:p>
        </w:tc>
        <w:tc>
          <w:tcPr>
            <w:shd w:val="clear" w:fill="B8CCE4"/>
            <w:tcW w:w="1343" w:type="dxa"/>
            <w:vAlign w:val="top"/>
          </w:tcPr>
          <w:p>
            <w:pPr>
              <w:ind w:left="242"/>
              <w:spacing w:before="97" w:line="18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大中矿业</w:t>
            </w:r>
          </w:p>
        </w:tc>
        <w:tc>
          <w:tcPr>
            <w:shd w:val="clear" w:fill="B8CCE4"/>
            <w:tcW w:w="5496" w:type="dxa"/>
            <w:vAlign w:val="top"/>
          </w:tcPr>
          <w:p>
            <w:pPr>
              <w:ind w:left="101"/>
              <w:spacing w:before="96" w:line="18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关联方</w:t>
            </w:r>
            <w:r>
              <w:rPr>
                <w:rFonts w:ascii="Microsoft YaHei" w:hAnsi="Microsoft YaHei" w:eastAsia="Microsoft YaHei" w:cs="Microsoft YaHei"/>
                <w:sz w:val="20"/>
                <w:szCs w:val="20"/>
                <w:b/>
                <w:bCs/>
                <w:spacing w:val="8"/>
              </w:rPr>
              <w:t>资金占用。</w:t>
            </w:r>
          </w:p>
        </w:tc>
      </w:tr>
      <w:tr>
        <w:trPr>
          <w:trHeight w:val="1085" w:hRule="atLeast"/>
        </w:trPr>
        <w:tc>
          <w:tcPr>
            <w:tcW w:w="8053" w:type="dxa"/>
            <w:vAlign w:val="top"/>
            <w:gridSpan w:val="3"/>
          </w:tcPr>
          <w:p>
            <w:pPr>
              <w:ind w:left="104" w:right="104" w:firstLine="17"/>
              <w:spacing w:before="54" w:line="238"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中国证券监督管理委员会内蒙古监管局决定对内蒙古大中矿业股份</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11"/>
              </w:rPr>
              <w:t>有限公司、董事长、监事采取出具警示函行政监管措施</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10"/>
              </w:rPr>
              <w:t>，并记入证券期货市场诚信档</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3"/>
              </w:rPr>
              <w:t>案。</w:t>
            </w:r>
          </w:p>
        </w:tc>
      </w:tr>
      <w:tr>
        <w:trPr>
          <w:trHeight w:val="732" w:hRule="atLeast"/>
        </w:trPr>
        <w:tc>
          <w:tcPr>
            <w:shd w:val="clear" w:fill="B8CCE4"/>
            <w:tcW w:w="1214" w:type="dxa"/>
            <w:vAlign w:val="top"/>
          </w:tcPr>
          <w:p>
            <w:pPr>
              <w:ind w:left="236"/>
              <w:spacing w:before="289"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000426</w:t>
            </w:r>
          </w:p>
        </w:tc>
        <w:tc>
          <w:tcPr>
            <w:shd w:val="clear" w:fill="B8CCE4"/>
            <w:tcW w:w="1343" w:type="dxa"/>
            <w:vAlign w:val="top"/>
          </w:tcPr>
          <w:p>
            <w:pPr>
              <w:ind w:left="244"/>
              <w:spacing w:before="27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兴业银锡</w:t>
            </w:r>
          </w:p>
        </w:tc>
        <w:tc>
          <w:tcPr>
            <w:shd w:val="clear" w:fill="B8CCE4"/>
            <w:tcW w:w="5496" w:type="dxa"/>
            <w:vAlign w:val="top"/>
          </w:tcPr>
          <w:p>
            <w:pPr>
              <w:ind w:left="116" w:right="104" w:hanging="17"/>
              <w:spacing w:before="58"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5"/>
              </w:rPr>
              <w:t>天衡会计师事务所(特殊普通合伙）</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15"/>
              </w:rPr>
              <w:t>及注册会计师在执业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内蒙古兴业银锡矿业股份有限公司 </w:t>
            </w:r>
            <w:r>
              <w:rPr>
                <w:rFonts w:ascii="Microsoft YaHei" w:hAnsi="Microsoft YaHei" w:eastAsia="Microsoft YaHei" w:cs="Microsoft YaHei"/>
                <w:sz w:val="20"/>
                <w:szCs w:val="20"/>
                <w:b/>
                <w:bCs/>
                <w:spacing w:val="9"/>
              </w:rPr>
              <w:t>2021 年</w:t>
            </w:r>
            <w:r>
              <w:rPr>
                <w:rFonts w:ascii="Microsoft YaHei" w:hAnsi="Microsoft YaHei" w:eastAsia="Microsoft YaHei" w:cs="Microsoft YaHei"/>
                <w:sz w:val="20"/>
                <w:szCs w:val="20"/>
                <w:b/>
                <w:bCs/>
                <w:spacing w:val="8"/>
              </w:rPr>
              <w:t>年报审计项目</w:t>
            </w:r>
          </w:p>
        </w:tc>
      </w:tr>
    </w:tbl>
    <w:p>
      <w:pPr>
        <w:pStyle w:val="BodyText"/>
        <w:rPr/>
      </w:pPr>
      <w:r/>
    </w:p>
    <w:p>
      <w:pPr>
        <w:sectPr>
          <w:pgSz w:w="11910" w:h="16840"/>
          <w:pgMar w:top="400" w:right="1786" w:bottom="0" w:left="1786" w:header="0" w:footer="0" w:gutter="0"/>
        </w:sectPr>
        <w:rPr/>
      </w:pPr>
    </w:p>
    <w:tbl>
      <w:tblPr>
        <w:tblStyle w:val="TableNormal"/>
        <w:tblW w:w="8053"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shd w:val="clear" w:fill="B8CCE4"/>
            <w:tcW w:w="1214" w:type="dxa"/>
            <w:vAlign w:val="top"/>
            <w:tcBorders>
              <w:top w:val="single" w:color="4F81BD" w:sz="2" w:space="0"/>
            </w:tcBorders>
          </w:tcPr>
          <w:p>
            <w:pPr>
              <w:rPr>
                <w:rFonts w:ascii="Arial"/>
                <w:sz w:val="21"/>
              </w:rPr>
            </w:pPr>
            <w:r/>
          </w:p>
        </w:tc>
        <w:tc>
          <w:tcPr>
            <w:shd w:val="clear" w:fill="B8CCE4"/>
            <w:tcW w:w="1343" w:type="dxa"/>
            <w:vAlign w:val="top"/>
            <w:tcBorders>
              <w:top w:val="single" w:color="4F81BD" w:sz="2" w:space="0"/>
            </w:tcBorders>
          </w:tcPr>
          <w:p>
            <w:pPr>
              <w:rPr>
                <w:rFonts w:ascii="Arial"/>
                <w:sz w:val="21"/>
              </w:rPr>
            </w:pPr>
            <w:r/>
          </w:p>
        </w:tc>
        <w:tc>
          <w:tcPr>
            <w:shd w:val="clear" w:fill="B8CCE4"/>
            <w:tcW w:w="5496" w:type="dxa"/>
            <w:vAlign w:val="top"/>
            <w:tcBorders>
              <w:top w:val="single" w:color="4F81BD" w:sz="2" w:space="0"/>
            </w:tcBorders>
          </w:tcPr>
          <w:p>
            <w:pPr>
              <w:ind w:left="100"/>
              <w:spacing w:before="102"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过程中存在问题。</w:t>
            </w:r>
          </w:p>
        </w:tc>
      </w:tr>
      <w:tr>
        <w:trPr>
          <w:trHeight w:val="1346" w:hRule="atLeast"/>
        </w:trPr>
        <w:tc>
          <w:tcPr>
            <w:tcW w:w="8053" w:type="dxa"/>
            <w:vAlign w:val="top"/>
            <w:gridSpan w:val="3"/>
          </w:tcPr>
          <w:p>
            <w:pPr>
              <w:spacing w:line="260" w:lineRule="auto"/>
              <w:rPr>
                <w:rFonts w:ascii="Arial"/>
                <w:sz w:val="21"/>
              </w:rPr>
            </w:pPr>
            <w:r/>
          </w:p>
          <w:p>
            <w:pPr>
              <w:ind w:left="105" w:right="106" w:firstLine="16"/>
              <w:spacing w:before="86"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4"/>
              </w:rPr>
              <w:t>【行政监管措施】</w:t>
            </w:r>
            <w:r>
              <w:rPr>
                <w:rFonts w:ascii="Microsoft YaHei" w:hAnsi="Microsoft YaHei" w:eastAsia="Microsoft YaHei" w:cs="Microsoft YaHei"/>
                <w:sz w:val="20"/>
                <w:szCs w:val="20"/>
                <w:spacing w:val="14"/>
              </w:rPr>
              <w:t>内蒙古证监局决定对天衡会计师事务所(特殊普通合伙）</w:t>
            </w:r>
            <w:r>
              <w:rPr>
                <w:rFonts w:ascii="Microsoft YaHei" w:hAnsi="Microsoft YaHei" w:eastAsia="Microsoft YaHei" w:cs="Microsoft YaHei"/>
                <w:sz w:val="20"/>
                <w:szCs w:val="20"/>
                <w:spacing w:val="-32"/>
              </w:rPr>
              <w:t xml:space="preserve"> </w:t>
            </w:r>
            <w:r>
              <w:rPr>
                <w:rFonts w:ascii="Microsoft YaHei" w:hAnsi="Microsoft YaHei" w:eastAsia="Microsoft YaHei" w:cs="Microsoft YaHei"/>
                <w:sz w:val="20"/>
                <w:szCs w:val="20"/>
                <w:spacing w:val="13"/>
              </w:rPr>
              <w:t>及注册会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计师采取出具警示函的行政监管措施</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8"/>
              </w:rPr>
              <w:t>，并记入证券期货市场诚信档案。</w:t>
            </w:r>
          </w:p>
        </w:tc>
      </w:tr>
      <w:tr>
        <w:trPr>
          <w:trHeight w:val="1085" w:hRule="atLeast"/>
        </w:trPr>
        <w:tc>
          <w:tcPr>
            <w:shd w:val="clear" w:fill="B8CCE4"/>
            <w:tcW w:w="1214" w:type="dxa"/>
            <w:vAlign w:val="top"/>
          </w:tcPr>
          <w:p>
            <w:pPr>
              <w:spacing w:line="367" w:lineRule="auto"/>
              <w:rPr>
                <w:rFonts w:ascii="Arial"/>
                <w:sz w:val="21"/>
              </w:rPr>
            </w:pPr>
            <w:r/>
          </w:p>
          <w:p>
            <w:pPr>
              <w:ind w:left="236"/>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001203</w:t>
            </w:r>
          </w:p>
        </w:tc>
        <w:tc>
          <w:tcPr>
            <w:shd w:val="clear" w:fill="B8CCE4"/>
            <w:tcW w:w="1343" w:type="dxa"/>
            <w:vAlign w:val="top"/>
          </w:tcPr>
          <w:p>
            <w:pPr>
              <w:spacing w:line="354" w:lineRule="auto"/>
              <w:rPr>
                <w:rFonts w:ascii="Arial"/>
                <w:sz w:val="21"/>
              </w:rPr>
            </w:pPr>
            <w:r/>
          </w:p>
          <w:p>
            <w:pPr>
              <w:ind w:left="24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大中矿业</w:t>
            </w:r>
          </w:p>
        </w:tc>
        <w:tc>
          <w:tcPr>
            <w:shd w:val="clear" w:fill="B8CCE4"/>
            <w:tcW w:w="5496" w:type="dxa"/>
            <w:vAlign w:val="top"/>
          </w:tcPr>
          <w:p>
            <w:pPr>
              <w:ind w:left="113" w:right="104"/>
              <w:spacing w:before="43"/>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4"/>
              </w:rPr>
              <w:t>中汇会计师事务所(特殊普通合伙）</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14"/>
              </w:rPr>
              <w:t>及注册会计师在执业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内蒙古大中矿业股份有限公司 </w:t>
            </w:r>
            <w:r>
              <w:rPr>
                <w:rFonts w:ascii="Microsoft YaHei" w:hAnsi="Microsoft YaHei" w:eastAsia="Microsoft YaHei" w:cs="Microsoft YaHei"/>
                <w:sz w:val="20"/>
                <w:szCs w:val="20"/>
                <w:b/>
                <w:bCs/>
                <w:spacing w:val="9"/>
              </w:rPr>
              <w:t>2022 年年报审计项</w:t>
            </w:r>
            <w:r>
              <w:rPr>
                <w:rFonts w:ascii="Microsoft YaHei" w:hAnsi="Microsoft YaHei" w:eastAsia="Microsoft YaHei" w:cs="Microsoft YaHei"/>
                <w:sz w:val="20"/>
                <w:szCs w:val="20"/>
                <w:b/>
                <w:bCs/>
                <w:spacing w:val="8"/>
              </w:rPr>
              <w:t>目</w:t>
            </w:r>
            <w:r>
              <w:rPr>
                <w:rFonts w:ascii="Microsoft YaHei" w:hAnsi="Microsoft YaHei" w:eastAsia="Microsoft YaHei" w:cs="Microsoft YaHei"/>
                <w:sz w:val="20"/>
                <w:szCs w:val="20"/>
                <w:spacing w:val="8"/>
              </w:rPr>
              <w:t>过程</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5"/>
              </w:rPr>
              <w:t>中存在问题。</w:t>
            </w:r>
          </w:p>
        </w:tc>
      </w:tr>
      <w:tr>
        <w:trPr>
          <w:trHeight w:val="724" w:hRule="atLeast"/>
        </w:trPr>
        <w:tc>
          <w:tcPr>
            <w:tcW w:w="8053" w:type="dxa"/>
            <w:vAlign w:val="top"/>
            <w:gridSpan w:val="3"/>
          </w:tcPr>
          <w:p>
            <w:pPr>
              <w:ind w:left="105" w:right="106" w:firstLine="16"/>
              <w:spacing w:before="39"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4"/>
              </w:rPr>
              <w:t>【行政监管措施】</w:t>
            </w:r>
            <w:r>
              <w:rPr>
                <w:rFonts w:ascii="Microsoft YaHei" w:hAnsi="Microsoft YaHei" w:eastAsia="Microsoft YaHei" w:cs="Microsoft YaHei"/>
                <w:sz w:val="20"/>
                <w:szCs w:val="20"/>
                <w:spacing w:val="14"/>
              </w:rPr>
              <w:t>内蒙古证监局决定对中汇会计师事务所(特殊普通合伙）</w:t>
            </w:r>
            <w:r>
              <w:rPr>
                <w:rFonts w:ascii="Microsoft YaHei" w:hAnsi="Microsoft YaHei" w:eastAsia="Microsoft YaHei" w:cs="Microsoft YaHei"/>
                <w:sz w:val="20"/>
                <w:szCs w:val="20"/>
                <w:spacing w:val="-32"/>
              </w:rPr>
              <w:t xml:space="preserve"> </w:t>
            </w:r>
            <w:r>
              <w:rPr>
                <w:rFonts w:ascii="Microsoft YaHei" w:hAnsi="Microsoft YaHei" w:eastAsia="Microsoft YaHei" w:cs="Microsoft YaHei"/>
                <w:sz w:val="20"/>
                <w:szCs w:val="20"/>
                <w:spacing w:val="13"/>
              </w:rPr>
              <w:t>及注册会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计师采取出具警示函的行政监管措施</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8"/>
              </w:rPr>
              <w:t>，并记入证券期货市场诚信档案。</w:t>
            </w:r>
          </w:p>
        </w:tc>
      </w:tr>
      <w:tr>
        <w:trPr>
          <w:trHeight w:val="1085" w:hRule="atLeast"/>
        </w:trPr>
        <w:tc>
          <w:tcPr>
            <w:shd w:val="clear" w:fill="B8CCE4"/>
            <w:tcW w:w="1214" w:type="dxa"/>
            <w:vAlign w:val="top"/>
          </w:tcPr>
          <w:p>
            <w:pPr>
              <w:spacing w:line="369" w:lineRule="auto"/>
              <w:rPr>
                <w:rFonts w:ascii="Arial"/>
                <w:sz w:val="21"/>
              </w:rPr>
            </w:pPr>
            <w:r/>
          </w:p>
          <w:p>
            <w:pPr>
              <w:ind w:left="239"/>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600173</w:t>
            </w:r>
          </w:p>
        </w:tc>
        <w:tc>
          <w:tcPr>
            <w:shd w:val="clear" w:fill="B8CCE4"/>
            <w:tcW w:w="1343" w:type="dxa"/>
            <w:vAlign w:val="top"/>
          </w:tcPr>
          <w:p>
            <w:pPr>
              <w:spacing w:line="356" w:lineRule="auto"/>
              <w:rPr>
                <w:rFonts w:ascii="Arial"/>
                <w:sz w:val="21"/>
              </w:rPr>
            </w:pPr>
            <w:r/>
          </w:p>
          <w:p>
            <w:pPr>
              <w:ind w:left="25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卧龙地产</w:t>
            </w:r>
          </w:p>
        </w:tc>
        <w:tc>
          <w:tcPr>
            <w:shd w:val="clear" w:fill="B8CCE4"/>
            <w:tcW w:w="5496" w:type="dxa"/>
            <w:vAlign w:val="top"/>
          </w:tcPr>
          <w:p>
            <w:pPr>
              <w:ind w:left="106" w:right="104" w:hanging="4"/>
              <w:spacing w:before="45"/>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立信会计师事务所（特殊普通合伙）</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10"/>
              </w:rPr>
              <w:t>、注册会计</w:t>
            </w:r>
            <w:r>
              <w:rPr>
                <w:rFonts w:ascii="Microsoft YaHei" w:hAnsi="Microsoft YaHei" w:eastAsia="Microsoft YaHei" w:cs="Microsoft YaHei"/>
                <w:sz w:val="20"/>
                <w:szCs w:val="20"/>
                <w:spacing w:val="9"/>
              </w:rPr>
              <w:t>师在执行</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卧龙地产集团股份有限公司 </w:t>
            </w:r>
            <w:r>
              <w:rPr>
                <w:rFonts w:ascii="Microsoft YaHei" w:hAnsi="Microsoft YaHei" w:eastAsia="Microsoft YaHei" w:cs="Microsoft YaHei"/>
                <w:sz w:val="20"/>
                <w:szCs w:val="20"/>
                <w:b/>
                <w:bCs/>
                <w:spacing w:val="9"/>
              </w:rPr>
              <w:t>2022 年财务报表及内部控制</w:t>
            </w:r>
            <w:r>
              <w:rPr>
                <w:rFonts w:ascii="Microsoft YaHei" w:hAnsi="Microsoft YaHei" w:eastAsia="Microsoft YaHei" w:cs="Microsoft YaHei"/>
                <w:sz w:val="20"/>
                <w:szCs w:val="20"/>
                <w:b/>
                <w:bCs/>
                <w:spacing w:val="4"/>
              </w:rPr>
              <w:t xml:space="preserve"> </w:t>
            </w:r>
            <w:r>
              <w:rPr>
                <w:rFonts w:ascii="Microsoft YaHei" w:hAnsi="Microsoft YaHei" w:eastAsia="Microsoft YaHei" w:cs="Microsoft YaHei"/>
                <w:sz w:val="20"/>
                <w:szCs w:val="20"/>
                <w:b/>
                <w:bCs/>
                <w:spacing w:val="7"/>
              </w:rPr>
              <w:t>审计项目</w:t>
            </w:r>
            <w:r>
              <w:rPr>
                <w:rFonts w:ascii="Microsoft YaHei" w:hAnsi="Microsoft YaHei" w:eastAsia="Microsoft YaHei" w:cs="Microsoft YaHei"/>
                <w:sz w:val="20"/>
                <w:szCs w:val="20"/>
                <w:spacing w:val="7"/>
              </w:rPr>
              <w:t>中存在问题。</w:t>
            </w:r>
          </w:p>
        </w:tc>
      </w:tr>
      <w:tr>
        <w:trPr>
          <w:trHeight w:val="1085" w:hRule="atLeast"/>
        </w:trPr>
        <w:tc>
          <w:tcPr>
            <w:tcW w:w="8053" w:type="dxa"/>
            <w:vAlign w:val="top"/>
            <w:gridSpan w:val="3"/>
          </w:tcPr>
          <w:p>
            <w:pPr>
              <w:ind w:left="105" w:right="104" w:firstLine="17"/>
              <w:spacing w:before="41" w:line="24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中国证券监督管理委员会浙江监管局决定对立信会计师事务所（特</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10"/>
              </w:rPr>
              <w:t>殊普通合伙）</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10"/>
              </w:rPr>
              <w:t>、注册会计师分别采取出具警示函的监督管理措施</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10"/>
              </w:rPr>
              <w:t>，并记入证券</w:t>
            </w:r>
            <w:r>
              <w:rPr>
                <w:rFonts w:ascii="Microsoft YaHei" w:hAnsi="Microsoft YaHei" w:eastAsia="Microsoft YaHei" w:cs="Microsoft YaHei"/>
                <w:sz w:val="20"/>
                <w:szCs w:val="20"/>
                <w:spacing w:val="9"/>
              </w:rPr>
              <w:t>期货市</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场诚信档案。</w:t>
            </w:r>
          </w:p>
        </w:tc>
      </w:tr>
      <w:tr>
        <w:trPr>
          <w:trHeight w:val="1084" w:hRule="atLeast"/>
        </w:trPr>
        <w:tc>
          <w:tcPr>
            <w:shd w:val="clear" w:fill="B8CCE4"/>
            <w:tcW w:w="1214" w:type="dxa"/>
            <w:vAlign w:val="top"/>
          </w:tcPr>
          <w:p>
            <w:pPr>
              <w:spacing w:line="370" w:lineRule="auto"/>
              <w:rPr>
                <w:rFonts w:ascii="Arial"/>
                <w:sz w:val="21"/>
              </w:rPr>
            </w:pPr>
            <w:r/>
          </w:p>
          <w:p>
            <w:pPr>
              <w:ind w:left="236"/>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001203</w:t>
            </w:r>
          </w:p>
        </w:tc>
        <w:tc>
          <w:tcPr>
            <w:shd w:val="clear" w:fill="B8CCE4"/>
            <w:tcW w:w="1343" w:type="dxa"/>
            <w:vAlign w:val="top"/>
          </w:tcPr>
          <w:p>
            <w:pPr>
              <w:spacing w:line="357" w:lineRule="auto"/>
              <w:rPr>
                <w:rFonts w:ascii="Arial"/>
                <w:sz w:val="21"/>
              </w:rPr>
            </w:pPr>
            <w:r/>
          </w:p>
          <w:p>
            <w:pPr>
              <w:ind w:left="24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大中矿业</w:t>
            </w:r>
          </w:p>
        </w:tc>
        <w:tc>
          <w:tcPr>
            <w:shd w:val="clear" w:fill="B8CCE4"/>
            <w:tcW w:w="5496" w:type="dxa"/>
            <w:vAlign w:val="top"/>
          </w:tcPr>
          <w:p>
            <w:pPr>
              <w:ind w:left="100" w:right="104" w:hanging="1"/>
              <w:spacing w:before="87"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北京市康达律师事务所在为内蒙古大中矿业股份有限公司</w:t>
            </w:r>
            <w:r>
              <w:rPr>
                <w:rFonts w:ascii="Microsoft YaHei" w:hAnsi="Microsoft YaHei" w:eastAsia="Microsoft YaHei" w:cs="Microsoft YaHei"/>
                <w:sz w:val="20"/>
                <w:szCs w:val="20"/>
                <w:spacing w:val="1"/>
              </w:rPr>
              <w:t xml:space="preserve"> </w:t>
            </w:r>
            <w:r>
              <w:rPr>
                <w:rFonts w:ascii="Microsoft YaHei" w:hAnsi="Microsoft YaHei" w:eastAsia="Microsoft YaHei" w:cs="Microsoft YaHei"/>
                <w:sz w:val="20"/>
                <w:szCs w:val="20"/>
                <w:b/>
                <w:bCs/>
                <w:spacing w:val="11"/>
              </w:rPr>
              <w:t>公开发行可转换公司债券项目</w:t>
            </w:r>
            <w:r>
              <w:rPr>
                <w:rFonts w:ascii="Microsoft YaHei" w:hAnsi="Microsoft YaHei" w:eastAsia="Microsoft YaHei" w:cs="Microsoft YaHei"/>
                <w:sz w:val="20"/>
                <w:szCs w:val="20"/>
                <w:spacing w:val="11"/>
              </w:rPr>
              <w:t>提供法律服务的过程</w:t>
            </w:r>
            <w:r>
              <w:rPr>
                <w:rFonts w:ascii="Microsoft YaHei" w:hAnsi="Microsoft YaHei" w:eastAsia="Microsoft YaHei" w:cs="Microsoft YaHei"/>
                <w:sz w:val="20"/>
                <w:szCs w:val="20"/>
                <w:spacing w:val="10"/>
              </w:rPr>
              <w:t>中存在</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问题。</w:t>
            </w:r>
          </w:p>
        </w:tc>
      </w:tr>
      <w:tr>
        <w:trPr>
          <w:trHeight w:val="725" w:hRule="atLeast"/>
        </w:trPr>
        <w:tc>
          <w:tcPr>
            <w:tcW w:w="8053" w:type="dxa"/>
            <w:vAlign w:val="top"/>
            <w:gridSpan w:val="3"/>
          </w:tcPr>
          <w:p>
            <w:pPr>
              <w:ind w:left="104" w:right="104" w:firstLine="17"/>
              <w:spacing w:before="42"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中国证券监督管理委员会内蒙古监管局决定对北京市康达律师事务</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所采取出具警示函的行政监管措施</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8"/>
              </w:rPr>
              <w:t>，并记入证券期货市场诚信档案。</w:t>
            </w:r>
          </w:p>
        </w:tc>
      </w:tr>
      <w:tr>
        <w:trPr>
          <w:trHeight w:val="1084" w:hRule="atLeast"/>
        </w:trPr>
        <w:tc>
          <w:tcPr>
            <w:shd w:val="clear" w:fill="B8CCE4"/>
            <w:tcW w:w="1214" w:type="dxa"/>
            <w:vAlign w:val="top"/>
          </w:tcPr>
          <w:p>
            <w:pPr>
              <w:spacing w:line="373" w:lineRule="auto"/>
              <w:rPr>
                <w:rFonts w:ascii="Arial"/>
                <w:sz w:val="21"/>
              </w:rPr>
            </w:pPr>
            <w:r/>
          </w:p>
          <w:p>
            <w:pPr>
              <w:ind w:left="236"/>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000757</w:t>
            </w:r>
          </w:p>
        </w:tc>
        <w:tc>
          <w:tcPr>
            <w:shd w:val="clear" w:fill="B8CCE4"/>
            <w:tcW w:w="1343" w:type="dxa"/>
            <w:vAlign w:val="top"/>
          </w:tcPr>
          <w:p>
            <w:pPr>
              <w:spacing w:line="359" w:lineRule="auto"/>
              <w:rPr>
                <w:rFonts w:ascii="Arial"/>
                <w:sz w:val="21"/>
              </w:rPr>
            </w:pPr>
            <w:r/>
          </w:p>
          <w:p>
            <w:pPr>
              <w:ind w:left="242"/>
              <w:spacing w:before="8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浩物股份</w:t>
            </w:r>
          </w:p>
        </w:tc>
        <w:tc>
          <w:tcPr>
            <w:shd w:val="clear" w:fill="B8CCE4"/>
            <w:tcW w:w="5496" w:type="dxa"/>
            <w:vAlign w:val="top"/>
          </w:tcPr>
          <w:p>
            <w:pPr>
              <w:ind w:left="100" w:right="104" w:firstLine="15"/>
              <w:spacing w:before="87"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四川浩物机电股份有限公司</w:t>
            </w:r>
            <w:r>
              <w:rPr>
                <w:rFonts w:ascii="Microsoft YaHei" w:hAnsi="Microsoft YaHei" w:eastAsia="Microsoft YaHei" w:cs="Microsoft YaHei"/>
                <w:sz w:val="20"/>
                <w:szCs w:val="20"/>
                <w:b/>
                <w:bCs/>
                <w:spacing w:val="10"/>
              </w:rPr>
              <w:t>业绩预告预计的净利润与经审 </w:t>
            </w:r>
            <w:r>
              <w:rPr>
                <w:rFonts w:ascii="Microsoft YaHei" w:hAnsi="Microsoft YaHei" w:eastAsia="Microsoft YaHei" w:cs="Microsoft YaHei"/>
                <w:sz w:val="20"/>
                <w:szCs w:val="20"/>
                <w:b/>
                <w:bCs/>
                <w:spacing w:val="9"/>
              </w:rPr>
              <w:t>计净利润差异较大且盈亏性质发生改变</w:t>
            </w:r>
            <w:r>
              <w:rPr>
                <w:rFonts w:ascii="Microsoft YaHei" w:hAnsi="Microsoft YaHei" w:eastAsia="Microsoft YaHei" w:cs="Microsoft YaHei"/>
                <w:sz w:val="20"/>
                <w:szCs w:val="20"/>
                <w:b/>
                <w:bCs/>
                <w:spacing w:val="-10"/>
              </w:rPr>
              <w:t xml:space="preserve"> </w:t>
            </w:r>
            <w:r>
              <w:rPr>
                <w:rFonts w:ascii="Microsoft YaHei" w:hAnsi="Microsoft YaHei" w:eastAsia="Microsoft YaHei" w:cs="Microsoft YaHei"/>
                <w:sz w:val="20"/>
                <w:szCs w:val="20"/>
                <w:spacing w:val="9"/>
              </w:rPr>
              <w:t>，相关信息披露不</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准确。</w:t>
            </w:r>
          </w:p>
        </w:tc>
      </w:tr>
      <w:tr>
        <w:trPr>
          <w:trHeight w:val="1085" w:hRule="atLeast"/>
        </w:trPr>
        <w:tc>
          <w:tcPr>
            <w:tcW w:w="8053" w:type="dxa"/>
            <w:vAlign w:val="top"/>
            <w:gridSpan w:val="3"/>
          </w:tcPr>
          <w:p>
            <w:pPr>
              <w:ind w:left="105" w:right="104" w:firstLine="17"/>
              <w:spacing w:before="45"/>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中国证券监督管理委员会四川监管局决定对四川浩物机电股份有限</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11"/>
              </w:rPr>
              <w:t>公司及董事长、总经理、财务总监采取出具警示函监</w:t>
            </w:r>
            <w:r>
              <w:rPr>
                <w:rFonts w:ascii="Microsoft YaHei" w:hAnsi="Microsoft YaHei" w:eastAsia="Microsoft YaHei" w:cs="Microsoft YaHei"/>
                <w:sz w:val="20"/>
                <w:szCs w:val="20"/>
                <w:spacing w:val="10"/>
              </w:rPr>
              <w:t>管措施</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10"/>
              </w:rPr>
              <w:t>，并记入证券期货市场诚</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信档案。</w:t>
            </w:r>
          </w:p>
        </w:tc>
      </w:tr>
      <w:tr>
        <w:trPr>
          <w:trHeight w:val="1085" w:hRule="atLeast"/>
        </w:trPr>
        <w:tc>
          <w:tcPr>
            <w:shd w:val="clear" w:fill="B8CCE4"/>
            <w:tcW w:w="1214" w:type="dxa"/>
            <w:vAlign w:val="top"/>
          </w:tcPr>
          <w:p>
            <w:pPr>
              <w:spacing w:line="377" w:lineRule="auto"/>
              <w:rPr>
                <w:rFonts w:ascii="Arial"/>
                <w:sz w:val="21"/>
              </w:rPr>
            </w:pPr>
            <w:r/>
          </w:p>
          <w:p>
            <w:pPr>
              <w:ind w:left="242"/>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300540</w:t>
            </w:r>
          </w:p>
        </w:tc>
        <w:tc>
          <w:tcPr>
            <w:shd w:val="clear" w:fill="B8CCE4"/>
            <w:tcW w:w="1343" w:type="dxa"/>
            <w:vAlign w:val="top"/>
          </w:tcPr>
          <w:p>
            <w:pPr>
              <w:spacing w:line="361" w:lineRule="auto"/>
              <w:rPr>
                <w:rFonts w:ascii="Arial"/>
                <w:sz w:val="21"/>
              </w:rPr>
            </w:pPr>
            <w:r/>
          </w:p>
          <w:p>
            <w:pPr>
              <w:ind w:left="242"/>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蜀道装备</w:t>
            </w:r>
          </w:p>
        </w:tc>
        <w:tc>
          <w:tcPr>
            <w:shd w:val="clear" w:fill="B8CCE4"/>
            <w:tcW w:w="5496" w:type="dxa"/>
            <w:vAlign w:val="top"/>
          </w:tcPr>
          <w:p>
            <w:pPr>
              <w:ind w:left="99" w:right="104" w:firstLine="16"/>
              <w:spacing w:before="88"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四川简阳港通经济技术开发有限公司在持有蜀道装备股份</w:t>
            </w:r>
            <w:r>
              <w:rPr>
                <w:rFonts w:ascii="Microsoft YaHei" w:hAnsi="Microsoft YaHei" w:eastAsia="Microsoft YaHei" w:cs="Microsoft YaHei"/>
                <w:sz w:val="20"/>
                <w:szCs w:val="20"/>
                <w:spacing w:val="9"/>
              </w:rPr>
              <w:t xml:space="preserve"> </w:t>
            </w:r>
            <w:r>
              <w:rPr>
                <w:rFonts w:ascii="Microsoft YaHei" w:hAnsi="Microsoft YaHei" w:eastAsia="Microsoft YaHei" w:cs="Microsoft YaHei"/>
                <w:sz w:val="20"/>
                <w:szCs w:val="20"/>
                <w:spacing w:val="10"/>
              </w:rPr>
              <w:t>比例</w:t>
            </w:r>
            <w:r>
              <w:rPr>
                <w:rFonts w:ascii="Microsoft YaHei" w:hAnsi="Microsoft YaHei" w:eastAsia="Microsoft YaHei" w:cs="Microsoft YaHei"/>
                <w:sz w:val="20"/>
                <w:szCs w:val="20"/>
                <w:b/>
                <w:bCs/>
                <w:spacing w:val="10"/>
              </w:rPr>
              <w:t>累计变动达到 5%</w:t>
            </w:r>
            <w:r>
              <w:rPr>
                <w:rFonts w:ascii="Microsoft YaHei" w:hAnsi="Microsoft YaHei" w:eastAsia="Microsoft YaHei" w:cs="Microsoft YaHei"/>
                <w:sz w:val="20"/>
                <w:szCs w:val="20"/>
                <w:spacing w:val="10"/>
              </w:rPr>
              <w:t>时</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0"/>
              </w:rPr>
              <w:t>，未按规定停止交易蜀道装备股</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票并及时履行信息披露义务。</w:t>
            </w:r>
          </w:p>
        </w:tc>
      </w:tr>
      <w:tr>
        <w:trPr>
          <w:trHeight w:val="724" w:hRule="atLeast"/>
        </w:trPr>
        <w:tc>
          <w:tcPr>
            <w:tcW w:w="8053" w:type="dxa"/>
            <w:vAlign w:val="top"/>
            <w:gridSpan w:val="3"/>
          </w:tcPr>
          <w:p>
            <w:pPr>
              <w:ind w:left="106" w:right="104" w:firstLine="15"/>
              <w:spacing w:before="47"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中国证券监督管理委员会四川监管局决定对四川简阳港通经济技术</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开发有限公司采取出具警示函的监督管理措施。</w:t>
            </w:r>
          </w:p>
        </w:tc>
      </w:tr>
      <w:tr>
        <w:trPr>
          <w:trHeight w:val="365" w:hRule="atLeast"/>
        </w:trPr>
        <w:tc>
          <w:tcPr>
            <w:shd w:val="clear" w:fill="B8CCE4"/>
            <w:tcW w:w="1214" w:type="dxa"/>
            <w:vAlign w:val="top"/>
          </w:tcPr>
          <w:p>
            <w:pPr>
              <w:ind w:left="239"/>
              <w:spacing w:before="107" w:line="17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600793</w:t>
            </w:r>
          </w:p>
        </w:tc>
        <w:tc>
          <w:tcPr>
            <w:shd w:val="clear" w:fill="B8CCE4"/>
            <w:tcW w:w="1343" w:type="dxa"/>
            <w:vAlign w:val="top"/>
          </w:tcPr>
          <w:p>
            <w:pPr>
              <w:ind w:left="245"/>
              <w:spacing w:before="91"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宜宾纸业</w:t>
            </w:r>
          </w:p>
        </w:tc>
        <w:tc>
          <w:tcPr>
            <w:shd w:val="clear" w:fill="B8CCE4"/>
            <w:tcW w:w="5496" w:type="dxa"/>
            <w:vAlign w:val="top"/>
          </w:tcPr>
          <w:p>
            <w:pPr>
              <w:ind w:left="99"/>
              <w:spacing w:before="91"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关联交易</w:t>
            </w:r>
            <w:r>
              <w:rPr>
                <w:rFonts w:ascii="Microsoft YaHei" w:hAnsi="Microsoft YaHei" w:eastAsia="Microsoft YaHei" w:cs="Microsoft YaHei"/>
                <w:sz w:val="20"/>
                <w:szCs w:val="20"/>
                <w:spacing w:val="9"/>
              </w:rPr>
              <w:t>未按规定履行董事会审议程序并及时披露。</w:t>
            </w:r>
          </w:p>
        </w:tc>
      </w:tr>
      <w:tr>
        <w:trPr>
          <w:trHeight w:val="1085" w:hRule="atLeast"/>
        </w:trPr>
        <w:tc>
          <w:tcPr>
            <w:tcW w:w="8053" w:type="dxa"/>
            <w:vAlign w:val="top"/>
            <w:gridSpan w:val="3"/>
          </w:tcPr>
          <w:p>
            <w:pPr>
              <w:ind w:left="105" w:right="104" w:firstLine="17"/>
              <w:spacing w:before="49" w:line="23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0"/>
              </w:rPr>
              <w:t>【行政监管措施】</w:t>
            </w:r>
            <w:r>
              <w:rPr>
                <w:rFonts w:ascii="Microsoft YaHei" w:hAnsi="Microsoft YaHei" w:eastAsia="Microsoft YaHei" w:cs="Microsoft YaHei"/>
                <w:sz w:val="20"/>
                <w:szCs w:val="20"/>
                <w:spacing w:val="10"/>
              </w:rPr>
              <w:t>中国证券监督管理委员会四</w:t>
            </w:r>
            <w:r>
              <w:rPr>
                <w:rFonts w:ascii="Microsoft YaHei" w:hAnsi="Microsoft YaHei" w:eastAsia="Microsoft YaHei" w:cs="Microsoft YaHei"/>
                <w:sz w:val="20"/>
                <w:szCs w:val="20"/>
                <w:spacing w:val="9"/>
              </w:rPr>
              <w:t>川监管局决定对宜宾纸业、董事长,时任</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总经理陈某、董事会秘书,时任财务总监幸某敏采取出具警示函的行政监管措施</w:t>
            </w:r>
            <w:r>
              <w:rPr>
                <w:rFonts w:ascii="Microsoft YaHei" w:hAnsi="Microsoft YaHei" w:eastAsia="Microsoft YaHei" w:cs="Microsoft YaHei"/>
                <w:sz w:val="20"/>
                <w:szCs w:val="20"/>
                <w:spacing w:val="-22"/>
              </w:rPr>
              <w:t xml:space="preserve"> </w:t>
            </w:r>
            <w:r>
              <w:rPr>
                <w:rFonts w:ascii="Microsoft YaHei" w:hAnsi="Microsoft YaHei" w:eastAsia="Microsoft YaHei" w:cs="Microsoft YaHei"/>
                <w:sz w:val="20"/>
                <w:szCs w:val="20"/>
                <w:spacing w:val="9"/>
              </w:rPr>
              <w:t>，并记</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入证券期货市场诚信档案。</w:t>
            </w:r>
          </w:p>
        </w:tc>
      </w:tr>
      <w:tr>
        <w:trPr>
          <w:trHeight w:val="365" w:hRule="atLeast"/>
        </w:trPr>
        <w:tc>
          <w:tcPr>
            <w:shd w:val="clear" w:fill="B8CCE4"/>
            <w:tcW w:w="1214" w:type="dxa"/>
            <w:vAlign w:val="top"/>
          </w:tcPr>
          <w:p>
            <w:pPr>
              <w:ind w:left="236"/>
              <w:spacing w:before="107" w:line="17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002502</w:t>
            </w:r>
          </w:p>
        </w:tc>
        <w:tc>
          <w:tcPr>
            <w:shd w:val="clear" w:fill="B8CCE4"/>
            <w:tcW w:w="1343" w:type="dxa"/>
            <w:vAlign w:val="top"/>
          </w:tcPr>
          <w:p>
            <w:pPr>
              <w:ind w:left="315"/>
              <w:spacing w:before="94" w:line="18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3"/>
              </w:rPr>
              <w:t xml:space="preserve"> 鼎龙</w:t>
            </w:r>
          </w:p>
        </w:tc>
        <w:tc>
          <w:tcPr>
            <w:shd w:val="clear" w:fill="B8CCE4"/>
            <w:tcW w:w="5496" w:type="dxa"/>
            <w:vAlign w:val="top"/>
          </w:tcPr>
          <w:p>
            <w:pPr>
              <w:ind w:left="101"/>
              <w:spacing w:before="93" w:line="18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关联方</w:t>
            </w:r>
            <w:r>
              <w:rPr>
                <w:rFonts w:ascii="Microsoft YaHei" w:hAnsi="Microsoft YaHei" w:eastAsia="Microsoft YaHei" w:cs="Microsoft YaHei"/>
                <w:sz w:val="20"/>
                <w:szCs w:val="20"/>
                <w:b/>
                <w:bCs/>
                <w:spacing w:val="8"/>
              </w:rPr>
              <w:t>资金占用。</w:t>
            </w:r>
          </w:p>
        </w:tc>
      </w:tr>
      <w:tr>
        <w:trPr>
          <w:trHeight w:val="725" w:hRule="atLeast"/>
        </w:trPr>
        <w:tc>
          <w:tcPr>
            <w:tcW w:w="8053" w:type="dxa"/>
            <w:vAlign w:val="top"/>
            <w:gridSpan w:val="3"/>
          </w:tcPr>
          <w:p>
            <w:pPr>
              <w:ind w:left="107" w:right="104" w:firstLine="15"/>
              <w:spacing w:before="51"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中国证券监督管理委员会广东监管局决定对鼎龙文化、董事长、董</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事会秘书、时任财务总监、</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8"/>
              </w:rPr>
              <w:t>时任董事采取警示函的行政监管措施。</w:t>
            </w:r>
          </w:p>
        </w:tc>
      </w:tr>
      <w:tr>
        <w:trPr>
          <w:trHeight w:val="1084" w:hRule="atLeast"/>
        </w:trPr>
        <w:tc>
          <w:tcPr>
            <w:shd w:val="clear" w:fill="B8CCE4"/>
            <w:tcW w:w="1214" w:type="dxa"/>
            <w:vAlign w:val="top"/>
          </w:tcPr>
          <w:p>
            <w:pPr>
              <w:spacing w:line="381" w:lineRule="auto"/>
              <w:rPr>
                <w:rFonts w:ascii="Arial"/>
                <w:sz w:val="21"/>
              </w:rPr>
            </w:pPr>
            <w:r/>
          </w:p>
          <w:p>
            <w:pPr>
              <w:ind w:left="239"/>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603388</w:t>
            </w:r>
          </w:p>
        </w:tc>
        <w:tc>
          <w:tcPr>
            <w:shd w:val="clear" w:fill="B8CCE4"/>
            <w:tcW w:w="1343" w:type="dxa"/>
            <w:vAlign w:val="top"/>
          </w:tcPr>
          <w:p>
            <w:pPr>
              <w:spacing w:line="368" w:lineRule="auto"/>
              <w:rPr>
                <w:rFonts w:ascii="Arial"/>
                <w:sz w:val="21"/>
              </w:rPr>
            </w:pPr>
            <w:r/>
          </w:p>
          <w:p>
            <w:pPr>
              <w:ind w:left="243"/>
              <w:spacing w:before="85"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元成股份</w:t>
            </w:r>
          </w:p>
        </w:tc>
        <w:tc>
          <w:tcPr>
            <w:shd w:val="clear" w:fill="B8CCE4"/>
            <w:tcW w:w="5496" w:type="dxa"/>
            <w:vAlign w:val="top"/>
          </w:tcPr>
          <w:p>
            <w:pPr>
              <w:ind w:left="99" w:right="104" w:firstLine="14"/>
              <w:spacing w:before="57" w:line="237"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中兴财光华会计师事务所（特殊普通合伙）</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9"/>
              </w:rPr>
              <w:t>、注册会计师</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在执行元成环境股份有限公司 </w:t>
            </w:r>
            <w:r>
              <w:rPr>
                <w:rFonts w:ascii="Microsoft YaHei" w:hAnsi="Microsoft YaHei" w:eastAsia="Microsoft YaHei" w:cs="Microsoft YaHei"/>
                <w:sz w:val="20"/>
                <w:szCs w:val="20"/>
                <w:b/>
                <w:bCs/>
                <w:spacing w:val="9"/>
              </w:rPr>
              <w:t>2022 年财务报表及内部控</w:t>
            </w:r>
            <w:r>
              <w:rPr>
                <w:rFonts w:ascii="Microsoft YaHei" w:hAnsi="Microsoft YaHei" w:eastAsia="Microsoft YaHei" w:cs="Microsoft YaHei"/>
                <w:sz w:val="20"/>
                <w:szCs w:val="20"/>
                <w:b/>
                <w:bCs/>
                <w:spacing w:val="12"/>
              </w:rPr>
              <w:t xml:space="preserve"> </w:t>
            </w:r>
            <w:r>
              <w:rPr>
                <w:rFonts w:ascii="Microsoft YaHei" w:hAnsi="Microsoft YaHei" w:eastAsia="Microsoft YaHei" w:cs="Microsoft YaHei"/>
                <w:sz w:val="20"/>
                <w:szCs w:val="20"/>
                <w:b/>
                <w:bCs/>
                <w:spacing w:val="8"/>
              </w:rPr>
              <w:t>制审计项目</w:t>
            </w:r>
            <w:r>
              <w:rPr>
                <w:rFonts w:ascii="Microsoft YaHei" w:hAnsi="Microsoft YaHei" w:eastAsia="Microsoft YaHei" w:cs="Microsoft YaHei"/>
                <w:sz w:val="20"/>
                <w:szCs w:val="20"/>
                <w:spacing w:val="8"/>
              </w:rPr>
              <w:t>中存在问题。</w:t>
            </w:r>
          </w:p>
        </w:tc>
      </w:tr>
      <w:tr>
        <w:trPr>
          <w:trHeight w:val="733" w:hRule="atLeast"/>
        </w:trPr>
        <w:tc>
          <w:tcPr>
            <w:tcW w:w="8053" w:type="dxa"/>
            <w:vAlign w:val="top"/>
            <w:gridSpan w:val="3"/>
          </w:tcPr>
          <w:p>
            <w:pPr>
              <w:ind w:left="104" w:right="104" w:firstLine="17"/>
              <w:spacing w:before="53"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中国证券监督管理委员会浙江监管局决定对中兴财光华会计师事务</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10"/>
              </w:rPr>
              <w:t>所（特殊普通合伙）</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10"/>
              </w:rPr>
              <w:t>、注册会计师采取出具警示函的监督管理措施</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10"/>
              </w:rPr>
              <w:t>，并记</w:t>
            </w:r>
            <w:r>
              <w:rPr>
                <w:rFonts w:ascii="Microsoft YaHei" w:hAnsi="Microsoft YaHei" w:eastAsia="Microsoft YaHei" w:cs="Microsoft YaHei"/>
                <w:sz w:val="20"/>
                <w:szCs w:val="20"/>
                <w:spacing w:val="9"/>
              </w:rPr>
              <w:t>入证券期货</w:t>
            </w:r>
          </w:p>
        </w:tc>
      </w:tr>
    </w:tbl>
    <w:p>
      <w:pPr>
        <w:pStyle w:val="BodyText"/>
        <w:rPr/>
      </w:pPr>
      <w:r/>
    </w:p>
    <w:p>
      <w:pPr>
        <w:sectPr>
          <w:pgSz w:w="11910" w:h="16840"/>
          <w:pgMar w:top="400" w:right="1786" w:bottom="0" w:left="1786" w:header="0" w:footer="0" w:gutter="0"/>
        </w:sectPr>
        <w:rPr/>
      </w:pPr>
    </w:p>
    <w:tbl>
      <w:tblPr>
        <w:tblStyle w:val="TableNormal"/>
        <w:tblW w:w="8053" w:type="dxa"/>
        <w:tblInd w:w="131"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tcW w:w="8053" w:type="dxa"/>
            <w:vAlign w:val="top"/>
            <w:gridSpan w:val="3"/>
            <w:tcBorders>
              <w:top w:val="single" w:color="4F81BD" w:sz="2" w:space="0"/>
            </w:tcBorders>
          </w:tcPr>
          <w:p>
            <w:pPr>
              <w:ind w:left="108"/>
              <w:spacing w:before="101"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市场诚信档案。</w:t>
            </w:r>
          </w:p>
        </w:tc>
      </w:tr>
      <w:tr>
        <w:trPr>
          <w:trHeight w:val="1445" w:hRule="atLeast"/>
        </w:trPr>
        <w:tc>
          <w:tcPr>
            <w:shd w:val="clear" w:fill="B8CCE4"/>
            <w:tcW w:w="1214" w:type="dxa"/>
            <w:vAlign w:val="top"/>
          </w:tcPr>
          <w:p>
            <w:pPr>
              <w:spacing w:line="273" w:lineRule="auto"/>
              <w:rPr>
                <w:rFonts w:ascii="Arial"/>
                <w:sz w:val="21"/>
              </w:rPr>
            </w:pPr>
            <w:r/>
          </w:p>
          <w:p>
            <w:pPr>
              <w:spacing w:line="273" w:lineRule="auto"/>
              <w:rPr>
                <w:rFonts w:ascii="Arial"/>
                <w:sz w:val="21"/>
              </w:rPr>
            </w:pPr>
            <w:r/>
          </w:p>
          <w:p>
            <w:pPr>
              <w:ind w:left="239"/>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603324</w:t>
            </w:r>
          </w:p>
        </w:tc>
        <w:tc>
          <w:tcPr>
            <w:shd w:val="clear" w:fill="B8CCE4"/>
            <w:tcW w:w="1343" w:type="dxa"/>
            <w:vAlign w:val="top"/>
          </w:tcPr>
          <w:p>
            <w:pPr>
              <w:spacing w:line="265" w:lineRule="auto"/>
              <w:rPr>
                <w:rFonts w:ascii="Arial"/>
                <w:sz w:val="21"/>
              </w:rPr>
            </w:pPr>
            <w:r/>
          </w:p>
          <w:p>
            <w:pPr>
              <w:spacing w:line="266" w:lineRule="auto"/>
              <w:rPr>
                <w:rFonts w:ascii="Arial"/>
                <w:sz w:val="21"/>
              </w:rPr>
            </w:pPr>
            <w:r/>
          </w:p>
          <w:p>
            <w:pPr>
              <w:ind w:left="244"/>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盛剑环境</w:t>
            </w:r>
          </w:p>
        </w:tc>
        <w:tc>
          <w:tcPr>
            <w:shd w:val="clear" w:fill="B8CCE4"/>
            <w:tcW w:w="5496" w:type="dxa"/>
            <w:vAlign w:val="top"/>
          </w:tcPr>
          <w:p>
            <w:pPr>
              <w:ind w:left="100" w:right="104" w:firstLine="7"/>
              <w:spacing w:before="83" w:line="236"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审计程序缺陷</w:t>
            </w:r>
            <w:r>
              <w:rPr>
                <w:rFonts w:ascii="Microsoft YaHei" w:hAnsi="Microsoft YaHei" w:eastAsia="Microsoft YaHei" w:cs="Microsoft YaHei"/>
                <w:sz w:val="20"/>
                <w:szCs w:val="20"/>
                <w:spacing w:val="-12"/>
              </w:rPr>
              <w:t xml:space="preserve"> </w:t>
            </w:r>
            <w:r>
              <w:rPr>
                <w:rFonts w:ascii="Microsoft YaHei" w:hAnsi="Microsoft YaHei" w:eastAsia="Microsoft YaHei" w:cs="Microsoft YaHei"/>
                <w:sz w:val="20"/>
                <w:szCs w:val="20"/>
                <w:spacing w:val="6"/>
              </w:rPr>
              <w:t>，工作底稿不规范</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6"/>
              </w:rPr>
              <w:t>，存货审计不规范</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6"/>
              </w:rPr>
              <w:t>，资产</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减值审计不规范</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6"/>
              </w:rPr>
              <w:t>，收入费用审计不规范</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6"/>
              </w:rPr>
              <w:t>，风险评估</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6"/>
              </w:rPr>
              <w:t>，</w:t>
            </w:r>
            <w:r>
              <w:rPr>
                <w:rFonts w:ascii="Microsoft YaHei" w:hAnsi="Microsoft YaHei" w:eastAsia="Microsoft YaHei" w:cs="Microsoft YaHei"/>
                <w:sz w:val="20"/>
                <w:szCs w:val="20"/>
                <w:spacing w:val="-36"/>
              </w:rPr>
              <w:t xml:space="preserve"> </w:t>
            </w:r>
            <w:r>
              <w:rPr>
                <w:rFonts w:ascii="Microsoft YaHei" w:hAnsi="Microsoft YaHei" w:eastAsia="Microsoft YaHei" w:cs="Microsoft YaHei"/>
                <w:sz w:val="20"/>
                <w:szCs w:val="20"/>
                <w:spacing w:val="6"/>
              </w:rPr>
              <w:t>函证</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管理</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0"/>
              </w:rPr>
              <w:t>，</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10"/>
              </w:rPr>
              <w:t>内部控制</w:t>
            </w:r>
            <w:r>
              <w:rPr>
                <w:rFonts w:ascii="Microsoft YaHei" w:hAnsi="Microsoft YaHei" w:eastAsia="Microsoft YaHei" w:cs="Microsoft YaHei"/>
                <w:sz w:val="20"/>
                <w:szCs w:val="20"/>
                <w:spacing w:val="-16"/>
              </w:rPr>
              <w:t xml:space="preserve"> </w:t>
            </w:r>
            <w:r>
              <w:rPr>
                <w:rFonts w:ascii="Microsoft YaHei" w:hAnsi="Microsoft YaHei" w:eastAsia="Microsoft YaHei" w:cs="Microsoft YaHei"/>
                <w:sz w:val="20"/>
                <w:szCs w:val="20"/>
                <w:spacing w:val="10"/>
              </w:rPr>
              <w:t>，</w:t>
            </w:r>
            <w:r>
              <w:rPr>
                <w:rFonts w:ascii="Microsoft YaHei" w:hAnsi="Microsoft YaHei" w:eastAsia="Microsoft YaHei" w:cs="Microsoft YaHei"/>
                <w:sz w:val="20"/>
                <w:szCs w:val="20"/>
                <w:spacing w:val="-30"/>
              </w:rPr>
              <w:t xml:space="preserve"> </w:t>
            </w:r>
            <w:r>
              <w:rPr>
                <w:rFonts w:ascii="Microsoft YaHei" w:hAnsi="Microsoft YaHei" w:eastAsia="Microsoft YaHei" w:cs="Microsoft YaHei"/>
                <w:sz w:val="20"/>
                <w:szCs w:val="20"/>
                <w:spacing w:val="10"/>
              </w:rPr>
              <w:t>审计证据不充分</w:t>
            </w:r>
            <w:r>
              <w:rPr>
                <w:rFonts w:ascii="Microsoft YaHei" w:hAnsi="Microsoft YaHei" w:eastAsia="Microsoft YaHei" w:cs="Microsoft YaHei"/>
                <w:sz w:val="20"/>
                <w:szCs w:val="20"/>
                <w:spacing w:val="-15"/>
              </w:rPr>
              <w:t xml:space="preserve"> </w:t>
            </w:r>
            <w:r>
              <w:rPr>
                <w:rFonts w:ascii="Microsoft YaHei" w:hAnsi="Microsoft YaHei" w:eastAsia="Microsoft YaHei" w:cs="Microsoft YaHei"/>
                <w:sz w:val="20"/>
                <w:szCs w:val="20"/>
                <w:spacing w:val="10"/>
              </w:rPr>
              <w:t>，</w:t>
            </w:r>
            <w:r>
              <w:rPr>
                <w:rFonts w:ascii="Microsoft YaHei" w:hAnsi="Microsoft YaHei" w:eastAsia="Microsoft YaHei" w:cs="Microsoft YaHei"/>
                <w:sz w:val="20"/>
                <w:szCs w:val="20"/>
                <w:spacing w:val="-39"/>
              </w:rPr>
              <w:t xml:space="preserve"> </w:t>
            </w:r>
            <w:r>
              <w:rPr>
                <w:rFonts w:ascii="Microsoft YaHei" w:hAnsi="Microsoft YaHei" w:eastAsia="Microsoft YaHei" w:cs="Microsoft YaHei"/>
                <w:sz w:val="20"/>
                <w:szCs w:val="20"/>
                <w:spacing w:val="10"/>
              </w:rPr>
              <w:t>未保持合理职业怀</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疑</w:t>
            </w:r>
            <w:r>
              <w:rPr>
                <w:rFonts w:ascii="Microsoft YaHei" w:hAnsi="Microsoft YaHei" w:eastAsia="Microsoft YaHei" w:cs="Microsoft YaHei"/>
                <w:sz w:val="20"/>
                <w:szCs w:val="20"/>
                <w:spacing w:val="-24"/>
              </w:rPr>
              <w:t xml:space="preserve"> </w:t>
            </w:r>
            <w:r>
              <w:rPr>
                <w:rFonts w:ascii="Microsoft YaHei" w:hAnsi="Microsoft YaHei" w:eastAsia="Microsoft YaHei" w:cs="Microsoft YaHei"/>
                <w:sz w:val="20"/>
                <w:szCs w:val="20"/>
                <w:spacing w:val="6"/>
              </w:rPr>
              <w:t>，其他会计师事务所违规。</w:t>
            </w:r>
          </w:p>
        </w:tc>
      </w:tr>
      <w:tr>
        <w:trPr>
          <w:trHeight w:val="1085" w:hRule="atLeast"/>
        </w:trPr>
        <w:tc>
          <w:tcPr>
            <w:tcW w:w="8053" w:type="dxa"/>
            <w:vAlign w:val="top"/>
            <w:gridSpan w:val="3"/>
          </w:tcPr>
          <w:p>
            <w:pPr>
              <w:ind w:left="105" w:right="104" w:firstLine="17"/>
              <w:spacing w:before="40" w:line="24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中国证券监督管理委员会浙江监管局决定对中汇会计师事务所（特</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10"/>
              </w:rPr>
              <w:t>殊普通合伙）</w:t>
            </w:r>
            <w:r>
              <w:rPr>
                <w:rFonts w:ascii="Microsoft YaHei" w:hAnsi="Microsoft YaHei" w:eastAsia="Microsoft YaHei" w:cs="Microsoft YaHei"/>
                <w:sz w:val="20"/>
                <w:szCs w:val="20"/>
                <w:spacing w:val="-33"/>
              </w:rPr>
              <w:t xml:space="preserve"> </w:t>
            </w:r>
            <w:r>
              <w:rPr>
                <w:rFonts w:ascii="Microsoft YaHei" w:hAnsi="Microsoft YaHei" w:eastAsia="Microsoft YaHei" w:cs="Microsoft YaHei"/>
                <w:sz w:val="20"/>
                <w:szCs w:val="20"/>
                <w:spacing w:val="10"/>
              </w:rPr>
              <w:t>、注册会计师分别采取出具警示函的监督管理措施</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10"/>
              </w:rPr>
              <w:t>，并记入证券</w:t>
            </w:r>
            <w:r>
              <w:rPr>
                <w:rFonts w:ascii="Microsoft YaHei" w:hAnsi="Microsoft YaHei" w:eastAsia="Microsoft YaHei" w:cs="Microsoft YaHei"/>
                <w:sz w:val="20"/>
                <w:szCs w:val="20"/>
                <w:spacing w:val="9"/>
              </w:rPr>
              <w:t>期货市</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场诚信档案。</w:t>
            </w:r>
          </w:p>
        </w:tc>
      </w:tr>
      <w:tr>
        <w:trPr>
          <w:trHeight w:val="1804" w:hRule="atLeast"/>
        </w:trPr>
        <w:tc>
          <w:tcPr>
            <w:shd w:val="clear" w:fill="B8CCE4"/>
            <w:tcW w:w="1214" w:type="dxa"/>
            <w:vAlign w:val="top"/>
          </w:tcPr>
          <w:p>
            <w:pPr>
              <w:spacing w:line="242" w:lineRule="auto"/>
              <w:rPr>
                <w:rFonts w:ascii="Arial"/>
                <w:sz w:val="21"/>
              </w:rPr>
            </w:pPr>
            <w:r/>
          </w:p>
          <w:p>
            <w:pPr>
              <w:spacing w:line="242" w:lineRule="auto"/>
              <w:rPr>
                <w:rFonts w:ascii="Arial"/>
                <w:sz w:val="21"/>
              </w:rPr>
            </w:pPr>
            <w:r/>
          </w:p>
          <w:p>
            <w:pPr>
              <w:spacing w:line="242" w:lineRule="auto"/>
              <w:rPr>
                <w:rFonts w:ascii="Arial"/>
                <w:sz w:val="21"/>
              </w:rPr>
            </w:pPr>
            <w:r/>
          </w:p>
          <w:p>
            <w:pPr>
              <w:ind w:left="239"/>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601901</w:t>
            </w:r>
          </w:p>
        </w:tc>
        <w:tc>
          <w:tcPr>
            <w:shd w:val="clear" w:fill="B8CCE4"/>
            <w:tcW w:w="1343" w:type="dxa"/>
            <w:vAlign w:val="top"/>
          </w:tcPr>
          <w:p>
            <w:pPr>
              <w:spacing w:line="356" w:lineRule="auto"/>
              <w:rPr>
                <w:rFonts w:ascii="Arial"/>
                <w:sz w:val="21"/>
              </w:rPr>
            </w:pPr>
            <w:r/>
          </w:p>
          <w:p>
            <w:pPr>
              <w:spacing w:line="357" w:lineRule="auto"/>
              <w:rPr>
                <w:rFonts w:ascii="Arial"/>
                <w:sz w:val="21"/>
              </w:rPr>
            </w:pPr>
            <w:r/>
          </w:p>
          <w:p>
            <w:pPr>
              <w:ind w:left="241"/>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方正证券</w:t>
            </w:r>
          </w:p>
        </w:tc>
        <w:tc>
          <w:tcPr>
            <w:shd w:val="clear" w:fill="B8CCE4"/>
            <w:tcW w:w="5496" w:type="dxa"/>
            <w:vAlign w:val="top"/>
          </w:tcPr>
          <w:p>
            <w:pPr>
              <w:ind w:left="98" w:right="104"/>
              <w:spacing w:before="85" w:line="23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方正证券股份有限公司在开展发布证券研究报告业务过程</w:t>
            </w:r>
            <w:r>
              <w:rPr>
                <w:rFonts w:ascii="Microsoft YaHei" w:hAnsi="Microsoft YaHei" w:eastAsia="Microsoft YaHei" w:cs="Microsoft YaHei"/>
                <w:sz w:val="20"/>
                <w:szCs w:val="20"/>
                <w:spacing w:val="2"/>
              </w:rPr>
              <w:t xml:space="preserve"> </w:t>
            </w:r>
            <w:r>
              <w:rPr>
                <w:rFonts w:ascii="Microsoft YaHei" w:hAnsi="Microsoft YaHei" w:eastAsia="Microsoft YaHei" w:cs="Microsoft YaHei"/>
                <w:sz w:val="20"/>
                <w:szCs w:val="20"/>
                <w:spacing w:val="9"/>
              </w:rPr>
              <w:t>中</w:t>
            </w:r>
            <w:r>
              <w:rPr>
                <w:rFonts w:ascii="Microsoft YaHei" w:hAnsi="Microsoft YaHei" w:eastAsia="Microsoft YaHei" w:cs="Microsoft YaHei"/>
                <w:sz w:val="20"/>
                <w:szCs w:val="20"/>
                <w:spacing w:val="-8"/>
              </w:rPr>
              <w:t xml:space="preserve"> </w:t>
            </w:r>
            <w:r>
              <w:rPr>
                <w:rFonts w:ascii="Microsoft YaHei" w:hAnsi="Microsoft YaHei" w:eastAsia="Microsoft YaHei" w:cs="Microsoft YaHei"/>
                <w:sz w:val="20"/>
                <w:szCs w:val="20"/>
                <w:spacing w:val="9"/>
              </w:rPr>
              <w:t>，存在发布证券研究报告前泄露证券研究报告内容和观</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点的情形。公司发布证券研究报告业务部门行政负责人</w:t>
            </w:r>
            <w:r>
              <w:rPr>
                <w:rFonts w:ascii="Microsoft YaHei" w:hAnsi="Microsoft YaHei" w:eastAsia="Microsoft YaHei" w:cs="Microsoft YaHei"/>
                <w:sz w:val="20"/>
                <w:szCs w:val="20"/>
                <w:spacing w:val="-8"/>
              </w:rPr>
              <w:t xml:space="preserve"> </w:t>
            </w:r>
            <w:r>
              <w:rPr>
                <w:rFonts w:ascii="Microsoft YaHei" w:hAnsi="Microsoft YaHei" w:eastAsia="Microsoft YaHei" w:cs="Microsoft YaHei"/>
                <w:sz w:val="20"/>
                <w:szCs w:val="20"/>
                <w:spacing w:val="9"/>
              </w:rPr>
              <w:t>，</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对上述情形负有领导责任。</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8"/>
              </w:rPr>
              <w:t>同时</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，个人还存在向客户违规</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私自荐股的情形。</w:t>
            </w:r>
          </w:p>
        </w:tc>
      </w:tr>
      <w:tr>
        <w:trPr>
          <w:trHeight w:val="724" w:hRule="atLeast"/>
        </w:trPr>
        <w:tc>
          <w:tcPr>
            <w:tcW w:w="8053" w:type="dxa"/>
            <w:vAlign w:val="top"/>
            <w:gridSpan w:val="3"/>
          </w:tcPr>
          <w:p>
            <w:pPr>
              <w:ind w:left="114" w:right="104" w:firstLine="8"/>
              <w:spacing w:before="41"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中国证券监督管理委员会湖南监管局决定对刘某明采取出具警示函</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7"/>
              </w:rPr>
              <w:t>的行政监管措施。</w:t>
            </w:r>
          </w:p>
        </w:tc>
      </w:tr>
      <w:tr>
        <w:trPr>
          <w:trHeight w:val="1085" w:hRule="atLeast"/>
        </w:trPr>
        <w:tc>
          <w:tcPr>
            <w:shd w:val="clear" w:fill="B8CCE4"/>
            <w:tcW w:w="1214" w:type="dxa"/>
            <w:vAlign w:val="top"/>
          </w:tcPr>
          <w:p>
            <w:pPr>
              <w:spacing w:line="373" w:lineRule="auto"/>
              <w:rPr>
                <w:rFonts w:ascii="Arial"/>
                <w:sz w:val="21"/>
              </w:rPr>
            </w:pPr>
            <w:r/>
          </w:p>
          <w:p>
            <w:pPr>
              <w:ind w:left="236"/>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000889</w:t>
            </w:r>
          </w:p>
        </w:tc>
        <w:tc>
          <w:tcPr>
            <w:shd w:val="clear" w:fill="B8CCE4"/>
            <w:tcW w:w="1343" w:type="dxa"/>
            <w:vAlign w:val="top"/>
          </w:tcPr>
          <w:p>
            <w:pPr>
              <w:spacing w:line="358" w:lineRule="auto"/>
              <w:rPr>
                <w:rFonts w:ascii="Arial"/>
                <w:sz w:val="21"/>
              </w:rPr>
            </w:pPr>
            <w:r/>
          </w:p>
          <w:p>
            <w:pPr>
              <w:ind w:left="315"/>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
              </w:rPr>
              <w:t>ST</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
              </w:rPr>
              <w:t>中嘉</w:t>
            </w:r>
          </w:p>
        </w:tc>
        <w:tc>
          <w:tcPr>
            <w:shd w:val="clear" w:fill="B8CCE4"/>
            <w:tcW w:w="5496" w:type="dxa"/>
            <w:vAlign w:val="top"/>
          </w:tcPr>
          <w:p>
            <w:pPr>
              <w:ind w:left="98" w:right="104" w:firstLine="15"/>
              <w:spacing w:before="84" w:line="231"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中嘉博创信息技术股份有限公司未按规定在 </w:t>
            </w:r>
            <w:r>
              <w:rPr>
                <w:rFonts w:ascii="Microsoft YaHei" w:hAnsi="Microsoft YaHei" w:eastAsia="Microsoft YaHei" w:cs="Microsoft YaHei"/>
                <w:sz w:val="20"/>
                <w:szCs w:val="20"/>
                <w:spacing w:val="9"/>
              </w:rPr>
              <w:t>2023 年半年</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1"/>
              </w:rPr>
              <w:t>度报告中披露报告期内</w:t>
            </w:r>
            <w:r>
              <w:rPr>
                <w:rFonts w:ascii="Microsoft YaHei" w:hAnsi="Microsoft YaHei" w:eastAsia="Microsoft YaHei" w:cs="Microsoft YaHei"/>
                <w:sz w:val="20"/>
                <w:szCs w:val="20"/>
                <w:b/>
                <w:bCs/>
                <w:spacing w:val="11"/>
              </w:rPr>
              <w:t>实际控制人存在的未履行法院生效</w:t>
            </w:r>
            <w:r>
              <w:rPr>
                <w:rFonts w:ascii="Microsoft YaHei" w:hAnsi="Microsoft YaHei" w:eastAsia="Microsoft YaHei" w:cs="Microsoft YaHei"/>
                <w:sz w:val="20"/>
                <w:szCs w:val="20"/>
                <w:b/>
                <w:bCs/>
                <w:spacing w:val="2"/>
              </w:rPr>
              <w:t xml:space="preserve"> </w:t>
            </w:r>
            <w:r>
              <w:rPr>
                <w:rFonts w:ascii="Microsoft YaHei" w:hAnsi="Microsoft YaHei" w:eastAsia="Microsoft YaHei" w:cs="Microsoft YaHei"/>
                <w:sz w:val="20"/>
                <w:szCs w:val="20"/>
                <w:b/>
                <w:bCs/>
                <w:spacing w:val="9"/>
              </w:rPr>
              <w:t>法律文书确定的义务</w:t>
            </w:r>
            <w:r>
              <w:rPr>
                <w:rFonts w:ascii="Microsoft YaHei" w:hAnsi="Microsoft YaHei" w:eastAsia="Microsoft YaHei" w:cs="Microsoft YaHei"/>
                <w:sz w:val="20"/>
                <w:szCs w:val="20"/>
                <w:spacing w:val="9"/>
              </w:rPr>
              <w:t>等诚信状况。</w:t>
            </w:r>
          </w:p>
        </w:tc>
      </w:tr>
      <w:tr>
        <w:trPr>
          <w:trHeight w:val="724" w:hRule="atLeast"/>
        </w:trPr>
        <w:tc>
          <w:tcPr>
            <w:tcW w:w="8053" w:type="dxa"/>
            <w:vAlign w:val="top"/>
            <w:gridSpan w:val="3"/>
          </w:tcPr>
          <w:p>
            <w:pPr>
              <w:ind w:left="105" w:right="104" w:firstLine="16"/>
              <w:spacing w:before="44"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中国证券监督管理委员会河北监管局决定对董事会秘书采取出具警</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示函的行政监管措施。</w:t>
            </w:r>
          </w:p>
        </w:tc>
      </w:tr>
      <w:tr>
        <w:trPr>
          <w:trHeight w:val="1445" w:hRule="atLeast"/>
        </w:trPr>
        <w:tc>
          <w:tcPr>
            <w:shd w:val="clear" w:fill="B8CCE4"/>
            <w:tcW w:w="1214" w:type="dxa"/>
            <w:vAlign w:val="top"/>
          </w:tcPr>
          <w:p>
            <w:pPr>
              <w:spacing w:line="276" w:lineRule="auto"/>
              <w:rPr>
                <w:rFonts w:ascii="Arial"/>
                <w:sz w:val="21"/>
              </w:rPr>
            </w:pPr>
            <w:r/>
          </w:p>
          <w:p>
            <w:pPr>
              <w:spacing w:line="277" w:lineRule="auto"/>
              <w:rPr>
                <w:rFonts w:ascii="Arial"/>
                <w:sz w:val="21"/>
              </w:rPr>
            </w:pPr>
            <w:r/>
          </w:p>
          <w:p>
            <w:pPr>
              <w:ind w:left="239"/>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603235</w:t>
            </w:r>
          </w:p>
        </w:tc>
        <w:tc>
          <w:tcPr>
            <w:shd w:val="clear" w:fill="B8CCE4"/>
            <w:tcW w:w="1343" w:type="dxa"/>
            <w:vAlign w:val="top"/>
          </w:tcPr>
          <w:p>
            <w:pPr>
              <w:spacing w:line="269" w:lineRule="auto"/>
              <w:rPr>
                <w:rFonts w:ascii="Arial"/>
                <w:sz w:val="21"/>
              </w:rPr>
            </w:pPr>
            <w:r/>
          </w:p>
          <w:p>
            <w:pPr>
              <w:spacing w:line="270" w:lineRule="auto"/>
              <w:rPr>
                <w:rFonts w:ascii="Arial"/>
                <w:sz w:val="21"/>
              </w:rPr>
            </w:pPr>
            <w:r/>
          </w:p>
          <w:p>
            <w:pPr>
              <w:ind w:left="242"/>
              <w:spacing w:before="8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天新药业</w:t>
            </w:r>
          </w:p>
        </w:tc>
        <w:tc>
          <w:tcPr>
            <w:shd w:val="clear" w:fill="B8CCE4"/>
            <w:tcW w:w="5496" w:type="dxa"/>
            <w:vAlign w:val="top"/>
          </w:tcPr>
          <w:p>
            <w:pPr>
              <w:ind w:left="98" w:right="104"/>
              <w:spacing w:before="90" w:line="235"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3"/>
              </w:rPr>
              <w:t>公司未能在选举独立董事的股东大会通知公告前即 2</w:t>
            </w:r>
            <w:r>
              <w:rPr>
                <w:rFonts w:ascii="Microsoft YaHei" w:hAnsi="Microsoft YaHei" w:eastAsia="Microsoft YaHei" w:cs="Microsoft YaHei"/>
                <w:sz w:val="20"/>
                <w:szCs w:val="20"/>
                <w:spacing w:val="12"/>
              </w:rPr>
              <w:t>023</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1"/>
              </w:rPr>
              <w:t>年</w:t>
            </w:r>
            <w:r>
              <w:rPr>
                <w:rFonts w:ascii="Microsoft YaHei" w:hAnsi="Microsoft YaHei" w:eastAsia="Microsoft YaHei" w:cs="Microsoft YaHei"/>
                <w:sz w:val="20"/>
                <w:szCs w:val="20"/>
                <w:spacing w:val="39"/>
              </w:rPr>
              <w:t xml:space="preserve"> </w:t>
            </w:r>
            <w:r>
              <w:rPr>
                <w:rFonts w:ascii="Microsoft YaHei" w:hAnsi="Microsoft YaHei" w:eastAsia="Microsoft YaHei" w:cs="Microsoft YaHei"/>
                <w:sz w:val="20"/>
                <w:szCs w:val="20"/>
                <w:spacing w:val="11"/>
              </w:rPr>
              <w:t>10 月 31</w:t>
            </w:r>
            <w:r>
              <w:rPr>
                <w:rFonts w:ascii="Microsoft YaHei" w:hAnsi="Microsoft YaHei" w:eastAsia="Microsoft YaHei" w:cs="Microsoft YaHei"/>
                <w:sz w:val="20"/>
                <w:szCs w:val="20"/>
                <w:spacing w:val="35"/>
              </w:rPr>
              <w:t xml:space="preserve"> </w:t>
            </w:r>
            <w:r>
              <w:rPr>
                <w:rFonts w:ascii="Microsoft YaHei" w:hAnsi="Microsoft YaHei" w:eastAsia="Microsoft YaHei" w:cs="Microsoft YaHei"/>
                <w:sz w:val="20"/>
                <w:szCs w:val="20"/>
                <w:spacing w:val="11"/>
              </w:rPr>
              <w:t>日前向上海证券交易所提交独立董事候选人</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有关材料</w:t>
            </w:r>
            <w:r>
              <w:rPr>
                <w:rFonts w:ascii="Microsoft YaHei" w:hAnsi="Microsoft YaHei" w:eastAsia="Microsoft YaHei" w:cs="Microsoft YaHei"/>
                <w:sz w:val="20"/>
                <w:szCs w:val="20"/>
                <w:spacing w:val="-2"/>
              </w:rPr>
              <w:t xml:space="preserve"> </w:t>
            </w:r>
            <w:r>
              <w:rPr>
                <w:rFonts w:ascii="Microsoft YaHei" w:hAnsi="Microsoft YaHei" w:eastAsia="Microsoft YaHei" w:cs="Microsoft YaHei"/>
                <w:sz w:val="20"/>
                <w:szCs w:val="20"/>
                <w:spacing w:val="7"/>
              </w:rPr>
              <w:t>，迟至 2023 年</w:t>
            </w:r>
            <w:r>
              <w:rPr>
                <w:rFonts w:ascii="Microsoft YaHei" w:hAnsi="Microsoft YaHei" w:eastAsia="Microsoft YaHei" w:cs="Microsoft YaHei"/>
                <w:sz w:val="20"/>
                <w:szCs w:val="20"/>
                <w:spacing w:val="27"/>
                <w:w w:val="101"/>
              </w:rPr>
              <w:t xml:space="preserve"> </w:t>
            </w:r>
            <w:r>
              <w:rPr>
                <w:rFonts w:ascii="Microsoft YaHei" w:hAnsi="Microsoft YaHei" w:eastAsia="Microsoft YaHei" w:cs="Microsoft YaHei"/>
                <w:sz w:val="20"/>
                <w:szCs w:val="20"/>
                <w:spacing w:val="7"/>
              </w:rPr>
              <w:t>11 月</w:t>
            </w:r>
            <w:r>
              <w:rPr>
                <w:rFonts w:ascii="Microsoft YaHei" w:hAnsi="Microsoft YaHei" w:eastAsia="Microsoft YaHei" w:cs="Microsoft YaHei"/>
                <w:sz w:val="20"/>
                <w:szCs w:val="20"/>
                <w:spacing w:val="17"/>
                <w:w w:val="101"/>
              </w:rPr>
              <w:t xml:space="preserve"> </w:t>
            </w:r>
            <w:r>
              <w:rPr>
                <w:rFonts w:ascii="Microsoft YaHei" w:hAnsi="Microsoft YaHei" w:eastAsia="Microsoft YaHei" w:cs="Microsoft YaHei"/>
                <w:sz w:val="20"/>
                <w:szCs w:val="20"/>
                <w:spacing w:val="7"/>
              </w:rPr>
              <w:t>28</w:t>
            </w:r>
            <w:r>
              <w:rPr>
                <w:rFonts w:ascii="Microsoft YaHei" w:hAnsi="Microsoft YaHei" w:eastAsia="Microsoft YaHei" w:cs="Microsoft YaHei"/>
                <w:sz w:val="20"/>
                <w:szCs w:val="20"/>
                <w:spacing w:val="35"/>
              </w:rPr>
              <w:t xml:space="preserve"> </w:t>
            </w:r>
            <w:r>
              <w:rPr>
                <w:rFonts w:ascii="Microsoft YaHei" w:hAnsi="Microsoft YaHei" w:eastAsia="Microsoft YaHei" w:cs="Microsoft YaHei"/>
                <w:sz w:val="20"/>
                <w:szCs w:val="20"/>
                <w:spacing w:val="7"/>
              </w:rPr>
              <w:t>日才予提交</w:t>
            </w:r>
            <w:r>
              <w:rPr>
                <w:rFonts w:ascii="Microsoft YaHei" w:hAnsi="Microsoft YaHei" w:eastAsia="Microsoft YaHei" w:cs="Microsoft YaHei"/>
                <w:sz w:val="20"/>
                <w:szCs w:val="20"/>
                <w:spacing w:val="-19"/>
              </w:rPr>
              <w:t xml:space="preserve"> </w:t>
            </w:r>
            <w:r>
              <w:rPr>
                <w:rFonts w:ascii="Microsoft YaHei" w:hAnsi="Microsoft YaHei" w:eastAsia="Microsoft YaHei" w:cs="Microsoft YaHei"/>
                <w:sz w:val="20"/>
                <w:szCs w:val="20"/>
                <w:spacing w:val="7"/>
              </w:rPr>
              <w:t>，备案时</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间明显迟延</w:t>
            </w:r>
            <w:r>
              <w:rPr>
                <w:rFonts w:ascii="Microsoft YaHei" w:hAnsi="Microsoft YaHei" w:eastAsia="Microsoft YaHei" w:cs="Microsoft YaHei"/>
                <w:sz w:val="20"/>
                <w:szCs w:val="20"/>
                <w:spacing w:val="-24"/>
              </w:rPr>
              <w:t xml:space="preserve"> </w:t>
            </w:r>
            <w:r>
              <w:rPr>
                <w:rFonts w:ascii="Microsoft YaHei" w:hAnsi="Microsoft YaHei" w:eastAsia="Microsoft YaHei" w:cs="Microsoft YaHei"/>
                <w:sz w:val="20"/>
                <w:szCs w:val="20"/>
                <w:spacing w:val="7"/>
              </w:rPr>
              <w:t>，</w:t>
            </w:r>
            <w:r>
              <w:rPr>
                <w:rFonts w:ascii="Microsoft YaHei" w:hAnsi="Microsoft YaHei" w:eastAsia="Microsoft YaHei" w:cs="Microsoft YaHei"/>
                <w:sz w:val="20"/>
                <w:szCs w:val="20"/>
                <w:b/>
                <w:bCs/>
                <w:spacing w:val="7"/>
              </w:rPr>
              <w:t>聘任流程</w:t>
            </w:r>
            <w:r>
              <w:rPr>
                <w:rFonts w:ascii="Microsoft YaHei" w:hAnsi="Microsoft YaHei" w:eastAsia="Microsoft YaHei" w:cs="Microsoft YaHei"/>
                <w:sz w:val="20"/>
                <w:szCs w:val="20"/>
                <w:spacing w:val="7"/>
              </w:rPr>
              <w:t>存在重大瑕疵。</w:t>
            </w:r>
          </w:p>
        </w:tc>
      </w:tr>
      <w:tr>
        <w:trPr>
          <w:trHeight w:val="725" w:hRule="atLeast"/>
        </w:trPr>
        <w:tc>
          <w:tcPr>
            <w:tcW w:w="8053" w:type="dxa"/>
            <w:vAlign w:val="top"/>
            <w:gridSpan w:val="3"/>
          </w:tcPr>
          <w:p>
            <w:pPr>
              <w:ind w:left="105" w:right="104" w:firstLine="17"/>
              <w:spacing w:before="45" w:line="23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中国证券监督管理委员会江西监管局决定对天新药业、董事会秘书</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采取出具警示函的监管措施。</w:t>
            </w:r>
          </w:p>
        </w:tc>
      </w:tr>
      <w:tr>
        <w:trPr>
          <w:trHeight w:val="1084" w:hRule="atLeast"/>
        </w:trPr>
        <w:tc>
          <w:tcPr>
            <w:shd w:val="clear" w:fill="B8CCE4"/>
            <w:tcW w:w="1214" w:type="dxa"/>
            <w:vAlign w:val="top"/>
          </w:tcPr>
          <w:p>
            <w:pPr>
              <w:spacing w:line="375" w:lineRule="auto"/>
              <w:rPr>
                <w:rFonts w:ascii="Arial"/>
                <w:sz w:val="21"/>
              </w:rPr>
            </w:pPr>
            <w:r/>
          </w:p>
          <w:p>
            <w:pPr>
              <w:ind w:left="236"/>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000889</w:t>
            </w:r>
          </w:p>
        </w:tc>
        <w:tc>
          <w:tcPr>
            <w:shd w:val="clear" w:fill="B8CCE4"/>
            <w:tcW w:w="1343" w:type="dxa"/>
            <w:vAlign w:val="top"/>
          </w:tcPr>
          <w:p>
            <w:pPr>
              <w:spacing w:line="361" w:lineRule="auto"/>
              <w:rPr>
                <w:rFonts w:ascii="Arial"/>
                <w:sz w:val="21"/>
              </w:rPr>
            </w:pPr>
            <w:r/>
          </w:p>
          <w:p>
            <w:pPr>
              <w:ind w:left="315"/>
              <w:spacing w:before="85"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
              </w:rPr>
              <w:t>ST</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1"/>
              </w:rPr>
              <w:t>中嘉</w:t>
            </w:r>
          </w:p>
        </w:tc>
        <w:tc>
          <w:tcPr>
            <w:shd w:val="clear" w:fill="B8CCE4"/>
            <w:tcW w:w="5496" w:type="dxa"/>
            <w:vAlign w:val="top"/>
          </w:tcPr>
          <w:p>
            <w:pPr>
              <w:ind w:left="98" w:right="104" w:firstLine="15"/>
              <w:spacing w:before="91" w:line="22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中嘉博创信息技术股份有限公司未按规定在 </w:t>
            </w:r>
            <w:r>
              <w:rPr>
                <w:rFonts w:ascii="Microsoft YaHei" w:hAnsi="Microsoft YaHei" w:eastAsia="Microsoft YaHei" w:cs="Microsoft YaHei"/>
                <w:sz w:val="20"/>
                <w:szCs w:val="20"/>
                <w:spacing w:val="9"/>
              </w:rPr>
              <w:t>2023 年半年</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1"/>
              </w:rPr>
              <w:t>度报告中披露报告期内公司</w:t>
            </w:r>
            <w:r>
              <w:rPr>
                <w:rFonts w:ascii="Microsoft YaHei" w:hAnsi="Microsoft YaHei" w:eastAsia="Microsoft YaHei" w:cs="Microsoft YaHei"/>
                <w:sz w:val="20"/>
                <w:szCs w:val="20"/>
                <w:b/>
                <w:bCs/>
                <w:spacing w:val="11"/>
              </w:rPr>
              <w:t>实际控制人存在未履行法院生</w:t>
            </w:r>
            <w:r>
              <w:rPr>
                <w:rFonts w:ascii="Microsoft YaHei" w:hAnsi="Microsoft YaHei" w:eastAsia="Microsoft YaHei" w:cs="Microsoft YaHei"/>
                <w:sz w:val="20"/>
                <w:szCs w:val="20"/>
                <w:b/>
                <w:bCs/>
                <w:spacing w:val="2"/>
              </w:rPr>
              <w:t xml:space="preserve"> </w:t>
            </w:r>
            <w:r>
              <w:rPr>
                <w:rFonts w:ascii="Microsoft YaHei" w:hAnsi="Microsoft YaHei" w:eastAsia="Microsoft YaHei" w:cs="Microsoft YaHei"/>
                <w:sz w:val="20"/>
                <w:szCs w:val="20"/>
                <w:b/>
                <w:bCs/>
                <w:spacing w:val="9"/>
              </w:rPr>
              <w:t>效法律文书确定的义务</w:t>
            </w:r>
            <w:r>
              <w:rPr>
                <w:rFonts w:ascii="Microsoft YaHei" w:hAnsi="Microsoft YaHei" w:eastAsia="Microsoft YaHei" w:cs="Microsoft YaHei"/>
                <w:sz w:val="20"/>
                <w:szCs w:val="20"/>
                <w:spacing w:val="9"/>
              </w:rPr>
              <w:t>等诚信状况。</w:t>
            </w:r>
          </w:p>
        </w:tc>
      </w:tr>
      <w:tr>
        <w:trPr>
          <w:trHeight w:val="725" w:hRule="atLeast"/>
        </w:trPr>
        <w:tc>
          <w:tcPr>
            <w:tcW w:w="8053" w:type="dxa"/>
            <w:vAlign w:val="top"/>
            <w:gridSpan w:val="3"/>
          </w:tcPr>
          <w:p>
            <w:pPr>
              <w:ind w:left="104" w:right="104" w:firstLine="17"/>
              <w:spacing w:before="48" w:line="23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中国证券监督管理委员会河北监管局决定对中嘉博创信息技术股份</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有限公司采取责令改正及出具警示函的行政监管措施。</w:t>
            </w:r>
          </w:p>
        </w:tc>
      </w:tr>
      <w:tr>
        <w:trPr>
          <w:trHeight w:val="1084" w:hRule="atLeast"/>
        </w:trPr>
        <w:tc>
          <w:tcPr>
            <w:shd w:val="clear" w:fill="B8CCE4"/>
            <w:tcW w:w="1214" w:type="dxa"/>
            <w:vAlign w:val="top"/>
          </w:tcPr>
          <w:p>
            <w:pPr>
              <w:spacing w:line="376" w:lineRule="auto"/>
              <w:rPr>
                <w:rFonts w:ascii="Arial"/>
                <w:sz w:val="21"/>
              </w:rPr>
            </w:pPr>
            <w:r/>
          </w:p>
          <w:p>
            <w:pPr>
              <w:ind w:left="242"/>
              <w:spacing w:before="85"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301013</w:t>
            </w:r>
          </w:p>
        </w:tc>
        <w:tc>
          <w:tcPr>
            <w:shd w:val="clear" w:fill="B8CCE4"/>
            <w:tcW w:w="1343" w:type="dxa"/>
            <w:vAlign w:val="top"/>
          </w:tcPr>
          <w:p>
            <w:pPr>
              <w:spacing w:line="364" w:lineRule="auto"/>
              <w:rPr>
                <w:rFonts w:ascii="Arial"/>
                <w:sz w:val="21"/>
              </w:rPr>
            </w:pPr>
            <w:r/>
          </w:p>
          <w:p>
            <w:pPr>
              <w:ind w:left="347"/>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利和兴</w:t>
            </w:r>
          </w:p>
        </w:tc>
        <w:tc>
          <w:tcPr>
            <w:shd w:val="clear" w:fill="B8CCE4"/>
            <w:tcW w:w="5496" w:type="dxa"/>
            <w:vAlign w:val="top"/>
          </w:tcPr>
          <w:p>
            <w:pPr>
              <w:ind w:left="98" w:right="104" w:firstLine="1"/>
              <w:spacing w:before="91" w:line="229"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相关业务收入</w:t>
            </w:r>
            <w:r>
              <w:rPr>
                <w:rFonts w:ascii="Microsoft YaHei" w:hAnsi="Microsoft YaHei" w:eastAsia="Microsoft YaHei" w:cs="Microsoft YaHei"/>
                <w:sz w:val="20"/>
                <w:szCs w:val="20"/>
                <w:b/>
                <w:bCs/>
                <w:spacing w:val="11"/>
              </w:rPr>
              <w:t>确认时点</w:t>
            </w:r>
            <w:r>
              <w:rPr>
                <w:rFonts w:ascii="Microsoft YaHei" w:hAnsi="Microsoft YaHei" w:eastAsia="Microsoft YaHei" w:cs="Microsoft YaHei"/>
                <w:sz w:val="20"/>
                <w:szCs w:val="20"/>
                <w:spacing w:val="11"/>
              </w:rPr>
              <w:t>与披露的会计政策不一致；升级改</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11"/>
              </w:rPr>
              <w:t>造技术服务</w:t>
            </w:r>
            <w:r>
              <w:rPr>
                <w:rFonts w:ascii="Microsoft YaHei" w:hAnsi="Microsoft YaHei" w:eastAsia="Microsoft YaHei" w:cs="Microsoft YaHei"/>
                <w:sz w:val="20"/>
                <w:szCs w:val="20"/>
                <w:b/>
                <w:bCs/>
                <w:spacing w:val="11"/>
              </w:rPr>
              <w:t>成本核算</w:t>
            </w:r>
            <w:r>
              <w:rPr>
                <w:rFonts w:ascii="Microsoft YaHei" w:hAnsi="Microsoft YaHei" w:eastAsia="Microsoft YaHei" w:cs="Microsoft YaHei"/>
                <w:sz w:val="20"/>
                <w:szCs w:val="20"/>
                <w:spacing w:val="11"/>
              </w:rPr>
              <w:t>不规范；存货跌价</w:t>
            </w:r>
            <w:r>
              <w:rPr>
                <w:rFonts w:ascii="Microsoft YaHei" w:hAnsi="Microsoft YaHei" w:eastAsia="Microsoft YaHei" w:cs="Microsoft YaHei"/>
                <w:sz w:val="20"/>
                <w:szCs w:val="20"/>
                <w:b/>
                <w:bCs/>
                <w:spacing w:val="11"/>
              </w:rPr>
              <w:t>准备计提</w:t>
            </w:r>
            <w:r>
              <w:rPr>
                <w:rFonts w:ascii="Microsoft YaHei" w:hAnsi="Microsoft YaHei" w:eastAsia="Microsoft YaHei" w:cs="Microsoft YaHei"/>
                <w:sz w:val="20"/>
                <w:szCs w:val="20"/>
                <w:spacing w:val="11"/>
              </w:rPr>
              <w:t>依据不充</w:t>
            </w:r>
            <w:r>
              <w:rPr>
                <w:rFonts w:ascii="Microsoft YaHei" w:hAnsi="Microsoft YaHei" w:eastAsia="Microsoft YaHei" w:cs="Microsoft YaHei"/>
                <w:sz w:val="20"/>
                <w:szCs w:val="20"/>
                <w:spacing w:val="2"/>
              </w:rPr>
              <w:t xml:space="preserve"> </w:t>
            </w:r>
            <w:r>
              <w:rPr>
                <w:rFonts w:ascii="Microsoft YaHei" w:hAnsi="Microsoft YaHei" w:eastAsia="Microsoft YaHei" w:cs="Microsoft YaHei"/>
                <w:sz w:val="20"/>
                <w:szCs w:val="20"/>
                <w:spacing w:val="9"/>
              </w:rPr>
              <w:t>分；在建工程和生产调试</w:t>
            </w:r>
            <w:r>
              <w:rPr>
                <w:rFonts w:ascii="Microsoft YaHei" w:hAnsi="Microsoft YaHei" w:eastAsia="Microsoft YaHei" w:cs="Microsoft YaHei"/>
                <w:sz w:val="20"/>
                <w:szCs w:val="20"/>
                <w:b/>
                <w:bCs/>
                <w:spacing w:val="9"/>
              </w:rPr>
              <w:t>成本核算</w:t>
            </w:r>
            <w:r>
              <w:rPr>
                <w:rFonts w:ascii="Microsoft YaHei" w:hAnsi="Microsoft YaHei" w:eastAsia="Microsoft YaHei" w:cs="Microsoft YaHei"/>
                <w:sz w:val="20"/>
                <w:szCs w:val="20"/>
                <w:spacing w:val="9"/>
              </w:rPr>
              <w:t>不准确。</w:t>
            </w:r>
          </w:p>
        </w:tc>
      </w:tr>
      <w:tr>
        <w:trPr>
          <w:trHeight w:val="1234" w:hRule="atLeast"/>
        </w:trPr>
        <w:tc>
          <w:tcPr>
            <w:tcW w:w="8053" w:type="dxa"/>
            <w:vAlign w:val="top"/>
            <w:gridSpan w:val="3"/>
          </w:tcPr>
          <w:p>
            <w:pPr>
              <w:ind w:left="105" w:right="104" w:firstLine="17"/>
              <w:spacing w:before="303"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中国证券监督管理委员会深圳监管局决定对深圳市利和兴股份有限</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公司采取责令改正的行政监管措施。</w:t>
            </w:r>
          </w:p>
        </w:tc>
      </w:tr>
      <w:tr>
        <w:trPr>
          <w:trHeight w:val="366" w:hRule="atLeast"/>
        </w:trPr>
        <w:tc>
          <w:tcPr>
            <w:shd w:val="clear" w:fill="B8CCE4"/>
            <w:tcW w:w="1214" w:type="dxa"/>
            <w:vAlign w:val="top"/>
          </w:tcPr>
          <w:p>
            <w:pPr>
              <w:ind w:left="236"/>
              <w:spacing w:before="108" w:line="17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002724</w:t>
            </w:r>
          </w:p>
        </w:tc>
        <w:tc>
          <w:tcPr>
            <w:shd w:val="clear" w:fill="B8CCE4"/>
            <w:tcW w:w="1343" w:type="dxa"/>
            <w:vAlign w:val="top"/>
          </w:tcPr>
          <w:p>
            <w:pPr>
              <w:ind w:left="348"/>
              <w:spacing w:before="94" w:line="18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海洋王</w:t>
            </w:r>
          </w:p>
        </w:tc>
        <w:tc>
          <w:tcPr>
            <w:shd w:val="clear" w:fill="B8CCE4"/>
            <w:tcW w:w="5496" w:type="dxa"/>
            <w:vAlign w:val="top"/>
          </w:tcPr>
          <w:p>
            <w:pPr>
              <w:ind w:left="100"/>
              <w:spacing w:before="94" w:line="183"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公司治理</w:t>
            </w:r>
            <w:r>
              <w:rPr>
                <w:rFonts w:ascii="Microsoft YaHei" w:hAnsi="Microsoft YaHei" w:eastAsia="Microsoft YaHei" w:cs="Microsoft YaHei"/>
                <w:sz w:val="20"/>
                <w:szCs w:val="20"/>
                <w:spacing w:val="9"/>
              </w:rPr>
              <w:t>不完善；</w:t>
            </w:r>
            <w:r>
              <w:rPr>
                <w:rFonts w:ascii="Microsoft YaHei" w:hAnsi="Microsoft YaHei" w:eastAsia="Microsoft YaHei" w:cs="Microsoft YaHei"/>
                <w:sz w:val="20"/>
                <w:szCs w:val="20"/>
                <w:b/>
                <w:bCs/>
                <w:spacing w:val="9"/>
              </w:rPr>
              <w:t>财务会计核算</w:t>
            </w:r>
            <w:r>
              <w:rPr>
                <w:rFonts w:ascii="Microsoft YaHei" w:hAnsi="Microsoft YaHei" w:eastAsia="Microsoft YaHei" w:cs="Microsoft YaHei"/>
                <w:sz w:val="20"/>
                <w:szCs w:val="20"/>
                <w:spacing w:val="9"/>
              </w:rPr>
              <w:t>不规范。</w:t>
            </w:r>
          </w:p>
        </w:tc>
      </w:tr>
      <w:tr>
        <w:trPr>
          <w:trHeight w:val="724" w:hRule="atLeast"/>
        </w:trPr>
        <w:tc>
          <w:tcPr>
            <w:tcW w:w="8053" w:type="dxa"/>
            <w:vAlign w:val="top"/>
            <w:gridSpan w:val="3"/>
          </w:tcPr>
          <w:p>
            <w:pPr>
              <w:ind w:left="115" w:right="104" w:firstLine="6"/>
              <w:spacing w:before="50"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中国证券监督管理委员会深圳监管局决定对海洋王照明科技股份有</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限公司采取责令改正的行政监管措施。</w:t>
            </w:r>
          </w:p>
        </w:tc>
      </w:tr>
      <w:tr>
        <w:trPr>
          <w:trHeight w:val="1093" w:hRule="atLeast"/>
        </w:trPr>
        <w:tc>
          <w:tcPr>
            <w:shd w:val="clear" w:fill="B8CCE4"/>
            <w:tcW w:w="1214" w:type="dxa"/>
            <w:vAlign w:val="top"/>
          </w:tcPr>
          <w:p>
            <w:pPr>
              <w:spacing w:line="382" w:lineRule="auto"/>
              <w:rPr>
                <w:rFonts w:ascii="Arial"/>
                <w:sz w:val="21"/>
              </w:rPr>
            </w:pPr>
            <w:r/>
          </w:p>
          <w:p>
            <w:pPr>
              <w:ind w:left="236"/>
              <w:spacing w:before="8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002055</w:t>
            </w:r>
          </w:p>
        </w:tc>
        <w:tc>
          <w:tcPr>
            <w:shd w:val="clear" w:fill="B8CCE4"/>
            <w:tcW w:w="1343" w:type="dxa"/>
            <w:vAlign w:val="top"/>
          </w:tcPr>
          <w:p>
            <w:pPr>
              <w:spacing w:line="367" w:lineRule="auto"/>
              <w:rPr>
                <w:rFonts w:ascii="Arial"/>
                <w:sz w:val="21"/>
              </w:rPr>
            </w:pPr>
            <w:r/>
          </w:p>
          <w:p>
            <w:pPr>
              <w:ind w:left="242"/>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得润电子</w:t>
            </w:r>
          </w:p>
        </w:tc>
        <w:tc>
          <w:tcPr>
            <w:shd w:val="clear" w:fill="B8CCE4"/>
            <w:tcW w:w="5496" w:type="dxa"/>
            <w:vAlign w:val="top"/>
          </w:tcPr>
          <w:p>
            <w:pPr>
              <w:ind w:left="100" w:right="103"/>
              <w:spacing w:before="96" w:line="230"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0"/>
              </w:rPr>
              <w:t>深圳市得润电子股份有限公司 2020 年半</w:t>
            </w:r>
            <w:r>
              <w:rPr>
                <w:rFonts w:ascii="Microsoft YaHei" w:hAnsi="Microsoft YaHei" w:eastAsia="Microsoft YaHei" w:cs="Microsoft YaHei"/>
                <w:sz w:val="20"/>
                <w:szCs w:val="20"/>
                <w:spacing w:val="9"/>
              </w:rPr>
              <w:t>年度至 2022 年</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半年度定期报告披露的</w:t>
            </w:r>
            <w:r>
              <w:rPr>
                <w:rFonts w:ascii="Microsoft YaHei" w:hAnsi="Microsoft YaHei" w:eastAsia="Microsoft YaHei" w:cs="Microsoft YaHei"/>
                <w:sz w:val="20"/>
                <w:szCs w:val="20"/>
                <w:b/>
                <w:bCs/>
                <w:spacing w:val="9"/>
              </w:rPr>
              <w:t>应收款项收回情况与实际不符</w:t>
            </w:r>
            <w:r>
              <w:rPr>
                <w:rFonts w:ascii="Microsoft YaHei" w:hAnsi="Microsoft YaHei" w:eastAsia="Microsoft YaHei" w:cs="Microsoft YaHei"/>
                <w:sz w:val="20"/>
                <w:szCs w:val="20"/>
                <w:b/>
                <w:bCs/>
                <w:spacing w:val="-10"/>
              </w:rPr>
              <w:t xml:space="preserve"> </w:t>
            </w:r>
            <w:r>
              <w:rPr>
                <w:rFonts w:ascii="Microsoft YaHei" w:hAnsi="Microsoft YaHei" w:eastAsia="Microsoft YaHei" w:cs="Microsoft YaHei"/>
                <w:sz w:val="20"/>
                <w:szCs w:val="20"/>
                <w:spacing w:val="9"/>
              </w:rPr>
              <w:t>，相</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关年度财务报告数据不准确。</w:t>
            </w:r>
          </w:p>
        </w:tc>
      </w:tr>
    </w:tbl>
    <w:p>
      <w:pPr>
        <w:pStyle w:val="BodyText"/>
        <w:rPr/>
      </w:pPr>
      <w:r/>
    </w:p>
    <w:p>
      <w:pPr>
        <w:sectPr>
          <w:pgSz w:w="11910" w:h="16840"/>
          <w:pgMar w:top="400" w:right="1786" w:bottom="0" w:left="1786" w:header="0" w:footer="0" w:gutter="0"/>
        </w:sectPr>
        <w:rPr/>
      </w:pPr>
    </w:p>
    <w:tbl>
      <w:tblPr>
        <w:tblStyle w:val="TableNormal"/>
        <w:tblW w:w="8053" w:type="dxa"/>
        <w:tblInd w:w="51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741" w:hRule="atLeast"/>
        </w:trPr>
        <w:tc>
          <w:tcPr>
            <w:tcW w:w="8053" w:type="dxa"/>
            <w:vAlign w:val="top"/>
            <w:gridSpan w:val="3"/>
            <w:tcBorders>
              <w:top w:val="single" w:color="4F81BD" w:sz="2" w:space="0"/>
            </w:tcBorders>
          </w:tcPr>
          <w:p>
            <w:pPr>
              <w:ind w:left="115" w:right="104" w:firstLine="6"/>
              <w:spacing w:before="58"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中国证券监督管理委员会深圳监管局决定对深圳市得润电子股份有</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8"/>
              </w:rPr>
              <w:t>限公司采取责令改正的行政监管措施。</w:t>
            </w:r>
          </w:p>
        </w:tc>
      </w:tr>
      <w:tr>
        <w:trPr>
          <w:trHeight w:val="1438" w:hRule="atLeast"/>
        </w:trPr>
        <w:tc>
          <w:tcPr>
            <w:shd w:val="clear" w:fill="B8CCE4"/>
            <w:tcW w:w="1214" w:type="dxa"/>
            <w:vAlign w:val="top"/>
          </w:tcPr>
          <w:p>
            <w:pPr>
              <w:spacing w:line="273" w:lineRule="auto"/>
              <w:rPr>
                <w:rFonts w:ascii="Arial"/>
                <w:sz w:val="21"/>
              </w:rPr>
            </w:pPr>
            <w:r/>
          </w:p>
          <w:p>
            <w:pPr>
              <w:spacing w:line="274" w:lineRule="auto"/>
              <w:rPr>
                <w:rFonts w:ascii="Arial"/>
                <w:sz w:val="21"/>
              </w:rPr>
            </w:pPr>
            <w:r/>
          </w:p>
          <w:p>
            <w:pPr>
              <w:ind w:left="239"/>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601901</w:t>
            </w:r>
          </w:p>
        </w:tc>
        <w:tc>
          <w:tcPr>
            <w:shd w:val="clear" w:fill="B8CCE4"/>
            <w:tcW w:w="1343" w:type="dxa"/>
            <w:vAlign w:val="top"/>
          </w:tcPr>
          <w:p>
            <w:pPr>
              <w:spacing w:line="267" w:lineRule="auto"/>
              <w:rPr>
                <w:rFonts w:ascii="Arial"/>
                <w:sz w:val="21"/>
              </w:rPr>
            </w:pPr>
            <w:r/>
          </w:p>
          <w:p>
            <w:pPr>
              <w:spacing w:line="267" w:lineRule="auto"/>
              <w:rPr>
                <w:rFonts w:ascii="Arial"/>
                <w:sz w:val="21"/>
              </w:rPr>
            </w:pPr>
            <w:r/>
          </w:p>
          <w:p>
            <w:pPr>
              <w:ind w:left="241"/>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方正证券</w:t>
            </w:r>
          </w:p>
        </w:tc>
        <w:tc>
          <w:tcPr>
            <w:shd w:val="clear" w:fill="B8CCE4"/>
            <w:tcW w:w="5496" w:type="dxa"/>
            <w:vAlign w:val="top"/>
          </w:tcPr>
          <w:p>
            <w:pPr>
              <w:ind w:left="99" w:right="104"/>
              <w:spacing w:before="83" w:line="235"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11"/>
              </w:rPr>
              <w:t>存在发布证券研究报告前泄露证券研究报告内容和观点的</w:t>
            </w:r>
            <w:r>
              <w:rPr>
                <w:rFonts w:ascii="Microsoft YaHei" w:hAnsi="Microsoft YaHei" w:eastAsia="Microsoft YaHei" w:cs="Microsoft YaHei"/>
                <w:sz w:val="20"/>
                <w:szCs w:val="20"/>
                <w:spacing w:val="1"/>
              </w:rPr>
              <w:t xml:space="preserve"> </w:t>
            </w:r>
            <w:r>
              <w:rPr>
                <w:rFonts w:ascii="Microsoft YaHei" w:hAnsi="Microsoft YaHei" w:eastAsia="Microsoft YaHei" w:cs="Microsoft YaHei"/>
                <w:sz w:val="20"/>
                <w:szCs w:val="20"/>
                <w:spacing w:val="11"/>
              </w:rPr>
              <w:t>情形；个别证券分析师向客户违规私自荐股；个别员工在</w:t>
            </w:r>
            <w:r>
              <w:rPr>
                <w:rFonts w:ascii="Microsoft YaHei" w:hAnsi="Microsoft YaHei" w:eastAsia="Microsoft YaHei" w:cs="Microsoft YaHei"/>
                <w:sz w:val="20"/>
                <w:szCs w:val="20"/>
                <w:spacing w:val="1"/>
              </w:rPr>
              <w:t xml:space="preserve"> </w:t>
            </w:r>
            <w:r>
              <w:rPr>
                <w:rFonts w:ascii="Microsoft YaHei" w:hAnsi="Microsoft YaHei" w:eastAsia="Microsoft YaHei" w:cs="Microsoft YaHei"/>
                <w:sz w:val="20"/>
                <w:szCs w:val="20"/>
                <w:spacing w:val="9"/>
              </w:rPr>
              <w:t>未取得证券分析师资格情况下</w:t>
            </w:r>
            <w:r>
              <w:rPr>
                <w:rFonts w:ascii="Microsoft YaHei" w:hAnsi="Microsoft YaHei" w:eastAsia="Microsoft YaHei" w:cs="Microsoft YaHei"/>
                <w:sz w:val="20"/>
                <w:szCs w:val="20"/>
                <w:spacing w:val="-8"/>
              </w:rPr>
              <w:t xml:space="preserve"> </w:t>
            </w:r>
            <w:r>
              <w:rPr>
                <w:rFonts w:ascii="Microsoft YaHei" w:hAnsi="Microsoft YaHei" w:eastAsia="Microsoft YaHei" w:cs="Microsoft YaHei"/>
                <w:sz w:val="20"/>
                <w:szCs w:val="20"/>
                <w:spacing w:val="9"/>
              </w:rPr>
              <w:t>，未经审核公开发布研究观</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4"/>
              </w:rPr>
              <w:t>点</w:t>
            </w:r>
            <w:r>
              <w:rPr>
                <w:rFonts w:ascii="Microsoft YaHei" w:hAnsi="Microsoft YaHei" w:eastAsia="Microsoft YaHei" w:cs="Microsoft YaHei"/>
                <w:sz w:val="20"/>
                <w:szCs w:val="20"/>
                <w:spacing w:val="-22"/>
              </w:rPr>
              <w:t xml:space="preserve"> </w:t>
            </w:r>
            <w:r>
              <w:rPr>
                <w:rFonts w:ascii="Microsoft YaHei" w:hAnsi="Microsoft YaHei" w:eastAsia="Microsoft YaHei" w:cs="Microsoft YaHei"/>
                <w:sz w:val="20"/>
                <w:szCs w:val="20"/>
                <w:spacing w:val="4"/>
              </w:rPr>
              <w:t>，造成不良影响。</w:t>
            </w:r>
          </w:p>
        </w:tc>
      </w:tr>
      <w:tr>
        <w:trPr>
          <w:trHeight w:val="732" w:hRule="atLeast"/>
        </w:trPr>
        <w:tc>
          <w:tcPr>
            <w:tcW w:w="8053" w:type="dxa"/>
            <w:vAlign w:val="top"/>
            <w:gridSpan w:val="3"/>
          </w:tcPr>
          <w:p>
            <w:pPr>
              <w:ind w:left="105" w:right="104" w:firstLine="17"/>
              <w:spacing w:before="49" w:line="23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11"/>
              </w:rPr>
              <w:t>【行政监管措施】</w:t>
            </w:r>
            <w:r>
              <w:rPr>
                <w:rFonts w:ascii="Microsoft YaHei" w:hAnsi="Microsoft YaHei" w:eastAsia="Microsoft YaHei" w:cs="Microsoft YaHei"/>
                <w:sz w:val="20"/>
                <w:szCs w:val="20"/>
                <w:spacing w:val="11"/>
              </w:rPr>
              <w:t>中国证券监督管理委员会湖南监管局决定对方正证券股份有限公司</w:t>
            </w:r>
            <w:r>
              <w:rPr>
                <w:rFonts w:ascii="Microsoft YaHei" w:hAnsi="Microsoft YaHei" w:eastAsia="Microsoft YaHei" w:cs="Microsoft YaHei"/>
                <w:sz w:val="20"/>
                <w:szCs w:val="20"/>
                <w:spacing w:val="3"/>
              </w:rPr>
              <w:t xml:space="preserve"> </w:t>
            </w:r>
            <w:r>
              <w:rPr>
                <w:rFonts w:ascii="Microsoft YaHei" w:hAnsi="Microsoft YaHei" w:eastAsia="Microsoft YaHei" w:cs="Microsoft YaHei"/>
                <w:sz w:val="20"/>
                <w:szCs w:val="20"/>
                <w:spacing w:val="9"/>
              </w:rPr>
              <w:t>公司采取责令改正的行政监管措施。</w:t>
            </w:r>
          </w:p>
        </w:tc>
      </w:tr>
    </w:tbl>
    <w:p>
      <w:pPr>
        <w:pStyle w:val="BodyText"/>
        <w:spacing w:line="276" w:lineRule="auto"/>
        <w:rPr/>
      </w:pPr>
      <w:r/>
    </w:p>
    <w:p>
      <w:pPr>
        <w:pStyle w:val="BodyText"/>
        <w:spacing w:line="277" w:lineRule="auto"/>
        <w:rPr/>
      </w:pPr>
      <w:r/>
    </w:p>
    <w:p>
      <w:pPr>
        <w:pStyle w:val="BodyText"/>
        <w:spacing w:line="277" w:lineRule="auto"/>
        <w:rPr/>
      </w:pPr>
      <w:r/>
    </w:p>
    <w:p>
      <w:pPr>
        <w:spacing w:before="103"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6"/>
        </w:rPr>
        <w:t>（4）立案调查</w:t>
      </w:r>
    </w:p>
    <w:p>
      <w:pPr>
        <w:spacing w:line="219" w:lineRule="exact"/>
        <w:rPr/>
      </w:pPr>
      <w:r/>
    </w:p>
    <w:tbl>
      <w:tblPr>
        <w:tblStyle w:val="TableNormal"/>
        <w:tblW w:w="8053" w:type="dxa"/>
        <w:tblInd w:w="519" w:type="dxa"/>
        <w:tblLayout w:type="fixed"/>
        <w:tblBorders>
          <w:top w:val="single" w:color="4F81BD" w:sz="6" w:space="0"/>
          <w:left w:val="single" w:color="4F81BD" w:sz="6" w:space="0"/>
          <w:bottom w:val="single" w:color="4F81BD" w:sz="6" w:space="0"/>
          <w:right w:val="single" w:color="4F81BD" w:sz="6" w:space="0"/>
          <w:insideH w:val="single" w:color="4F81BD" w:sz="6" w:space="0"/>
          <w:insideV w:val="single" w:color="4F81BD" w:sz="6" w:space="0"/>
        </w:tblBorders>
      </w:tblPr>
      <w:tblGrid>
        <w:gridCol w:w="1214"/>
        <w:gridCol w:w="1343"/>
        <w:gridCol w:w="5496"/>
      </w:tblGrid>
      <w:tr>
        <w:trPr>
          <w:trHeight w:val="384" w:hRule="atLeast"/>
        </w:trPr>
        <w:tc>
          <w:tcPr>
            <w:shd w:val="clear" w:fill="4F81BD"/>
            <w:tcW w:w="1214" w:type="dxa"/>
            <w:vAlign w:val="top"/>
            <w:tcBorders>
              <w:bottom w:val="single" w:color="4F81BD" w:sz="2" w:space="0"/>
            </w:tcBorders>
          </w:tcPr>
          <w:p>
            <w:pPr>
              <w:ind w:left="181"/>
              <w:spacing w:before="109" w:line="18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公司代码</w:t>
            </w:r>
          </w:p>
        </w:tc>
        <w:tc>
          <w:tcPr>
            <w:shd w:val="clear" w:fill="4F81BD"/>
            <w:tcW w:w="1343" w:type="dxa"/>
            <w:vAlign w:val="top"/>
            <w:tcBorders>
              <w:bottom w:val="single" w:color="4F81BD" w:sz="2" w:space="0"/>
            </w:tcBorders>
          </w:tcPr>
          <w:p>
            <w:pPr>
              <w:ind w:left="243"/>
              <w:spacing w:before="109" w:line="18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公司简称</w:t>
            </w:r>
          </w:p>
        </w:tc>
        <w:tc>
          <w:tcPr>
            <w:shd w:val="clear" w:fill="4F81BD"/>
            <w:tcW w:w="5496" w:type="dxa"/>
            <w:vAlign w:val="top"/>
            <w:tcBorders>
              <w:bottom w:val="single" w:color="4F81BD" w:sz="2" w:space="0"/>
            </w:tcBorders>
          </w:tcPr>
          <w:p>
            <w:pPr>
              <w:ind w:left="2320"/>
              <w:spacing w:before="109" w:line="185"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color w:val="FFFFFF"/>
                <w:spacing w:val="8"/>
              </w:rPr>
              <w:t>违规行为</w:t>
            </w:r>
          </w:p>
        </w:tc>
      </w:tr>
      <w:tr>
        <w:trPr>
          <w:trHeight w:val="1089" w:hRule="atLeast"/>
        </w:trPr>
        <w:tc>
          <w:tcPr>
            <w:tcW w:w="1214" w:type="dxa"/>
            <w:vAlign w:val="top"/>
            <w:tcBorders>
              <w:top w:val="single" w:color="4F81BD" w:sz="2" w:space="0"/>
            </w:tcBorders>
          </w:tcPr>
          <w:p>
            <w:pPr>
              <w:spacing w:line="376" w:lineRule="auto"/>
              <w:rPr>
                <w:rFonts w:ascii="Arial"/>
                <w:sz w:val="21"/>
              </w:rPr>
            </w:pPr>
            <w:r/>
          </w:p>
          <w:p>
            <w:pPr>
              <w:ind w:left="239"/>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3"/>
              </w:rPr>
              <w:t>600246</w:t>
            </w:r>
          </w:p>
        </w:tc>
        <w:tc>
          <w:tcPr>
            <w:tcW w:w="1343" w:type="dxa"/>
            <w:vAlign w:val="top"/>
            <w:tcBorders>
              <w:top w:val="single" w:color="4F81BD" w:sz="2" w:space="0"/>
            </w:tcBorders>
          </w:tcPr>
          <w:p>
            <w:pPr>
              <w:spacing w:line="361" w:lineRule="auto"/>
              <w:rPr>
                <w:rFonts w:ascii="Arial"/>
                <w:sz w:val="21"/>
              </w:rPr>
            </w:pPr>
            <w:r/>
          </w:p>
          <w:p>
            <w:pPr>
              <w:ind w:left="243"/>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万通发展</w:t>
            </w:r>
          </w:p>
        </w:tc>
        <w:tc>
          <w:tcPr>
            <w:tcW w:w="5496" w:type="dxa"/>
            <w:vAlign w:val="top"/>
            <w:tcBorders>
              <w:top w:val="single" w:color="4F81BD" w:sz="2" w:space="0"/>
            </w:tcBorders>
          </w:tcPr>
          <w:p>
            <w:pPr>
              <w:ind w:left="99" w:right="104" w:firstLine="14"/>
              <w:spacing w:before="49"/>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因</w:t>
            </w:r>
            <w:r>
              <w:rPr>
                <w:rFonts w:ascii="Microsoft YaHei" w:hAnsi="Microsoft YaHei" w:eastAsia="Microsoft YaHei" w:cs="Microsoft YaHei"/>
                <w:sz w:val="20"/>
                <w:szCs w:val="20"/>
                <w:b/>
                <w:bCs/>
                <w:spacing w:val="9"/>
              </w:rPr>
              <w:t>涉嫌短线交易万通发展股票</w:t>
            </w:r>
            <w:r>
              <w:rPr>
                <w:rFonts w:ascii="Microsoft YaHei" w:hAnsi="Microsoft YaHei" w:eastAsia="Microsoft YaHei" w:cs="Microsoft YaHei"/>
                <w:sz w:val="20"/>
                <w:szCs w:val="20"/>
                <w:b/>
                <w:bCs/>
                <w:spacing w:val="-26"/>
              </w:rPr>
              <w:t xml:space="preserve"> </w:t>
            </w:r>
            <w:r>
              <w:rPr>
                <w:rFonts w:ascii="Microsoft YaHei" w:hAnsi="Microsoft YaHei" w:eastAsia="Microsoft YaHei" w:cs="Microsoft YaHei"/>
                <w:sz w:val="20"/>
                <w:szCs w:val="20"/>
                <w:spacing w:val="9"/>
              </w:rPr>
              <w:t>，根据《中华人民共和国证</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券法》《中华人民共和国行政处罚法》等法律法规</w:t>
            </w:r>
            <w:r>
              <w:rPr>
                <w:rFonts w:ascii="Microsoft YaHei" w:hAnsi="Microsoft YaHei" w:eastAsia="Microsoft YaHei" w:cs="Microsoft YaHei"/>
                <w:sz w:val="20"/>
                <w:szCs w:val="20"/>
                <w:spacing w:val="-9"/>
              </w:rPr>
              <w:t xml:space="preserve"> </w:t>
            </w:r>
            <w:r>
              <w:rPr>
                <w:rFonts w:ascii="Microsoft YaHei" w:hAnsi="Microsoft YaHei" w:eastAsia="Microsoft YaHei" w:cs="Microsoft YaHei"/>
                <w:sz w:val="20"/>
                <w:szCs w:val="20"/>
                <w:spacing w:val="8"/>
              </w:rPr>
              <w:t>，</w:t>
            </w:r>
            <w:r>
              <w:rPr>
                <w:rFonts w:ascii="Microsoft YaHei" w:hAnsi="Microsoft YaHei" w:eastAsia="Microsoft YaHei" w:cs="Microsoft YaHei"/>
                <w:sz w:val="20"/>
                <w:szCs w:val="20"/>
                <w:spacing w:val="-34"/>
              </w:rPr>
              <w:t xml:space="preserve"> </w:t>
            </w:r>
            <w:r>
              <w:rPr>
                <w:rFonts w:ascii="Microsoft YaHei" w:hAnsi="Microsoft YaHei" w:eastAsia="Microsoft YaHei" w:cs="Microsoft YaHei"/>
                <w:sz w:val="20"/>
                <w:szCs w:val="20"/>
                <w:spacing w:val="8"/>
              </w:rPr>
              <w:t>中国</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证监会决定对公司董事立案。</w:t>
            </w:r>
          </w:p>
        </w:tc>
      </w:tr>
    </w:tbl>
    <w:p>
      <w:pPr>
        <w:pStyle w:val="BodyText"/>
        <w:rPr/>
      </w:pPr>
      <w:r/>
    </w:p>
    <w:p>
      <w:pPr>
        <w:sectPr>
          <w:pgSz w:w="11910" w:h="16840"/>
          <w:pgMar w:top="400" w:right="1786" w:bottom="0" w:left="1397" w:header="0" w:footer="0" w:gutter="0"/>
        </w:sectPr>
        <w:rPr/>
      </w:pPr>
    </w:p>
    <w:p>
      <w:pPr>
        <w:ind w:firstLine="420"/>
        <w:spacing w:before="10" w:line="829" w:lineRule="exact"/>
        <w:rPr/>
      </w:pPr>
      <w:r>
        <w:rPr>
          <w:position w:val="-16"/>
        </w:rPr>
        <w:pict>
          <v:group id="_x0000_s18" style="mso-position-vertical-relative:line;mso-position-horizontal-relative:char;width:135pt;height:41.5pt;" filled="false" stroked="false" coordsize="2700,830" coordorigin="0,0">
            <v:shape id="_x0000_s20" style="position:absolute;left:0;top:0;width:2700;height:830;" filled="false" stroked="false" type="#_x0000_t75">
              <v:imagedata o:title="" r:id="rId11"/>
            </v:shape>
            <v:shape id="_x0000_s22" style="position:absolute;left:-20;top:-20;width:2740;height:870;" filled="false" stroked="false" type="#_x0000_t202">
              <v:fill on="false"/>
              <v:stroke on="false"/>
              <v:path/>
              <v:imagedata o:title=""/>
              <o:lock v:ext="edit" aspectratio="false"/>
              <v:textbox inset="0mm,0mm,0mm,0mm">
                <w:txbxContent>
                  <w:p>
                    <w:pPr>
                      <w:ind w:left="409"/>
                      <w:spacing w:before="299" w:line="222" w:lineRule="auto"/>
                      <w:rPr>
                        <w:rFonts w:ascii="SimHei" w:hAnsi="SimHei" w:eastAsia="SimHei" w:cs="SimHei"/>
                        <w:sz w:val="28"/>
                        <w:szCs w:val="28"/>
                      </w:rPr>
                    </w:pPr>
                    <w:r>
                      <w:rPr>
                        <w:rFonts w:ascii="SimHei" w:hAnsi="SimHei" w:eastAsia="SimHei" w:cs="SimHei"/>
                        <w:sz w:val="28"/>
                        <w:szCs w:val="28"/>
                        <w:color w:val="FFFFFF"/>
                        <w:spacing w:val="-2"/>
                      </w:rPr>
                      <w:t>上交所监管动态</w:t>
                    </w:r>
                  </w:p>
                </w:txbxContent>
              </v:textbox>
            </v:shape>
          </v:group>
        </w:pict>
      </w:r>
    </w:p>
    <w:p>
      <w:pPr>
        <w:pStyle w:val="BodyText"/>
        <w:spacing w:line="334" w:lineRule="auto"/>
        <w:rPr/>
      </w:pPr>
      <w:r/>
    </w:p>
    <w:p>
      <w:pPr>
        <w:ind w:left="513"/>
        <w:spacing w:before="78" w:line="222" w:lineRule="auto"/>
        <w:outlineLvl w:val="0"/>
        <w:rPr>
          <w:rFonts w:ascii="SimHei" w:hAnsi="SimHei" w:eastAsia="SimHei" w:cs="SimHei"/>
          <w:sz w:val="24"/>
          <w:szCs w:val="24"/>
        </w:rPr>
      </w:pPr>
      <w:r>
        <w:rPr>
          <w:rFonts w:ascii="SimHei" w:hAnsi="SimHei" w:eastAsia="SimHei" w:cs="SimHei"/>
          <w:sz w:val="24"/>
          <w:szCs w:val="24"/>
          <w:b/>
          <w:bCs/>
          <w:spacing w:val="-7"/>
        </w:rPr>
        <w:t>1、上市公司监管动态</w:t>
      </w:r>
    </w:p>
    <w:p>
      <w:pPr>
        <w:pStyle w:val="BodyText"/>
        <w:spacing w:line="274" w:lineRule="auto"/>
        <w:rPr/>
      </w:pPr>
      <w:r/>
    </w:p>
    <w:p>
      <w:pPr>
        <w:ind w:right="27"/>
        <w:spacing w:before="68" w:line="400" w:lineRule="exact"/>
        <w:jc w:val="right"/>
        <w:rPr>
          <w:rFonts w:ascii="SimHei" w:hAnsi="SimHei" w:eastAsia="SimHei" w:cs="SimHei"/>
          <w:sz w:val="21"/>
          <w:szCs w:val="21"/>
        </w:rPr>
      </w:pPr>
      <w:r>
        <w:rPr>
          <w:rFonts w:ascii="SimHei" w:hAnsi="SimHei" w:eastAsia="SimHei" w:cs="SimHei"/>
          <w:sz w:val="21"/>
          <w:szCs w:val="21"/>
          <w:spacing w:val="13"/>
          <w:position w:val="14"/>
        </w:rPr>
        <w:t>2024年1月1日-1月7日，上交所公司监管</w:t>
      </w:r>
      <w:r>
        <w:rPr>
          <w:rFonts w:ascii="SimHei" w:hAnsi="SimHei" w:eastAsia="SimHei" w:cs="SimHei"/>
          <w:sz w:val="21"/>
          <w:szCs w:val="21"/>
          <w:spacing w:val="12"/>
          <w:position w:val="14"/>
        </w:rPr>
        <w:t>部门作出3份监管警示函。同时，加大信息披露和股价异常的联动监</w:t>
      </w:r>
    </w:p>
    <w:p>
      <w:pPr>
        <w:ind w:left="10"/>
        <w:spacing w:before="1" w:line="212" w:lineRule="auto"/>
        <w:rPr>
          <w:rFonts w:ascii="SimHei" w:hAnsi="SimHei" w:eastAsia="SimHei" w:cs="SimHei"/>
          <w:sz w:val="21"/>
          <w:szCs w:val="21"/>
        </w:rPr>
      </w:pPr>
      <w:r>
        <w:rPr>
          <w:rFonts w:ascii="SimHei" w:hAnsi="SimHei" w:eastAsia="SimHei" w:cs="SimHei"/>
          <w:sz w:val="21"/>
          <w:szCs w:val="21"/>
          <w:spacing w:val="9"/>
        </w:rPr>
        <w:t>管，针对公司披露敏感信息或股价发生明显异常</w:t>
      </w:r>
      <w:r>
        <w:rPr>
          <w:rFonts w:ascii="SimHei" w:hAnsi="SimHei" w:eastAsia="SimHei" w:cs="SimHei"/>
          <w:sz w:val="21"/>
          <w:szCs w:val="21"/>
          <w:spacing w:val="8"/>
        </w:rPr>
        <w:t>的，提请启动内幕交易、异常交易核查4单。</w:t>
      </w:r>
    </w:p>
    <w:p>
      <w:pPr>
        <w:pStyle w:val="BodyText"/>
        <w:rPr/>
      </w:pPr>
      <w:r/>
    </w:p>
    <w:p>
      <w:pPr>
        <w:pStyle w:val="BodyText"/>
        <w:spacing w:line="241" w:lineRule="auto"/>
        <w:rPr/>
      </w:pPr>
      <w:r/>
    </w:p>
    <w:p>
      <w:pPr>
        <w:ind w:left="3664"/>
        <w:spacing w:before="91" w:line="221" w:lineRule="auto"/>
        <w:rPr>
          <w:rFonts w:ascii="SimHei" w:hAnsi="SimHei" w:eastAsia="SimHei" w:cs="SimHei"/>
          <w:sz w:val="28"/>
          <w:szCs w:val="28"/>
        </w:rPr>
      </w:pPr>
      <w:r>
        <w:rPr>
          <w:rFonts w:ascii="SimHei" w:hAnsi="SimHei" w:eastAsia="SimHei" w:cs="SimHei"/>
          <w:sz w:val="28"/>
          <w:szCs w:val="28"/>
          <w:b/>
          <w:bCs/>
          <w:spacing w:val="6"/>
        </w:rPr>
        <w:t>上周上交所发出的函件统计(份)</w:t>
      </w:r>
    </w:p>
    <w:p>
      <w:pPr>
        <w:spacing w:before="32"/>
        <w:rPr/>
      </w:pPr>
      <w:r/>
    </w:p>
    <w:p>
      <w:pPr>
        <w:sectPr>
          <w:pgSz w:w="11910" w:h="16840"/>
          <w:pgMar w:top="400" w:right="465" w:bottom="0" w:left="429" w:header="0" w:footer="0" w:gutter="0"/>
          <w:cols w:equalWidth="0" w:num="1">
            <w:col w:w="11015" w:space="0"/>
          </w:cols>
        </w:sectPr>
        <w:rPr/>
      </w:pPr>
    </w:p>
    <w:p>
      <w:pPr>
        <w:ind w:left="2370"/>
        <w:spacing w:before="59" w:line="202" w:lineRule="auto"/>
        <w:rPr>
          <w:rFonts w:ascii="SimSun" w:hAnsi="SimSun" w:eastAsia="SimSun" w:cs="SimSun"/>
          <w:sz w:val="21"/>
          <w:szCs w:val="21"/>
        </w:rPr>
      </w:pPr>
      <w:r>
        <w:rPr>
          <w:rFonts w:ascii="SimSun" w:hAnsi="SimSun" w:eastAsia="SimSun" w:cs="SimSun"/>
          <w:sz w:val="21"/>
          <w:szCs w:val="21"/>
          <w:spacing w:val="-23"/>
        </w:rPr>
        <w:t>3.5-</w:t>
      </w:r>
    </w:p>
    <w:p>
      <w:pPr>
        <w:ind w:left="2530"/>
        <w:spacing w:line="183" w:lineRule="auto"/>
        <w:rPr>
          <w:rFonts w:ascii="SimSun" w:hAnsi="SimSun" w:eastAsia="SimSun" w:cs="SimSun"/>
          <w:sz w:val="21"/>
          <w:szCs w:val="21"/>
        </w:rPr>
      </w:pPr>
      <w:r>
        <w:rPr>
          <w:rFonts w:ascii="SimSun" w:hAnsi="SimSun" w:eastAsia="SimSun" w:cs="SimSun"/>
          <w:sz w:val="21"/>
          <w:szCs w:val="21"/>
          <w:spacing w:val="-19"/>
        </w:rPr>
        <w:t>3-</w:t>
      </w:r>
    </w:p>
    <w:p>
      <w:pPr>
        <w:ind w:left="2370"/>
        <w:spacing w:before="12" w:line="183" w:lineRule="auto"/>
        <w:rPr>
          <w:rFonts w:ascii="SimSun" w:hAnsi="SimSun" w:eastAsia="SimSun" w:cs="SimSun"/>
          <w:sz w:val="21"/>
          <w:szCs w:val="21"/>
        </w:rPr>
      </w:pPr>
      <w:r>
        <w:rPr>
          <w:rFonts w:ascii="SimSun" w:hAnsi="SimSun" w:eastAsia="SimSun" w:cs="SimSun"/>
          <w:sz w:val="21"/>
          <w:szCs w:val="21"/>
          <w:spacing w:val="-21"/>
          <w:w w:val="99"/>
        </w:rPr>
        <w:t>2.5-</w:t>
      </w:r>
    </w:p>
    <w:p>
      <w:pPr>
        <w:ind w:left="2530"/>
        <w:spacing w:before="63" w:line="201" w:lineRule="auto"/>
        <w:rPr>
          <w:rFonts w:ascii="SimSun" w:hAnsi="SimSun" w:eastAsia="SimSun" w:cs="SimSun"/>
          <w:sz w:val="21"/>
          <w:szCs w:val="21"/>
        </w:rPr>
      </w:pPr>
      <w:r>
        <w:rPr>
          <w:rFonts w:ascii="SimSun" w:hAnsi="SimSun" w:eastAsia="SimSun" w:cs="SimSun"/>
          <w:sz w:val="21"/>
          <w:szCs w:val="21"/>
          <w:spacing w:val="-14"/>
        </w:rPr>
        <w:t>2-</w:t>
      </w:r>
    </w:p>
    <w:p>
      <w:pPr>
        <w:ind w:left="2370"/>
        <w:spacing w:before="1" w:line="183" w:lineRule="auto"/>
        <w:rPr>
          <w:rFonts w:ascii="SimSun" w:hAnsi="SimSun" w:eastAsia="SimSun" w:cs="SimSun"/>
          <w:sz w:val="21"/>
          <w:szCs w:val="21"/>
        </w:rPr>
      </w:pPr>
      <w:r>
        <w:rPr>
          <w:rFonts w:ascii="SimSun" w:hAnsi="SimSun" w:eastAsia="SimSun" w:cs="SimSun"/>
          <w:sz w:val="21"/>
          <w:szCs w:val="21"/>
          <w:spacing w:val="-23"/>
        </w:rPr>
        <w:t>1.5-</w:t>
      </w:r>
    </w:p>
    <w:p>
      <w:pPr>
        <w:ind w:left="2530"/>
        <w:spacing w:before="30" w:line="184" w:lineRule="auto"/>
        <w:rPr>
          <w:rFonts w:ascii="SimSun" w:hAnsi="SimSun" w:eastAsia="SimSun" w:cs="SimSun"/>
          <w:sz w:val="21"/>
          <w:szCs w:val="21"/>
        </w:rPr>
      </w:pPr>
      <w:r>
        <w:rPr>
          <w:rFonts w:ascii="SimSun" w:hAnsi="SimSun" w:eastAsia="SimSun" w:cs="SimSun"/>
          <w:sz w:val="21"/>
          <w:szCs w:val="21"/>
          <w:spacing w:val="-12"/>
        </w:rPr>
        <w:t>1-</w:t>
      </w:r>
    </w:p>
    <w:p>
      <w:pPr>
        <w:ind w:left="2370"/>
        <w:spacing w:before="12" w:line="156" w:lineRule="exact"/>
        <w:rPr>
          <w:rFonts w:ascii="SimSun" w:hAnsi="SimSun" w:eastAsia="SimSun" w:cs="SimSun"/>
          <w:sz w:val="21"/>
          <w:szCs w:val="21"/>
        </w:rPr>
      </w:pPr>
      <w:r>
        <w:rPr>
          <w:rFonts w:ascii="SimSun" w:hAnsi="SimSun" w:eastAsia="SimSun" w:cs="SimSun"/>
          <w:sz w:val="21"/>
          <w:szCs w:val="21"/>
          <w:spacing w:val="-21"/>
          <w:w w:val="99"/>
          <w:position w:val="-3"/>
        </w:rPr>
        <w:t>0.5-</w:t>
      </w:r>
    </w:p>
    <w:p>
      <w:pPr>
        <w:pStyle w:val="BodyText"/>
        <w:spacing w:line="14" w:lineRule="auto"/>
        <w:rPr>
          <w:sz w:val="2"/>
        </w:rPr>
      </w:pPr>
      <w:r>
        <w:rPr>
          <w:sz w:val="2"/>
          <w:szCs w:val="2"/>
        </w:rPr>
        <w:br w:type="column"/>
      </w:r>
    </w:p>
    <w:p>
      <w:pPr>
        <w:spacing w:before="28" w:line="183" w:lineRule="auto"/>
        <w:rPr>
          <w:rFonts w:ascii="SimSun" w:hAnsi="SimSun" w:eastAsia="SimSun" w:cs="SimSun"/>
          <w:sz w:val="21"/>
          <w:szCs w:val="21"/>
        </w:rPr>
      </w:pPr>
      <w:r>
        <w:rPr>
          <w:rFonts w:ascii="SimSun" w:hAnsi="SimSun" w:eastAsia="SimSun" w:cs="SimSun"/>
          <w:sz w:val="21"/>
          <w:szCs w:val="21"/>
        </w:rPr>
        <w:t>3</w:t>
      </w:r>
    </w:p>
    <w:p>
      <w:pPr>
        <w:pStyle w:val="BodyText"/>
        <w:spacing w:line="312" w:lineRule="auto"/>
        <w:rPr/>
      </w:pPr>
      <w:r/>
    </w:p>
    <w:p>
      <w:pPr>
        <w:pStyle w:val="BodyText"/>
        <w:spacing w:line="312" w:lineRule="auto"/>
        <w:rPr/>
      </w:pPr>
      <w:r/>
    </w:p>
    <w:p>
      <w:pPr>
        <w:pStyle w:val="BodyText"/>
        <w:spacing w:line="313" w:lineRule="auto"/>
        <w:rPr/>
      </w:pPr>
      <w:r/>
    </w:p>
    <w:p>
      <w:pPr>
        <w:ind w:left="4080"/>
        <w:spacing w:before="69" w:line="183" w:lineRule="auto"/>
        <w:rPr>
          <w:rFonts w:ascii="SimSun" w:hAnsi="SimSun" w:eastAsia="SimSun" w:cs="SimSun"/>
          <w:sz w:val="21"/>
          <w:szCs w:val="21"/>
        </w:rPr>
      </w:pPr>
      <w:r>
        <w:rPr>
          <w:rFonts w:ascii="SimSun" w:hAnsi="SimSun" w:eastAsia="SimSun" w:cs="SimSun"/>
          <w:sz w:val="21"/>
          <w:szCs w:val="21"/>
        </w:rPr>
        <w:t>0</w:t>
      </w:r>
    </w:p>
    <w:p>
      <w:pPr>
        <w:ind w:left="2059"/>
        <w:spacing w:before="22" w:line="145" w:lineRule="exact"/>
        <w:rPr>
          <w:rFonts w:ascii="SimSun" w:hAnsi="SimSun" w:eastAsia="SimSun" w:cs="SimSun"/>
          <w:sz w:val="21"/>
          <w:szCs w:val="21"/>
        </w:rPr>
      </w:pPr>
      <w:r>
        <w:rPr>
          <w:rFonts w:ascii="SimSun" w:hAnsi="SimSun" w:eastAsia="SimSun" w:cs="SimSun"/>
          <w:sz w:val="21"/>
          <w:szCs w:val="21"/>
          <w:position w:val="-3"/>
        </w:rPr>
        <w:t>0</w:t>
      </w:r>
    </w:p>
    <w:p>
      <w:pPr>
        <w:spacing w:line="145" w:lineRule="exact"/>
        <w:sectPr>
          <w:type w:val="continuous"/>
          <w:pgSz w:w="11910" w:h="16840"/>
          <w:pgMar w:top="400" w:right="465" w:bottom="0" w:left="429" w:header="0" w:footer="0" w:gutter="0"/>
          <w:cols w:equalWidth="0" w:num="2">
            <w:col w:w="3631" w:space="100"/>
            <w:col w:w="7285" w:space="0"/>
          </w:cols>
        </w:sectPr>
        <w:rPr>
          <w:rFonts w:ascii="SimSun" w:hAnsi="SimSun" w:eastAsia="SimSun" w:cs="SimSun"/>
          <w:sz w:val="21"/>
          <w:szCs w:val="21"/>
        </w:rPr>
      </w:pPr>
    </w:p>
    <w:p>
      <w:pPr>
        <w:spacing w:line="146" w:lineRule="exact"/>
        <w:rPr/>
      </w:pPr>
      <w:r/>
    </w:p>
    <w:tbl>
      <w:tblPr>
        <w:tblStyle w:val="TableNormal"/>
        <w:tblW w:w="6799" w:type="dxa"/>
        <w:tblInd w:w="212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664"/>
        <w:gridCol w:w="2047"/>
        <w:gridCol w:w="2037"/>
        <w:gridCol w:w="2051"/>
      </w:tblGrid>
      <w:tr>
        <w:trPr>
          <w:trHeight w:val="330" w:hRule="atLeast"/>
        </w:trPr>
        <w:tc>
          <w:tcPr>
            <w:tcW w:w="664" w:type="dxa"/>
            <w:vAlign w:val="top"/>
          </w:tcPr>
          <w:p>
            <w:pPr>
              <w:pStyle w:val="TableText"/>
              <w:ind w:right="8"/>
              <w:spacing w:before="64" w:line="183" w:lineRule="auto"/>
              <w:jc w:val="right"/>
              <w:rPr>
                <w:sz w:val="20"/>
                <w:szCs w:val="20"/>
              </w:rPr>
            </w:pPr>
            <w:r>
              <w:rPr>
                <w:sz w:val="20"/>
                <w:szCs w:val="20"/>
              </w:rPr>
              <w:t>0</w:t>
            </w:r>
          </w:p>
        </w:tc>
        <w:tc>
          <w:tcPr>
            <w:tcW w:w="2047" w:type="dxa"/>
            <w:vAlign w:val="top"/>
          </w:tcPr>
          <w:p>
            <w:pPr>
              <w:pStyle w:val="TableText"/>
              <w:ind w:left="610"/>
              <w:spacing w:before="73" w:line="219" w:lineRule="auto"/>
              <w:rPr>
                <w:sz w:val="20"/>
                <w:szCs w:val="20"/>
              </w:rPr>
            </w:pPr>
            <w:r>
              <w:rPr>
                <w:sz w:val="20"/>
                <w:szCs w:val="20"/>
                <w:spacing w:val="-2"/>
              </w:rPr>
              <w:t>监管警示</w:t>
            </w:r>
          </w:p>
        </w:tc>
        <w:tc>
          <w:tcPr>
            <w:tcW w:w="2037" w:type="dxa"/>
            <w:vAlign w:val="top"/>
          </w:tcPr>
          <w:p>
            <w:pPr>
              <w:pStyle w:val="TableText"/>
              <w:ind w:left="613"/>
              <w:spacing w:before="73" w:line="219" w:lineRule="auto"/>
              <w:rPr>
                <w:sz w:val="20"/>
                <w:szCs w:val="20"/>
              </w:rPr>
            </w:pPr>
            <w:r>
              <w:rPr>
                <w:sz w:val="20"/>
                <w:szCs w:val="20"/>
                <w:spacing w:val="2"/>
              </w:rPr>
              <w:t>纪律处分</w:t>
            </w:r>
          </w:p>
        </w:tc>
        <w:tc>
          <w:tcPr>
            <w:tcW w:w="2051" w:type="dxa"/>
            <w:vAlign w:val="top"/>
          </w:tcPr>
          <w:p>
            <w:pPr>
              <w:pStyle w:val="TableText"/>
              <w:ind w:left="716"/>
              <w:spacing w:before="74" w:line="221" w:lineRule="auto"/>
              <w:rPr>
                <w:sz w:val="20"/>
                <w:szCs w:val="20"/>
              </w:rPr>
            </w:pPr>
            <w:r>
              <w:rPr>
                <w:sz w:val="20"/>
                <w:szCs w:val="20"/>
                <w:spacing w:val="7"/>
              </w:rPr>
              <w:t>问询函</w:t>
            </w:r>
          </w:p>
        </w:tc>
      </w:tr>
      <w:tr>
        <w:trPr>
          <w:trHeight w:val="290" w:hRule="atLeast"/>
        </w:trPr>
        <w:tc>
          <w:tcPr>
            <w:tcW w:w="664" w:type="dxa"/>
            <w:vAlign w:val="top"/>
          </w:tcPr>
          <w:p>
            <w:pPr>
              <w:pStyle w:val="TableText"/>
              <w:spacing w:before="53" w:line="209" w:lineRule="auto"/>
              <w:jc w:val="right"/>
              <w:rPr>
                <w:sz w:val="20"/>
                <w:szCs w:val="20"/>
              </w:rPr>
            </w:pPr>
            <w:r>
              <w:rPr>
                <w:sz w:val="20"/>
                <w:szCs w:val="20"/>
                <w:spacing w:val="2"/>
              </w:rPr>
              <w:t>■份数</w:t>
            </w:r>
          </w:p>
        </w:tc>
        <w:tc>
          <w:tcPr>
            <w:tcW w:w="2047" w:type="dxa"/>
            <w:vAlign w:val="top"/>
          </w:tcPr>
          <w:p>
            <w:pPr>
              <w:pStyle w:val="TableText"/>
              <w:ind w:left="961"/>
              <w:spacing w:before="104" w:line="162" w:lineRule="auto"/>
              <w:rPr>
                <w:sz w:val="20"/>
                <w:szCs w:val="20"/>
              </w:rPr>
            </w:pPr>
            <w:r>
              <w:rPr>
                <w:sz w:val="20"/>
                <w:szCs w:val="20"/>
              </w:rPr>
              <w:t>3</w:t>
            </w:r>
          </w:p>
        </w:tc>
        <w:tc>
          <w:tcPr>
            <w:tcW w:w="2037" w:type="dxa"/>
            <w:vAlign w:val="top"/>
          </w:tcPr>
          <w:p>
            <w:pPr>
              <w:pStyle w:val="TableText"/>
              <w:ind w:left="963"/>
              <w:spacing w:before="104" w:line="162" w:lineRule="auto"/>
              <w:rPr>
                <w:sz w:val="20"/>
                <w:szCs w:val="20"/>
              </w:rPr>
            </w:pPr>
            <w:r>
              <w:rPr>
                <w:sz w:val="20"/>
                <w:szCs w:val="20"/>
              </w:rPr>
              <w:t>0</w:t>
            </w:r>
          </w:p>
        </w:tc>
        <w:tc>
          <w:tcPr>
            <w:tcW w:w="2051" w:type="dxa"/>
            <w:vAlign w:val="top"/>
          </w:tcPr>
          <w:p>
            <w:pPr>
              <w:pStyle w:val="TableText"/>
              <w:ind w:left="966"/>
              <w:spacing w:before="104" w:line="162" w:lineRule="auto"/>
              <w:rPr>
                <w:sz w:val="20"/>
                <w:szCs w:val="20"/>
              </w:rPr>
            </w:pPr>
            <w:r>
              <w:rPr>
                <w:sz w:val="20"/>
                <w:szCs w:val="20"/>
              </w:rPr>
              <w:t>0</w:t>
            </w:r>
          </w:p>
        </w:tc>
      </w:tr>
    </w:tbl>
    <w:p>
      <w:pPr>
        <w:pStyle w:val="BodyText"/>
        <w:spacing w:line="398" w:lineRule="auto"/>
        <w:rPr/>
      </w:pPr>
      <w:r/>
    </w:p>
    <w:p>
      <w:pPr>
        <w:ind w:left="1053"/>
        <w:spacing w:before="79" w:line="221" w:lineRule="auto"/>
        <w:rPr>
          <w:rFonts w:ascii="SimHei" w:hAnsi="SimHei" w:eastAsia="SimHei" w:cs="SimHei"/>
          <w:sz w:val="24"/>
          <w:szCs w:val="24"/>
        </w:rPr>
      </w:pPr>
      <w:r>
        <w:rPr>
          <w:rFonts w:ascii="SimHei" w:hAnsi="SimHei" w:eastAsia="SimHei" w:cs="SimHei"/>
          <w:sz w:val="24"/>
          <w:szCs w:val="24"/>
          <w:b/>
          <w:bCs/>
          <w:spacing w:val="6"/>
        </w:rPr>
        <w:t>(1)监管措施统计</w:t>
      </w:r>
    </w:p>
    <w:p>
      <w:pPr>
        <w:spacing w:before="32"/>
        <w:rPr/>
      </w:pPr>
      <w:r/>
    </w:p>
    <w:tbl>
      <w:tblPr>
        <w:tblStyle w:val="TableNormal"/>
        <w:tblW w:w="8820" w:type="dxa"/>
        <w:tblInd w:w="109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284"/>
        <w:gridCol w:w="1209"/>
        <w:gridCol w:w="1328"/>
        <w:gridCol w:w="4999"/>
      </w:tblGrid>
      <w:tr>
        <w:trPr>
          <w:trHeight w:val="364" w:hRule="atLeast"/>
        </w:trPr>
        <w:tc>
          <w:tcPr>
            <w:shd w:val="clear" w:fill="C0504D"/>
            <w:tcW w:w="3821" w:type="dxa"/>
            <w:vAlign w:val="top"/>
            <w:gridSpan w:val="3"/>
          </w:tcPr>
          <w:p>
            <w:pPr>
              <w:pStyle w:val="TableText"/>
              <w:ind w:left="218"/>
              <w:spacing w:before="119" w:line="206" w:lineRule="auto"/>
              <w:rPr/>
            </w:pPr>
            <w:r>
              <w:rPr>
                <w:b/>
                <w:bCs/>
                <w:color w:val="FFFFFF"/>
                <w:spacing w:val="-4"/>
              </w:rPr>
              <w:t>公司代码</w:t>
            </w:r>
            <w:r>
              <w:rPr>
                <w:color w:val="FFFFFF"/>
                <w:spacing w:val="34"/>
              </w:rPr>
              <w:t xml:space="preserve">   </w:t>
            </w:r>
            <w:r>
              <w:rPr>
                <w:b/>
                <w:bCs/>
                <w:color w:val="FFFFFF"/>
                <w:spacing w:val="-4"/>
              </w:rPr>
              <w:t>公司简称</w:t>
            </w:r>
            <w:r>
              <w:rPr>
                <w:color w:val="FFFFFF"/>
                <w:spacing w:val="6"/>
              </w:rPr>
              <w:t xml:space="preserve">    </w:t>
            </w:r>
            <w:r>
              <w:rPr>
                <w:b/>
                <w:bCs/>
                <w:color w:val="FFFFFF"/>
                <w:spacing w:val="-4"/>
              </w:rPr>
              <w:t>函件类别</w:t>
            </w:r>
          </w:p>
        </w:tc>
        <w:tc>
          <w:tcPr>
            <w:shd w:val="clear" w:fill="C0504D"/>
            <w:tcW w:w="4999" w:type="dxa"/>
            <w:vAlign w:val="top"/>
          </w:tcPr>
          <w:p>
            <w:pPr>
              <w:pStyle w:val="TableText"/>
              <w:ind w:left="2077"/>
              <w:spacing w:before="80" w:line="219" w:lineRule="auto"/>
              <w:rPr/>
            </w:pPr>
            <w:r>
              <w:rPr>
                <w:b/>
                <w:bCs/>
                <w:color w:val="FFFFFF"/>
                <w:spacing w:val="-4"/>
              </w:rPr>
              <w:t>违规类型</w:t>
            </w:r>
          </w:p>
        </w:tc>
      </w:tr>
      <w:tr>
        <w:trPr>
          <w:trHeight w:val="1465" w:hRule="atLeast"/>
        </w:trPr>
        <w:tc>
          <w:tcPr>
            <w:tcW w:w="1284" w:type="dxa"/>
            <w:vAlign w:val="top"/>
          </w:tcPr>
          <w:p>
            <w:pPr>
              <w:pStyle w:val="TableText"/>
              <w:ind w:left="315"/>
              <w:spacing w:before="183" w:line="183" w:lineRule="auto"/>
              <w:rPr/>
            </w:pPr>
            <w:r>
              <w:rPr>
                <w:spacing w:val="-2"/>
              </w:rPr>
              <w:t>600227</w:t>
            </w:r>
          </w:p>
        </w:tc>
        <w:tc>
          <w:tcPr>
            <w:tcW w:w="1209" w:type="dxa"/>
            <w:vAlign w:val="top"/>
          </w:tcPr>
          <w:p>
            <w:pPr>
              <w:pStyle w:val="TableText"/>
              <w:ind w:left="281"/>
              <w:spacing w:before="129" w:line="219" w:lineRule="auto"/>
              <w:rPr/>
            </w:pPr>
            <w:r>
              <w:rPr>
                <w:spacing w:val="2"/>
              </w:rPr>
              <w:t>赤天化</w:t>
            </w:r>
          </w:p>
        </w:tc>
        <w:tc>
          <w:tcPr>
            <w:tcW w:w="1328" w:type="dxa"/>
            <w:vAlign w:val="top"/>
          </w:tcPr>
          <w:p>
            <w:pPr>
              <w:pStyle w:val="TableText"/>
              <w:ind w:left="232"/>
              <w:spacing w:before="139" w:line="219" w:lineRule="auto"/>
              <w:rPr/>
            </w:pPr>
            <w:r>
              <w:rPr>
                <w:spacing w:val="-2"/>
              </w:rPr>
              <w:t>监管警示</w:t>
            </w:r>
          </w:p>
        </w:tc>
        <w:tc>
          <w:tcPr>
            <w:tcW w:w="4999" w:type="dxa"/>
            <w:vAlign w:val="top"/>
          </w:tcPr>
          <w:p>
            <w:pPr>
              <w:pStyle w:val="TableText"/>
              <w:ind w:left="14"/>
              <w:spacing w:before="116" w:line="219" w:lineRule="auto"/>
              <w:rPr/>
            </w:pPr>
            <w:r>
              <w:rPr>
                <w:spacing w:val="-1"/>
              </w:rPr>
              <w:t>公司募投项目于2019年10月</w:t>
            </w:r>
            <w:r>
              <w:rPr>
                <w:b/>
                <w:bCs/>
                <w:spacing w:val="-1"/>
              </w:rPr>
              <w:t>未达到预定可使用状</w:t>
            </w:r>
          </w:p>
          <w:p>
            <w:pPr>
              <w:pStyle w:val="TableText"/>
              <w:ind w:left="17"/>
              <w:spacing w:before="120" w:line="219" w:lineRule="auto"/>
              <w:rPr/>
            </w:pPr>
            <w:r>
              <w:rPr>
                <w:b/>
                <w:bCs/>
              </w:rPr>
              <w:t>态</w:t>
            </w:r>
            <w:r>
              <w:rPr/>
              <w:t>，但未及时履行</w:t>
            </w:r>
            <w:r>
              <w:rPr>
                <w:b/>
                <w:bCs/>
              </w:rPr>
              <w:t>募投项目延期</w:t>
            </w:r>
            <w:r>
              <w:rPr/>
              <w:t>的董事会审议</w:t>
            </w:r>
            <w:r>
              <w:rPr>
                <w:spacing w:val="-1"/>
              </w:rPr>
              <w:t>程序和</w:t>
            </w:r>
          </w:p>
          <w:p>
            <w:pPr>
              <w:pStyle w:val="TableText"/>
              <w:ind w:left="14" w:right="573"/>
              <w:spacing w:before="113" w:line="266" w:lineRule="auto"/>
              <w:rPr/>
            </w:pPr>
            <w:r>
              <w:rPr>
                <w:spacing w:val="-1"/>
              </w:rPr>
              <w:t>信息披露义务，直至2023年9月7日才予以审议披</w:t>
            </w:r>
            <w:r>
              <w:rPr>
                <w:spacing w:val="14"/>
              </w:rPr>
              <w:t xml:space="preserve"> </w:t>
            </w:r>
            <w:r>
              <w:rPr>
                <w:spacing w:val="-2"/>
              </w:rPr>
              <w:t>露。</w:t>
            </w:r>
          </w:p>
        </w:tc>
      </w:tr>
      <w:tr>
        <w:trPr>
          <w:trHeight w:val="728" w:hRule="atLeast"/>
        </w:trPr>
        <w:tc>
          <w:tcPr>
            <w:shd w:val="clear" w:fill="F1DCDB"/>
            <w:tcW w:w="1284" w:type="dxa"/>
            <w:vAlign w:val="top"/>
          </w:tcPr>
          <w:p>
            <w:pPr>
              <w:pStyle w:val="TableText"/>
              <w:ind w:left="315"/>
              <w:spacing w:before="178" w:line="183" w:lineRule="auto"/>
              <w:rPr/>
            </w:pPr>
            <w:r>
              <w:rPr>
                <w:spacing w:val="-2"/>
              </w:rPr>
              <w:t>603778</w:t>
            </w:r>
          </w:p>
        </w:tc>
        <w:tc>
          <w:tcPr>
            <w:shd w:val="clear" w:fill="F1DBDB"/>
            <w:tcW w:w="1209" w:type="dxa"/>
            <w:vAlign w:val="top"/>
          </w:tcPr>
          <w:p>
            <w:pPr>
              <w:pStyle w:val="TableText"/>
              <w:ind w:left="171"/>
              <w:spacing w:before="123" w:line="219" w:lineRule="auto"/>
              <w:rPr/>
            </w:pPr>
            <w:r>
              <w:rPr>
                <w:color w:val="7C2900"/>
                <w:spacing w:val="1"/>
              </w:rPr>
              <w:t>国晟科</w:t>
            </w:r>
            <w:r>
              <w:rPr>
                <w:spacing w:val="1"/>
              </w:rPr>
              <w:t>技</w:t>
            </w:r>
          </w:p>
        </w:tc>
        <w:tc>
          <w:tcPr>
            <w:shd w:val="clear" w:fill="F1DCDB"/>
            <w:tcW w:w="1328" w:type="dxa"/>
            <w:vAlign w:val="top"/>
          </w:tcPr>
          <w:p>
            <w:pPr>
              <w:pStyle w:val="TableText"/>
              <w:ind w:left="232"/>
              <w:spacing w:before="124" w:line="219" w:lineRule="auto"/>
              <w:rPr/>
            </w:pPr>
            <w:r>
              <w:rPr>
                <w:spacing w:val="-2"/>
              </w:rPr>
              <w:t>监管警示</w:t>
            </w:r>
          </w:p>
        </w:tc>
        <w:tc>
          <w:tcPr>
            <w:shd w:val="clear" w:fill="F1DBDB"/>
            <w:tcW w:w="4999" w:type="dxa"/>
            <w:vAlign w:val="top"/>
          </w:tcPr>
          <w:p>
            <w:pPr>
              <w:pStyle w:val="TableText"/>
              <w:ind w:left="14"/>
              <w:spacing w:before="90" w:line="391" w:lineRule="exact"/>
              <w:rPr/>
            </w:pPr>
            <w:r>
              <w:rPr>
                <w:position w:val="13"/>
              </w:rPr>
              <w:t>近三年合同</w:t>
            </w:r>
            <w:r>
              <w:rPr>
                <w:b/>
                <w:bCs/>
                <w:position w:val="13"/>
              </w:rPr>
              <w:t>资产减值确认</w:t>
            </w:r>
            <w:r>
              <w:rPr>
                <w:position w:val="13"/>
              </w:rPr>
              <w:t>不准确；2022年</w:t>
            </w:r>
            <w:r>
              <w:rPr>
                <w:b/>
                <w:bCs/>
                <w:position w:val="13"/>
              </w:rPr>
              <w:t>成本支出</w:t>
            </w:r>
            <w:r>
              <w:rPr>
                <w:position w:val="13"/>
              </w:rPr>
              <w:t>列</w:t>
            </w:r>
          </w:p>
          <w:p>
            <w:pPr>
              <w:pStyle w:val="TableText"/>
              <w:ind w:left="14"/>
              <w:spacing w:line="208" w:lineRule="auto"/>
              <w:rPr/>
            </w:pPr>
            <w:r>
              <w:rPr>
                <w:spacing w:val="-2"/>
              </w:rPr>
              <w:t>报不准确；公司</w:t>
            </w:r>
            <w:r>
              <w:rPr>
                <w:b/>
                <w:bCs/>
                <w:spacing w:val="-2"/>
              </w:rPr>
              <w:t>治理及内部控制</w:t>
            </w:r>
            <w:r>
              <w:rPr>
                <w:spacing w:val="-2"/>
              </w:rPr>
              <w:t>不健全。</w:t>
            </w:r>
          </w:p>
        </w:tc>
      </w:tr>
      <w:tr>
        <w:trPr>
          <w:trHeight w:val="723" w:hRule="atLeast"/>
        </w:trPr>
        <w:tc>
          <w:tcPr>
            <w:tcW w:w="1284" w:type="dxa"/>
            <w:vAlign w:val="top"/>
          </w:tcPr>
          <w:p>
            <w:pPr>
              <w:pStyle w:val="TableText"/>
              <w:ind w:left="315"/>
              <w:spacing w:before="140" w:line="183" w:lineRule="auto"/>
              <w:rPr/>
            </w:pPr>
            <w:r>
              <w:rPr>
                <w:spacing w:val="-2"/>
              </w:rPr>
              <w:t>603758</w:t>
            </w:r>
          </w:p>
        </w:tc>
        <w:tc>
          <w:tcPr>
            <w:tcW w:w="1209" w:type="dxa"/>
            <w:vAlign w:val="top"/>
          </w:tcPr>
          <w:p>
            <w:pPr>
              <w:pStyle w:val="TableText"/>
              <w:ind w:left="171"/>
              <w:spacing w:before="106" w:line="219" w:lineRule="auto"/>
              <w:rPr/>
            </w:pPr>
            <w:r>
              <w:rPr>
                <w:spacing w:val="-2"/>
              </w:rPr>
              <w:t>秦安股份</w:t>
            </w:r>
          </w:p>
        </w:tc>
        <w:tc>
          <w:tcPr>
            <w:tcW w:w="1328" w:type="dxa"/>
            <w:vAlign w:val="top"/>
          </w:tcPr>
          <w:p>
            <w:pPr>
              <w:pStyle w:val="TableText"/>
              <w:ind w:left="232"/>
              <w:spacing w:before="106" w:line="219" w:lineRule="auto"/>
              <w:rPr/>
            </w:pPr>
            <w:r>
              <w:rPr>
                <w:spacing w:val="-2"/>
              </w:rPr>
              <w:t>监管警示</w:t>
            </w:r>
          </w:p>
        </w:tc>
        <w:tc>
          <w:tcPr>
            <w:tcW w:w="4999" w:type="dxa"/>
            <w:vAlign w:val="top"/>
          </w:tcPr>
          <w:p>
            <w:pPr>
              <w:pStyle w:val="TableText"/>
              <w:ind w:left="14" w:right="244"/>
              <w:spacing w:before="123" w:line="259" w:lineRule="auto"/>
              <w:rPr/>
            </w:pPr>
            <w:r>
              <w:rPr>
                <w:spacing w:val="-1"/>
              </w:rPr>
              <w:t>公司时任副总经理在</w:t>
            </w:r>
            <w:r>
              <w:rPr>
                <w:b/>
                <w:bCs/>
                <w:spacing w:val="-1"/>
              </w:rPr>
              <w:t>原任期届满后6个月</w:t>
            </w:r>
            <w:r>
              <w:rPr>
                <w:spacing w:val="-1"/>
              </w:rPr>
              <w:t>内超比例减</w:t>
            </w:r>
            <w:r>
              <w:rPr>
                <w:spacing w:val="7"/>
              </w:rPr>
              <w:t xml:space="preserve"> </w:t>
            </w:r>
            <w:r>
              <w:rPr>
                <w:spacing w:val="-1"/>
              </w:rPr>
              <w:t>持公司股份。</w:t>
            </w:r>
          </w:p>
        </w:tc>
      </w:tr>
    </w:tbl>
    <w:p>
      <w:pPr>
        <w:pStyle w:val="BodyText"/>
        <w:spacing w:line="313" w:lineRule="auto"/>
        <w:rPr/>
      </w:pPr>
      <w:r/>
    </w:p>
    <w:p>
      <w:pPr>
        <w:pStyle w:val="BodyText"/>
        <w:spacing w:line="314" w:lineRule="auto"/>
        <w:rPr/>
      </w:pPr>
      <w:r/>
    </w:p>
    <w:p>
      <w:pPr>
        <w:ind w:left="1073"/>
        <w:spacing w:before="78" w:line="221" w:lineRule="auto"/>
        <w:rPr>
          <w:rFonts w:ascii="SimHei" w:hAnsi="SimHei" w:eastAsia="SimHei" w:cs="SimHei"/>
          <w:sz w:val="24"/>
          <w:szCs w:val="24"/>
        </w:rPr>
      </w:pPr>
      <w:r>
        <w:rPr>
          <w:rFonts w:ascii="SimHei" w:hAnsi="SimHei" w:eastAsia="SimHei" w:cs="SimHei"/>
          <w:sz w:val="24"/>
          <w:szCs w:val="24"/>
          <w:b/>
          <w:bCs/>
          <w:spacing w:val="12"/>
        </w:rPr>
        <w:t>(2)函件统计</w:t>
      </w:r>
    </w:p>
    <w:p>
      <w:pPr>
        <w:pStyle w:val="BodyText"/>
        <w:spacing w:line="286" w:lineRule="auto"/>
        <w:rPr/>
      </w:pPr>
      <w:r/>
    </w:p>
    <w:p>
      <w:pPr>
        <w:ind w:left="900"/>
        <w:spacing w:before="69" w:line="213" w:lineRule="auto"/>
        <w:rPr>
          <w:rFonts w:ascii="SimHei" w:hAnsi="SimHei" w:eastAsia="SimHei" w:cs="SimHei"/>
          <w:sz w:val="21"/>
          <w:szCs w:val="21"/>
        </w:rPr>
      </w:pPr>
      <w:r>
        <w:rPr>
          <w:rFonts w:ascii="SimHei" w:hAnsi="SimHei" w:eastAsia="SimHei" w:cs="SimHei"/>
          <w:sz w:val="21"/>
          <w:szCs w:val="21"/>
          <w:spacing w:val="9"/>
        </w:rPr>
        <w:t>2024年1月1日-1月7日，上交所未发出监管问询函。</w:t>
      </w:r>
    </w:p>
    <w:p>
      <w:pPr>
        <w:pStyle w:val="BodyText"/>
        <w:spacing w:line="301" w:lineRule="auto"/>
        <w:rPr/>
      </w:pPr>
      <w:r/>
    </w:p>
    <w:p>
      <w:pPr>
        <w:pStyle w:val="BodyText"/>
        <w:spacing w:line="301" w:lineRule="auto"/>
        <w:rPr/>
      </w:pPr>
      <w:r/>
    </w:p>
    <w:p>
      <w:pPr>
        <w:pStyle w:val="BodyText"/>
        <w:spacing w:line="301" w:lineRule="auto"/>
        <w:rPr/>
      </w:pPr>
      <w:r/>
    </w:p>
    <w:p>
      <w:pPr>
        <w:ind w:left="923"/>
        <w:spacing w:before="78" w:line="223" w:lineRule="auto"/>
        <w:outlineLvl w:val="0"/>
        <w:rPr>
          <w:rFonts w:ascii="SimHei" w:hAnsi="SimHei" w:eastAsia="SimHei" w:cs="SimHei"/>
          <w:sz w:val="24"/>
          <w:szCs w:val="24"/>
        </w:rPr>
      </w:pPr>
      <w:r>
        <w:rPr>
          <w:rFonts w:ascii="SimHei" w:hAnsi="SimHei" w:eastAsia="SimHei" w:cs="SimHei"/>
          <w:sz w:val="24"/>
          <w:szCs w:val="24"/>
          <w:b/>
          <w:bCs/>
          <w:spacing w:val="-7"/>
        </w:rPr>
        <w:t>2、</w:t>
      </w:r>
      <w:r>
        <w:rPr>
          <w:rFonts w:ascii="SimHei" w:hAnsi="SimHei" w:eastAsia="SimHei" w:cs="SimHei"/>
          <w:sz w:val="24"/>
          <w:szCs w:val="24"/>
          <w:spacing w:val="-62"/>
        </w:rPr>
        <w:t xml:space="preserve"> </w:t>
      </w:r>
      <w:r>
        <w:rPr>
          <w:rFonts w:ascii="SimHei" w:hAnsi="SimHei" w:eastAsia="SimHei" w:cs="SimHei"/>
          <w:sz w:val="24"/>
          <w:szCs w:val="24"/>
          <w:b/>
          <w:bCs/>
          <w:spacing w:val="-7"/>
        </w:rPr>
        <w:t>市场交易监管</w:t>
      </w:r>
    </w:p>
    <w:p>
      <w:pPr>
        <w:pStyle w:val="BodyText"/>
        <w:spacing w:line="261" w:lineRule="auto"/>
        <w:rPr/>
      </w:pPr>
      <w:r/>
    </w:p>
    <w:p>
      <w:pPr>
        <w:spacing w:before="69" w:line="409" w:lineRule="exact"/>
        <w:jc w:val="right"/>
        <w:rPr>
          <w:rFonts w:ascii="SimHei" w:hAnsi="SimHei" w:eastAsia="SimHei" w:cs="SimHei"/>
          <w:sz w:val="21"/>
          <w:szCs w:val="21"/>
        </w:rPr>
      </w:pPr>
      <w:r>
        <w:rPr>
          <w:rFonts w:ascii="SimHei" w:hAnsi="SimHei" w:eastAsia="SimHei" w:cs="SimHei"/>
          <w:sz w:val="21"/>
          <w:szCs w:val="21"/>
          <w:spacing w:val="11"/>
          <w:position w:val="15"/>
        </w:rPr>
        <w:t>2024年1月1日-1月7日，上交所对27起拉抬打压、虚假申报等证券异常交易</w:t>
      </w:r>
      <w:r>
        <w:rPr>
          <w:rFonts w:ascii="SimHei" w:hAnsi="SimHei" w:eastAsia="SimHei" w:cs="SimHei"/>
          <w:sz w:val="21"/>
          <w:szCs w:val="21"/>
          <w:spacing w:val="10"/>
          <w:position w:val="15"/>
        </w:rPr>
        <w:t>行为采取了书面警示等监管措施，</w:t>
      </w:r>
    </w:p>
    <w:p>
      <w:pPr>
        <w:spacing w:before="1" w:line="187" w:lineRule="auto"/>
        <w:rPr>
          <w:rFonts w:ascii="SimHei" w:hAnsi="SimHei" w:eastAsia="SimHei" w:cs="SimHei"/>
          <w:sz w:val="21"/>
          <w:szCs w:val="21"/>
        </w:rPr>
      </w:pPr>
      <w:r>
        <w:rPr>
          <w:rFonts w:ascii="SimHei" w:hAnsi="SimHei" w:eastAsia="SimHei" w:cs="SimHei"/>
          <w:sz w:val="21"/>
          <w:szCs w:val="21"/>
          <w:spacing w:val="8"/>
        </w:rPr>
        <w:t>对14起上市公司重大事项等进行专项核查。</w:t>
      </w:r>
    </w:p>
    <w:p>
      <w:pPr>
        <w:spacing w:line="187" w:lineRule="auto"/>
        <w:sectPr>
          <w:type w:val="continuous"/>
          <w:pgSz w:w="11910" w:h="16840"/>
          <w:pgMar w:top="400" w:right="465" w:bottom="0" w:left="429" w:header="0" w:footer="0" w:gutter="0"/>
          <w:cols w:equalWidth="0" w:num="1">
            <w:col w:w="11015" w:space="0"/>
          </w:cols>
        </w:sectPr>
        <w:rPr>
          <w:rFonts w:ascii="SimHei" w:hAnsi="SimHei" w:eastAsia="SimHei" w:cs="SimHei"/>
          <w:sz w:val="21"/>
          <w:szCs w:val="21"/>
        </w:rPr>
      </w:pPr>
    </w:p>
    <w:p>
      <w:pPr>
        <w:ind w:firstLine="350"/>
        <w:spacing w:before="10" w:line="819" w:lineRule="exact"/>
        <w:rPr/>
      </w:pPr>
      <w:r>
        <w:rPr>
          <w:position w:val="-16"/>
        </w:rPr>
        <w:pict>
          <v:group id="_x0000_s24" style="mso-position-vertical-relative:line;mso-position-horizontal-relative:char;width:135pt;height:41pt;" filled="false" stroked="false" coordsize="2700,820" coordorigin="0,0">
            <v:shape id="_x0000_s26" style="position:absolute;left:0;top:0;width:2700;height:820;" filled="false" stroked="false" type="#_x0000_t75">
              <v:imagedata o:title="" r:id="rId12"/>
            </v:shape>
            <v:shape id="_x0000_s28" style="position:absolute;left:-20;top:-20;width:2740;height:860;" filled="false" stroked="false" type="#_x0000_t202">
              <v:fill on="false"/>
              <v:stroke on="false"/>
              <v:path/>
              <v:imagedata o:title=""/>
              <o:lock v:ext="edit" aspectratio="false"/>
              <v:textbox inset="0mm,0mm,0mm,0mm">
                <w:txbxContent>
                  <w:p>
                    <w:pPr>
                      <w:ind w:left="414"/>
                      <w:spacing w:before="275" w:line="222" w:lineRule="auto"/>
                      <w:rPr>
                        <w:rFonts w:ascii="SimHei" w:hAnsi="SimHei" w:eastAsia="SimHei" w:cs="SimHei"/>
                        <w:sz w:val="29"/>
                        <w:szCs w:val="29"/>
                      </w:rPr>
                    </w:pPr>
                    <w:r>
                      <w:rPr>
                        <w:rFonts w:ascii="SimHei" w:hAnsi="SimHei" w:eastAsia="SimHei" w:cs="SimHei"/>
                        <w:sz w:val="29"/>
                        <w:szCs w:val="29"/>
                        <w:b/>
                        <w:bCs/>
                        <w:color w:val="FFFFFF"/>
                        <w:spacing w:val="-14"/>
                      </w:rPr>
                      <w:t>深交所监管动态</w:t>
                    </w:r>
                  </w:p>
                </w:txbxContent>
              </v:textbox>
            </v:shape>
          </v:group>
        </w:pict>
      </w:r>
    </w:p>
    <w:p>
      <w:pPr>
        <w:pStyle w:val="BodyText"/>
        <w:spacing w:line="367" w:lineRule="auto"/>
        <w:rPr/>
      </w:pPr>
      <w:r/>
    </w:p>
    <w:p>
      <w:pPr>
        <w:ind w:left="523"/>
        <w:spacing w:before="75" w:line="222" w:lineRule="auto"/>
        <w:outlineLvl w:val="0"/>
        <w:rPr>
          <w:rFonts w:ascii="SimHei" w:hAnsi="SimHei" w:eastAsia="SimHei" w:cs="SimHei"/>
          <w:sz w:val="23"/>
          <w:szCs w:val="23"/>
        </w:rPr>
      </w:pPr>
      <w:r>
        <w:rPr>
          <w:rFonts w:ascii="SimHei" w:hAnsi="SimHei" w:eastAsia="SimHei" w:cs="SimHei"/>
          <w:sz w:val="23"/>
          <w:szCs w:val="23"/>
          <w:b/>
          <w:bCs/>
          <w:spacing w:val="6"/>
        </w:rPr>
        <w:t>1、上市公司监管动态</w:t>
      </w:r>
    </w:p>
    <w:p>
      <w:pPr>
        <w:pStyle w:val="BodyText"/>
        <w:spacing w:line="279" w:lineRule="auto"/>
        <w:rPr/>
      </w:pPr>
      <w:r/>
    </w:p>
    <w:p>
      <w:pPr>
        <w:spacing w:before="75" w:line="402" w:lineRule="exact"/>
        <w:jc w:val="right"/>
        <w:rPr>
          <w:rFonts w:ascii="SimHei" w:hAnsi="SimHei" w:eastAsia="SimHei" w:cs="SimHei"/>
          <w:sz w:val="23"/>
          <w:szCs w:val="23"/>
        </w:rPr>
      </w:pPr>
      <w:r>
        <w:rPr>
          <w:rFonts w:ascii="SimHei" w:hAnsi="SimHei" w:eastAsia="SimHei" w:cs="SimHei"/>
          <w:sz w:val="23"/>
          <w:szCs w:val="23"/>
          <w:spacing w:val="-5"/>
          <w:position w:val="13"/>
        </w:rPr>
        <w:t>2024年1月1日-1月7日，深交所发出10份监管函，对7宗行为予以纪律处分；共发出关注函9份，非许可类重</w:t>
      </w:r>
    </w:p>
    <w:p>
      <w:pPr>
        <w:spacing w:line="222" w:lineRule="auto"/>
        <w:rPr>
          <w:rFonts w:ascii="SimHei" w:hAnsi="SimHei" w:eastAsia="SimHei" w:cs="SimHei"/>
          <w:sz w:val="23"/>
          <w:szCs w:val="23"/>
        </w:rPr>
      </w:pPr>
      <w:r>
        <w:rPr>
          <w:rFonts w:ascii="SimHei" w:hAnsi="SimHei" w:eastAsia="SimHei" w:cs="SimHei"/>
          <w:sz w:val="23"/>
          <w:szCs w:val="23"/>
          <w:spacing w:val="-10"/>
        </w:rPr>
        <w:t>组问询函1份。</w:t>
      </w:r>
    </w:p>
    <w:p>
      <w:pPr>
        <w:ind w:firstLine="1390"/>
        <w:spacing w:before="93" w:line="4460" w:lineRule="exact"/>
        <w:rPr/>
      </w:pPr>
      <w:r>
        <w:rPr>
          <w:position w:val="-89"/>
        </w:rPr>
        <w:drawing>
          <wp:inline distT="0" distB="0" distL="0" distR="0">
            <wp:extent cx="5530863" cy="2832040"/>
            <wp:effectExtent l="0" t="0" r="0" b="0"/>
            <wp:docPr id="14" name="IM 14"/>
            <wp:cNvGraphicFramePr/>
            <a:graphic>
              <a:graphicData uri="http://schemas.openxmlformats.org/drawingml/2006/picture">
                <pic:pic>
                  <pic:nvPicPr>
                    <pic:cNvPr id="14" name="IM 14"/>
                    <pic:cNvPicPr/>
                  </pic:nvPicPr>
                  <pic:blipFill>
                    <a:blip r:embed="rId13"/>
                    <a:stretch>
                      <a:fillRect/>
                    </a:stretch>
                  </pic:blipFill>
                  <pic:spPr>
                    <a:xfrm rot="0">
                      <a:off x="0" y="0"/>
                      <a:ext cx="5530863" cy="2832040"/>
                    </a:xfrm>
                    <a:prstGeom prst="rect">
                      <a:avLst/>
                    </a:prstGeom>
                  </pic:spPr>
                </pic:pic>
              </a:graphicData>
            </a:graphic>
          </wp:inline>
        </w:drawing>
      </w:r>
    </w:p>
    <w:p>
      <w:pPr>
        <w:ind w:left="1083"/>
        <w:spacing w:before="297" w:line="222" w:lineRule="auto"/>
        <w:rPr>
          <w:rFonts w:ascii="SimHei" w:hAnsi="SimHei" w:eastAsia="SimHei" w:cs="SimHei"/>
          <w:sz w:val="23"/>
          <w:szCs w:val="23"/>
        </w:rPr>
      </w:pPr>
      <w:r>
        <w:rPr>
          <w:rFonts w:ascii="SimHei" w:hAnsi="SimHei" w:eastAsia="SimHei" w:cs="SimHei"/>
          <w:sz w:val="23"/>
          <w:szCs w:val="23"/>
          <w:b/>
          <w:bCs/>
          <w:spacing w:val="15"/>
        </w:rPr>
        <w:t>(1)纪律处分及监管措施</w:t>
      </w:r>
    </w:p>
    <w:p>
      <w:pPr>
        <w:rPr/>
      </w:pPr>
      <w:r/>
    </w:p>
    <w:tbl>
      <w:tblPr>
        <w:tblStyle w:val="TableNormal"/>
        <w:tblW w:w="9009" w:type="dxa"/>
        <w:tblInd w:w="1000" w:type="dxa"/>
        <w:tblLayout w:type="fixed"/>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blGrid>
        <w:gridCol w:w="1473"/>
        <w:gridCol w:w="1478"/>
        <w:gridCol w:w="1508"/>
        <w:gridCol w:w="4550"/>
      </w:tblGrid>
      <w:tr>
        <w:trPr>
          <w:trHeight w:val="654" w:hRule="atLeast"/>
        </w:trPr>
        <w:tc>
          <w:tcPr>
            <w:shd w:val="clear" w:fill="4BACC6"/>
            <w:tcW w:w="1473" w:type="dxa"/>
            <w:vAlign w:val="top"/>
          </w:tcPr>
          <w:p>
            <w:pPr>
              <w:pStyle w:val="TableText"/>
              <w:ind w:left="308"/>
              <w:spacing w:before="120" w:line="219" w:lineRule="auto"/>
              <w:rPr/>
            </w:pPr>
            <w:r>
              <w:rPr>
                <w:b/>
                <w:bCs/>
                <w:color w:val="FFFFFF"/>
                <w:spacing w:val="-5"/>
              </w:rPr>
              <w:t>公司代码</w:t>
            </w:r>
          </w:p>
        </w:tc>
        <w:tc>
          <w:tcPr>
            <w:shd w:val="clear" w:fill="4BACC6"/>
            <w:tcW w:w="1478" w:type="dxa"/>
            <w:vAlign w:val="top"/>
          </w:tcPr>
          <w:p>
            <w:pPr>
              <w:pStyle w:val="TableText"/>
              <w:ind w:left="314"/>
              <w:spacing w:before="89" w:line="219" w:lineRule="auto"/>
              <w:rPr/>
            </w:pPr>
            <w:r>
              <w:rPr>
                <w:b/>
                <w:bCs/>
                <w:color w:val="FFFFFF"/>
                <w:spacing w:val="-5"/>
              </w:rPr>
              <w:t>公司简称</w:t>
            </w:r>
          </w:p>
        </w:tc>
        <w:tc>
          <w:tcPr>
            <w:shd w:val="clear" w:fill="4BACC6"/>
            <w:tcW w:w="1508" w:type="dxa"/>
            <w:vAlign w:val="top"/>
          </w:tcPr>
          <w:p>
            <w:pPr>
              <w:pStyle w:val="TableText"/>
              <w:ind w:left="327"/>
              <w:spacing w:before="110" w:line="219" w:lineRule="auto"/>
              <w:rPr/>
            </w:pPr>
            <w:r>
              <w:rPr>
                <w:b/>
                <w:bCs/>
                <w:color w:val="FFFFFF"/>
                <w:spacing w:val="-4"/>
              </w:rPr>
              <w:t>监管类型</w:t>
            </w:r>
          </w:p>
        </w:tc>
        <w:tc>
          <w:tcPr>
            <w:shd w:val="clear" w:fill="4BACC6"/>
            <w:tcW w:w="4550" w:type="dxa"/>
            <w:vAlign w:val="top"/>
          </w:tcPr>
          <w:p>
            <w:pPr>
              <w:pStyle w:val="TableText"/>
              <w:ind w:left="1838"/>
              <w:spacing w:before="121" w:line="220" w:lineRule="auto"/>
              <w:rPr/>
            </w:pPr>
            <w:r>
              <w:rPr>
                <w:b/>
                <w:bCs/>
                <w:color w:val="FFFFFF"/>
                <w:spacing w:val="2"/>
              </w:rPr>
              <w:t>处理事由</w:t>
            </w:r>
          </w:p>
        </w:tc>
      </w:tr>
      <w:tr>
        <w:trPr>
          <w:trHeight w:val="1079" w:hRule="atLeast"/>
        </w:trPr>
        <w:tc>
          <w:tcPr>
            <w:tcW w:w="1473" w:type="dxa"/>
            <w:vAlign w:val="top"/>
          </w:tcPr>
          <w:p>
            <w:pPr>
              <w:spacing w:line="421" w:lineRule="auto"/>
              <w:rPr>
                <w:rFonts w:ascii="Arial"/>
                <w:sz w:val="21"/>
              </w:rPr>
            </w:pPr>
            <w:r/>
          </w:p>
          <w:p>
            <w:pPr>
              <w:pStyle w:val="TableText"/>
              <w:ind w:left="417"/>
              <w:spacing w:before="68" w:line="183" w:lineRule="auto"/>
              <w:rPr/>
            </w:pPr>
            <w:r>
              <w:rPr>
                <w:b/>
                <w:bCs/>
                <w:spacing w:val="-4"/>
              </w:rPr>
              <w:t>000889</w:t>
            </w:r>
          </w:p>
        </w:tc>
        <w:tc>
          <w:tcPr>
            <w:tcW w:w="1478" w:type="dxa"/>
            <w:vAlign w:val="top"/>
          </w:tcPr>
          <w:p>
            <w:pPr>
              <w:spacing w:line="369" w:lineRule="auto"/>
              <w:rPr>
                <w:rFonts w:ascii="Arial"/>
                <w:sz w:val="21"/>
              </w:rPr>
            </w:pPr>
            <w:r/>
          </w:p>
          <w:p>
            <w:pPr>
              <w:pStyle w:val="TableText"/>
              <w:ind w:left="411"/>
              <w:spacing w:before="69" w:line="220" w:lineRule="auto"/>
              <w:rPr/>
            </w:pPr>
            <w:r>
              <w:rPr>
                <w:spacing w:val="-2"/>
              </w:rPr>
              <w:t>ST中嘉</w:t>
            </w:r>
          </w:p>
        </w:tc>
        <w:tc>
          <w:tcPr>
            <w:tcW w:w="1508" w:type="dxa"/>
            <w:vAlign w:val="top"/>
          </w:tcPr>
          <w:p>
            <w:pPr>
              <w:spacing w:line="369" w:lineRule="auto"/>
              <w:rPr>
                <w:rFonts w:ascii="Arial"/>
                <w:sz w:val="21"/>
              </w:rPr>
            </w:pPr>
            <w:r/>
          </w:p>
          <w:p>
            <w:pPr>
              <w:pStyle w:val="TableText"/>
              <w:ind w:left="433"/>
              <w:spacing w:before="68" w:line="219" w:lineRule="auto"/>
              <w:rPr/>
            </w:pPr>
            <w:r>
              <w:rPr>
                <w:spacing w:val="7"/>
              </w:rPr>
              <w:t>监管函</w:t>
            </w:r>
          </w:p>
        </w:tc>
        <w:tc>
          <w:tcPr>
            <w:tcW w:w="4550" w:type="dxa"/>
            <w:vAlign w:val="top"/>
          </w:tcPr>
          <w:p>
            <w:pPr>
              <w:pStyle w:val="TableText"/>
              <w:ind w:left="105"/>
              <w:spacing w:before="87" w:line="218" w:lineRule="auto"/>
              <w:rPr/>
            </w:pPr>
            <w:r>
              <w:rPr/>
              <w:t>公司未按规定在2023年半年度报告中披露报</w:t>
            </w:r>
          </w:p>
          <w:p>
            <w:pPr>
              <w:pStyle w:val="TableText"/>
              <w:ind w:left="107" w:right="244" w:hanging="2"/>
              <w:spacing w:before="111" w:line="267" w:lineRule="auto"/>
              <w:rPr/>
            </w:pPr>
            <w:r>
              <w:rPr>
                <w:spacing w:val="-3"/>
              </w:rPr>
              <w:t>告期内公司</w:t>
            </w:r>
            <w:r>
              <w:rPr>
                <w:b/>
                <w:bCs/>
                <w:spacing w:val="-3"/>
              </w:rPr>
              <w:t>实际控制人存在未履行法院生效法</w:t>
            </w:r>
            <w:r>
              <w:rPr>
                <w:spacing w:val="15"/>
              </w:rPr>
              <w:t xml:space="preserve"> </w:t>
            </w:r>
            <w:r>
              <w:rPr>
                <w:b/>
                <w:bCs/>
                <w:spacing w:val="-2"/>
              </w:rPr>
              <w:t>律文书确定的义务</w:t>
            </w:r>
            <w:r>
              <w:rPr>
                <w:spacing w:val="-2"/>
              </w:rPr>
              <w:t>等诚信状况。</w:t>
            </w:r>
          </w:p>
        </w:tc>
      </w:tr>
      <w:tr>
        <w:trPr>
          <w:trHeight w:val="1078" w:hRule="atLeast"/>
        </w:trPr>
        <w:tc>
          <w:tcPr>
            <w:shd w:val="clear" w:fill="B8CCE4"/>
            <w:tcW w:w="1473" w:type="dxa"/>
            <w:vAlign w:val="top"/>
          </w:tcPr>
          <w:p>
            <w:pPr>
              <w:spacing w:line="421" w:lineRule="auto"/>
              <w:rPr>
                <w:rFonts w:ascii="Arial"/>
                <w:sz w:val="21"/>
              </w:rPr>
            </w:pPr>
            <w:r/>
          </w:p>
          <w:p>
            <w:pPr>
              <w:pStyle w:val="TableText"/>
              <w:ind w:left="417"/>
              <w:spacing w:before="68" w:line="184" w:lineRule="auto"/>
              <w:rPr/>
            </w:pPr>
            <w:r>
              <w:rPr>
                <w:b/>
                <w:bCs/>
                <w:spacing w:val="-4"/>
              </w:rPr>
              <w:t>300167</w:t>
            </w:r>
          </w:p>
        </w:tc>
        <w:tc>
          <w:tcPr>
            <w:shd w:val="clear" w:fill="B8CCE4"/>
            <w:tcW w:w="1478" w:type="dxa"/>
            <w:vAlign w:val="top"/>
          </w:tcPr>
          <w:p>
            <w:pPr>
              <w:spacing w:line="371" w:lineRule="auto"/>
              <w:rPr>
                <w:rFonts w:ascii="Arial"/>
                <w:sz w:val="21"/>
              </w:rPr>
            </w:pPr>
            <w:r/>
          </w:p>
          <w:p>
            <w:pPr>
              <w:pStyle w:val="TableText"/>
              <w:ind w:left="311"/>
              <w:spacing w:before="68" w:line="221" w:lineRule="auto"/>
              <w:rPr/>
            </w:pPr>
            <w:r>
              <w:rPr>
                <w:spacing w:val="-2"/>
              </w:rPr>
              <w:t>ST迪威迅</w:t>
            </w:r>
          </w:p>
        </w:tc>
        <w:tc>
          <w:tcPr>
            <w:shd w:val="clear" w:fill="B8CCE4"/>
            <w:tcW w:w="1508" w:type="dxa"/>
            <w:vAlign w:val="top"/>
          </w:tcPr>
          <w:p>
            <w:pPr>
              <w:spacing w:line="370" w:lineRule="auto"/>
              <w:rPr>
                <w:rFonts w:ascii="Arial"/>
                <w:sz w:val="21"/>
              </w:rPr>
            </w:pPr>
            <w:r/>
          </w:p>
          <w:p>
            <w:pPr>
              <w:pStyle w:val="TableText"/>
              <w:ind w:left="433"/>
              <w:spacing w:before="68" w:line="219" w:lineRule="auto"/>
              <w:rPr/>
            </w:pPr>
            <w:r>
              <w:rPr>
                <w:spacing w:val="7"/>
              </w:rPr>
              <w:t>监管函</w:t>
            </w:r>
          </w:p>
        </w:tc>
        <w:tc>
          <w:tcPr>
            <w:shd w:val="clear" w:fill="B7CBE3"/>
            <w:tcW w:w="4550" w:type="dxa"/>
            <w:vAlign w:val="top"/>
          </w:tcPr>
          <w:p>
            <w:pPr>
              <w:pStyle w:val="TableText"/>
              <w:ind w:left="105" w:right="234"/>
              <w:spacing w:before="94" w:line="283" w:lineRule="auto"/>
              <w:jc w:val="both"/>
              <w:rPr/>
            </w:pPr>
            <w:r>
              <w:rPr>
                <w:spacing w:val="-2"/>
              </w:rPr>
              <w:t>公司在以前年度</w:t>
            </w:r>
            <w:r>
              <w:rPr>
                <w:b/>
                <w:bCs/>
                <w:spacing w:val="-2"/>
              </w:rPr>
              <w:t>未充分评估部分应收款项存在</w:t>
            </w:r>
            <w:r>
              <w:rPr>
                <w:spacing w:val="1"/>
              </w:rPr>
              <w:t xml:space="preserve"> </w:t>
            </w:r>
            <w:r>
              <w:rPr>
                <w:b/>
                <w:bCs/>
                <w:spacing w:val="-1"/>
              </w:rPr>
              <w:t>的减值迹象</w:t>
            </w:r>
            <w:r>
              <w:rPr>
                <w:spacing w:val="-1"/>
              </w:rPr>
              <w:t>，导致部分应收款项坏账准备计提</w:t>
            </w:r>
            <w:r>
              <w:rPr>
                <w:spacing w:val="7"/>
              </w:rPr>
              <w:t xml:space="preserve"> </w:t>
            </w:r>
            <w:r>
              <w:rPr>
                <w:spacing w:val="-1"/>
              </w:rPr>
              <w:t>不充分、不审慎。</w:t>
            </w:r>
          </w:p>
        </w:tc>
      </w:tr>
      <w:tr>
        <w:trPr>
          <w:trHeight w:val="349" w:hRule="atLeast"/>
        </w:trPr>
        <w:tc>
          <w:tcPr>
            <w:tcW w:w="1473" w:type="dxa"/>
            <w:vAlign w:val="top"/>
          </w:tcPr>
          <w:p>
            <w:pPr>
              <w:pStyle w:val="TableText"/>
              <w:ind w:left="417"/>
              <w:spacing w:before="124" w:line="184" w:lineRule="auto"/>
              <w:rPr/>
            </w:pPr>
            <w:r>
              <w:rPr>
                <w:b/>
                <w:bCs/>
                <w:spacing w:val="-4"/>
              </w:rPr>
              <w:t>001203</w:t>
            </w:r>
          </w:p>
        </w:tc>
        <w:tc>
          <w:tcPr>
            <w:tcW w:w="1478" w:type="dxa"/>
            <w:vAlign w:val="top"/>
          </w:tcPr>
          <w:p>
            <w:pPr>
              <w:pStyle w:val="TableText"/>
              <w:ind w:left="311"/>
              <w:spacing w:before="72" w:line="219" w:lineRule="auto"/>
              <w:rPr/>
            </w:pPr>
            <w:r>
              <w:rPr>
                <w:spacing w:val="-3"/>
              </w:rPr>
              <w:t>大中矿业</w:t>
            </w:r>
          </w:p>
        </w:tc>
        <w:tc>
          <w:tcPr>
            <w:tcW w:w="1508" w:type="dxa"/>
            <w:vAlign w:val="top"/>
          </w:tcPr>
          <w:p>
            <w:pPr>
              <w:pStyle w:val="TableText"/>
              <w:ind w:left="433"/>
              <w:spacing w:before="72" w:line="219" w:lineRule="auto"/>
              <w:rPr/>
            </w:pPr>
            <w:r>
              <w:rPr>
                <w:spacing w:val="7"/>
              </w:rPr>
              <w:t>监管函</w:t>
            </w:r>
          </w:p>
        </w:tc>
        <w:tc>
          <w:tcPr>
            <w:tcW w:w="4550" w:type="dxa"/>
            <w:vAlign w:val="top"/>
          </w:tcPr>
          <w:p>
            <w:pPr>
              <w:pStyle w:val="TableText"/>
              <w:ind w:left="105"/>
              <w:spacing w:before="71" w:line="220" w:lineRule="auto"/>
              <w:rPr/>
            </w:pPr>
            <w:r>
              <w:rPr>
                <w:spacing w:val="-3"/>
              </w:rPr>
              <w:t>关联方</w:t>
            </w:r>
            <w:r>
              <w:rPr>
                <w:b/>
                <w:bCs/>
                <w:spacing w:val="-3"/>
              </w:rPr>
              <w:t>资金占用。</w:t>
            </w:r>
          </w:p>
        </w:tc>
      </w:tr>
      <w:tr>
        <w:trPr>
          <w:trHeight w:val="719" w:hRule="atLeast"/>
        </w:trPr>
        <w:tc>
          <w:tcPr>
            <w:shd w:val="clear" w:fill="B8CCE4"/>
            <w:tcW w:w="1473" w:type="dxa"/>
            <w:vAlign w:val="top"/>
          </w:tcPr>
          <w:p>
            <w:pPr>
              <w:spacing w:line="245" w:lineRule="auto"/>
              <w:rPr>
                <w:rFonts w:ascii="Arial"/>
                <w:sz w:val="21"/>
              </w:rPr>
            </w:pPr>
            <w:r/>
          </w:p>
          <w:p>
            <w:pPr>
              <w:pStyle w:val="TableText"/>
              <w:ind w:left="417"/>
              <w:spacing w:before="68" w:line="184" w:lineRule="auto"/>
              <w:rPr/>
            </w:pPr>
            <w:r>
              <w:rPr>
                <w:b/>
                <w:bCs/>
                <w:spacing w:val="-4"/>
              </w:rPr>
              <w:t>301009</w:t>
            </w:r>
          </w:p>
        </w:tc>
        <w:tc>
          <w:tcPr>
            <w:shd w:val="clear" w:fill="B8CCE4"/>
            <w:tcW w:w="1478" w:type="dxa"/>
            <w:vAlign w:val="top"/>
          </w:tcPr>
          <w:p>
            <w:pPr>
              <w:pStyle w:val="TableText"/>
              <w:ind w:left="311"/>
              <w:spacing w:before="263" w:line="219" w:lineRule="auto"/>
              <w:rPr/>
            </w:pPr>
            <w:r>
              <w:rPr>
                <w:spacing w:val="-2"/>
              </w:rPr>
              <w:t>可靠股份</w:t>
            </w:r>
          </w:p>
        </w:tc>
        <w:tc>
          <w:tcPr>
            <w:shd w:val="clear" w:fill="B8CCE4"/>
            <w:tcW w:w="1508" w:type="dxa"/>
            <w:vAlign w:val="top"/>
          </w:tcPr>
          <w:p>
            <w:pPr>
              <w:pStyle w:val="TableText"/>
              <w:ind w:left="433"/>
              <w:spacing w:before="263" w:line="219" w:lineRule="auto"/>
              <w:rPr/>
            </w:pPr>
            <w:r>
              <w:rPr>
                <w:spacing w:val="7"/>
              </w:rPr>
              <w:t>监管函</w:t>
            </w:r>
          </w:p>
        </w:tc>
        <w:tc>
          <w:tcPr>
            <w:shd w:val="clear" w:fill="B7CBE3"/>
            <w:tcW w:w="4550" w:type="dxa"/>
            <w:vAlign w:val="top"/>
          </w:tcPr>
          <w:p>
            <w:pPr>
              <w:pStyle w:val="TableText"/>
              <w:ind w:left="105" w:right="242" w:firstLine="3"/>
              <w:spacing w:before="119" w:line="259" w:lineRule="auto"/>
              <w:rPr/>
            </w:pPr>
            <w:r>
              <w:rPr>
                <w:b/>
                <w:bCs/>
                <w:spacing w:val="-2"/>
              </w:rPr>
              <w:t>募集资金理财协议</w:t>
            </w:r>
            <w:r>
              <w:rPr>
                <w:u w:val="single" w:color="auto"/>
                <w:spacing w:val="-2"/>
              </w:rPr>
              <w:t>签署先于</w:t>
            </w:r>
            <w:r>
              <w:rPr>
                <w:u w:val="single" w:color="auto"/>
                <w:spacing w:val="-2"/>
              </w:rPr>
              <w:t>董</w:t>
            </w:r>
            <w:r>
              <w:rPr>
                <w:spacing w:val="-2"/>
              </w:rPr>
              <w:t>事会审议；募集</w:t>
            </w:r>
            <w:r>
              <w:rPr>
                <w:spacing w:val="10"/>
              </w:rPr>
              <w:t xml:space="preserve"> </w:t>
            </w:r>
            <w:r>
              <w:rPr>
                <w:spacing w:val="-1"/>
              </w:rPr>
              <w:t>资金与自有资金</w:t>
            </w:r>
            <w:r>
              <w:rPr>
                <w:b/>
                <w:bCs/>
                <w:spacing w:val="-1"/>
              </w:rPr>
              <w:t>混同</w:t>
            </w:r>
            <w:r>
              <w:rPr>
                <w:spacing w:val="-1"/>
              </w:rPr>
              <w:t>购买理财产品。</w:t>
            </w:r>
          </w:p>
        </w:tc>
      </w:tr>
      <w:tr>
        <w:trPr>
          <w:trHeight w:val="719" w:hRule="atLeast"/>
        </w:trPr>
        <w:tc>
          <w:tcPr>
            <w:tcW w:w="1473" w:type="dxa"/>
            <w:vAlign w:val="top"/>
          </w:tcPr>
          <w:p>
            <w:pPr>
              <w:spacing w:line="246" w:lineRule="auto"/>
              <w:rPr>
                <w:rFonts w:ascii="Arial"/>
                <w:sz w:val="21"/>
              </w:rPr>
            </w:pPr>
            <w:r/>
          </w:p>
          <w:p>
            <w:pPr>
              <w:pStyle w:val="TableText"/>
              <w:ind w:left="417"/>
              <w:spacing w:before="68" w:line="184" w:lineRule="auto"/>
              <w:rPr/>
            </w:pPr>
            <w:r>
              <w:rPr>
                <w:b/>
                <w:bCs/>
                <w:spacing w:val="-4"/>
              </w:rPr>
              <w:t>002211</w:t>
            </w:r>
          </w:p>
        </w:tc>
        <w:tc>
          <w:tcPr>
            <w:tcW w:w="1478" w:type="dxa"/>
            <w:vAlign w:val="top"/>
          </w:tcPr>
          <w:p>
            <w:pPr>
              <w:pStyle w:val="TableText"/>
              <w:ind w:left="311"/>
              <w:spacing w:before="263" w:line="219" w:lineRule="auto"/>
              <w:rPr/>
            </w:pPr>
            <w:r>
              <w:rPr>
                <w:spacing w:val="-2"/>
              </w:rPr>
              <w:t>宏达新材</w:t>
            </w:r>
          </w:p>
        </w:tc>
        <w:tc>
          <w:tcPr>
            <w:tcW w:w="1508" w:type="dxa"/>
            <w:vAlign w:val="top"/>
          </w:tcPr>
          <w:p>
            <w:pPr>
              <w:pStyle w:val="TableText"/>
              <w:ind w:left="433"/>
              <w:spacing w:before="264" w:line="219" w:lineRule="auto"/>
              <w:rPr/>
            </w:pPr>
            <w:r>
              <w:rPr>
                <w:spacing w:val="7"/>
              </w:rPr>
              <w:t>监管函</w:t>
            </w:r>
          </w:p>
        </w:tc>
        <w:tc>
          <w:tcPr>
            <w:tcW w:w="4550" w:type="dxa"/>
            <w:vAlign w:val="top"/>
          </w:tcPr>
          <w:p>
            <w:pPr>
              <w:pStyle w:val="TableText"/>
              <w:ind w:left="105" w:right="451"/>
              <w:spacing w:before="124" w:line="257" w:lineRule="auto"/>
              <w:rPr/>
            </w:pPr>
            <w:r>
              <w:rPr>
                <w:spacing w:val="-1"/>
              </w:rPr>
              <w:t>业绩承诺方未按照公开披露的《股权收购协</w:t>
            </w:r>
            <w:r>
              <w:rPr>
                <w:spacing w:val="10"/>
              </w:rPr>
              <w:t xml:space="preserve"> </w:t>
            </w:r>
            <w:r>
              <w:rPr>
                <w:spacing w:val="-3"/>
              </w:rPr>
              <w:t>议》履行</w:t>
            </w:r>
            <w:r>
              <w:rPr>
                <w:b/>
                <w:bCs/>
                <w:spacing w:val="-3"/>
              </w:rPr>
              <w:t>业绩补偿承诺。</w:t>
            </w:r>
          </w:p>
        </w:tc>
      </w:tr>
      <w:tr>
        <w:trPr>
          <w:trHeight w:val="719" w:hRule="atLeast"/>
        </w:trPr>
        <w:tc>
          <w:tcPr>
            <w:shd w:val="clear" w:fill="B8CCE4"/>
            <w:tcW w:w="1473" w:type="dxa"/>
            <w:vAlign w:val="top"/>
          </w:tcPr>
          <w:p>
            <w:pPr>
              <w:spacing w:line="248" w:lineRule="auto"/>
              <w:rPr>
                <w:rFonts w:ascii="Arial"/>
                <w:sz w:val="21"/>
              </w:rPr>
            </w:pPr>
            <w:r/>
          </w:p>
          <w:p>
            <w:pPr>
              <w:pStyle w:val="TableText"/>
              <w:ind w:left="417"/>
              <w:spacing w:before="68" w:line="183" w:lineRule="auto"/>
              <w:rPr/>
            </w:pPr>
            <w:r>
              <w:rPr>
                <w:b/>
                <w:bCs/>
                <w:spacing w:val="-4"/>
              </w:rPr>
              <w:t>300352</w:t>
            </w:r>
          </w:p>
        </w:tc>
        <w:tc>
          <w:tcPr>
            <w:shd w:val="clear" w:fill="B8CCE4"/>
            <w:tcW w:w="1478" w:type="dxa"/>
            <w:vAlign w:val="top"/>
          </w:tcPr>
          <w:p>
            <w:pPr>
              <w:pStyle w:val="TableText"/>
              <w:ind w:left="411"/>
              <w:spacing w:before="265" w:line="219" w:lineRule="auto"/>
              <w:rPr/>
            </w:pPr>
            <w:r>
              <w:rPr>
                <w:spacing w:val="2"/>
              </w:rPr>
              <w:t>北信源</w:t>
            </w:r>
          </w:p>
        </w:tc>
        <w:tc>
          <w:tcPr>
            <w:shd w:val="clear" w:fill="B8CCE4"/>
            <w:tcW w:w="1508" w:type="dxa"/>
            <w:vAlign w:val="top"/>
          </w:tcPr>
          <w:p>
            <w:pPr>
              <w:pStyle w:val="TableText"/>
              <w:ind w:left="433"/>
              <w:spacing w:before="265" w:line="219" w:lineRule="auto"/>
              <w:rPr/>
            </w:pPr>
            <w:r>
              <w:rPr>
                <w:spacing w:val="7"/>
              </w:rPr>
              <w:t>监管函</w:t>
            </w:r>
          </w:p>
        </w:tc>
        <w:tc>
          <w:tcPr>
            <w:shd w:val="clear" w:fill="B7CBE3"/>
            <w:tcW w:w="4550" w:type="dxa"/>
            <w:vAlign w:val="top"/>
          </w:tcPr>
          <w:p>
            <w:pPr>
              <w:pStyle w:val="TableText"/>
              <w:ind w:left="105" w:right="435" w:firstLine="3"/>
              <w:spacing w:before="112" w:line="262" w:lineRule="auto"/>
              <w:rPr/>
            </w:pPr>
            <w:r>
              <w:rPr>
                <w:b/>
                <w:bCs/>
                <w:spacing w:val="-11"/>
              </w:rPr>
              <w:t>财务核算</w:t>
            </w:r>
            <w:r>
              <w:rPr>
                <w:spacing w:val="-11"/>
              </w:rPr>
              <w:t>不</w:t>
            </w:r>
            <w:r>
              <w:rPr>
                <w:spacing w:val="-39"/>
              </w:rPr>
              <w:t xml:space="preserve"> </w:t>
            </w:r>
            <w:r>
              <w:rPr>
                <w:spacing w:val="-11"/>
              </w:rPr>
              <w:t>规</w:t>
            </w:r>
            <w:r>
              <w:rPr>
                <w:spacing w:val="-37"/>
              </w:rPr>
              <w:t xml:space="preserve"> </w:t>
            </w:r>
            <w:r>
              <w:rPr>
                <w:spacing w:val="-11"/>
              </w:rPr>
              <w:t>范</w:t>
            </w:r>
            <w:r>
              <w:rPr>
                <w:spacing w:val="-50"/>
              </w:rPr>
              <w:t xml:space="preserve"> </w:t>
            </w:r>
            <w:r>
              <w:rPr>
                <w:spacing w:val="-11"/>
              </w:rPr>
              <w:t>；</w:t>
            </w:r>
            <w:r>
              <w:rPr>
                <w:b/>
                <w:bCs/>
                <w:spacing w:val="-11"/>
              </w:rPr>
              <w:t>合同及财务资料</w:t>
            </w:r>
            <w:r>
              <w:rPr>
                <w:spacing w:val="-11"/>
              </w:rPr>
              <w:t>管理不规</w:t>
            </w:r>
            <w:r>
              <w:rPr/>
              <w:t xml:space="preserve"> </w:t>
            </w:r>
            <w:r>
              <w:rPr>
                <w:spacing w:val="-2"/>
              </w:rPr>
              <w:t>范。</w:t>
            </w:r>
          </w:p>
        </w:tc>
      </w:tr>
      <w:tr>
        <w:trPr>
          <w:trHeight w:val="1808" w:hRule="atLeast"/>
        </w:trPr>
        <w:tc>
          <w:tcPr>
            <w:tcW w:w="1473" w:type="dxa"/>
            <w:vAlign w:val="top"/>
          </w:tcPr>
          <w:p>
            <w:pPr>
              <w:spacing w:line="261" w:lineRule="auto"/>
              <w:rPr>
                <w:rFonts w:ascii="Arial"/>
                <w:sz w:val="21"/>
              </w:rPr>
            </w:pPr>
            <w:r/>
          </w:p>
          <w:p>
            <w:pPr>
              <w:spacing w:line="262" w:lineRule="auto"/>
              <w:rPr>
                <w:rFonts w:ascii="Arial"/>
                <w:sz w:val="21"/>
              </w:rPr>
            </w:pPr>
            <w:r/>
          </w:p>
          <w:p>
            <w:pPr>
              <w:spacing w:line="262" w:lineRule="auto"/>
              <w:rPr>
                <w:rFonts w:ascii="Arial"/>
                <w:sz w:val="21"/>
              </w:rPr>
            </w:pPr>
            <w:r/>
          </w:p>
          <w:p>
            <w:pPr>
              <w:pStyle w:val="TableText"/>
              <w:ind w:left="417"/>
              <w:spacing w:before="68" w:line="184" w:lineRule="auto"/>
              <w:rPr/>
            </w:pPr>
            <w:r>
              <w:rPr>
                <w:b/>
                <w:bCs/>
                <w:spacing w:val="-4"/>
              </w:rPr>
              <w:t>301013</w:t>
            </w:r>
          </w:p>
        </w:tc>
        <w:tc>
          <w:tcPr>
            <w:tcW w:w="1478" w:type="dxa"/>
            <w:vAlign w:val="top"/>
          </w:tcPr>
          <w:p>
            <w:pPr>
              <w:spacing w:line="244" w:lineRule="auto"/>
              <w:rPr>
                <w:rFonts w:ascii="Arial"/>
                <w:sz w:val="21"/>
              </w:rPr>
            </w:pPr>
            <w:r/>
          </w:p>
          <w:p>
            <w:pPr>
              <w:spacing w:line="245" w:lineRule="auto"/>
              <w:rPr>
                <w:rFonts w:ascii="Arial"/>
                <w:sz w:val="21"/>
              </w:rPr>
            </w:pPr>
            <w:r/>
          </w:p>
          <w:p>
            <w:pPr>
              <w:spacing w:line="245" w:lineRule="auto"/>
              <w:rPr>
                <w:rFonts w:ascii="Arial"/>
                <w:sz w:val="21"/>
              </w:rPr>
            </w:pPr>
            <w:r/>
          </w:p>
          <w:p>
            <w:pPr>
              <w:pStyle w:val="TableText"/>
              <w:ind w:left="411"/>
              <w:spacing w:before="69" w:line="221" w:lineRule="auto"/>
              <w:rPr/>
            </w:pPr>
            <w:r>
              <w:rPr>
                <w:spacing w:val="-3"/>
              </w:rPr>
              <w:t>利和兴</w:t>
            </w:r>
          </w:p>
        </w:tc>
        <w:tc>
          <w:tcPr>
            <w:tcW w:w="1508" w:type="dxa"/>
            <w:vAlign w:val="top"/>
          </w:tcPr>
          <w:p>
            <w:pPr>
              <w:spacing w:line="244" w:lineRule="auto"/>
              <w:rPr>
                <w:rFonts w:ascii="Arial"/>
                <w:sz w:val="21"/>
              </w:rPr>
            </w:pPr>
            <w:r/>
          </w:p>
          <w:p>
            <w:pPr>
              <w:spacing w:line="244" w:lineRule="auto"/>
              <w:rPr>
                <w:rFonts w:ascii="Arial"/>
                <w:sz w:val="21"/>
              </w:rPr>
            </w:pPr>
            <w:r/>
          </w:p>
          <w:p>
            <w:pPr>
              <w:spacing w:line="245" w:lineRule="auto"/>
              <w:rPr>
                <w:rFonts w:ascii="Arial"/>
                <w:sz w:val="21"/>
              </w:rPr>
            </w:pPr>
            <w:r/>
          </w:p>
          <w:p>
            <w:pPr>
              <w:pStyle w:val="TableText"/>
              <w:ind w:left="433"/>
              <w:spacing w:before="69" w:line="219" w:lineRule="auto"/>
              <w:rPr/>
            </w:pPr>
            <w:r>
              <w:rPr>
                <w:spacing w:val="7"/>
              </w:rPr>
              <w:t>监管函</w:t>
            </w:r>
          </w:p>
        </w:tc>
        <w:tc>
          <w:tcPr>
            <w:tcW w:w="4550" w:type="dxa"/>
            <w:vAlign w:val="top"/>
          </w:tcPr>
          <w:p>
            <w:pPr>
              <w:pStyle w:val="TableText"/>
              <w:ind w:left="105" w:right="209"/>
              <w:spacing w:before="103" w:line="295" w:lineRule="auto"/>
              <w:jc w:val="both"/>
              <w:rPr/>
            </w:pPr>
            <w:r>
              <w:rPr/>
              <w:t>公司财务会计方面存在相关业</w:t>
            </w:r>
            <w:r>
              <w:rPr>
                <w:b/>
                <w:bCs/>
              </w:rPr>
              <w:t>务收入确认时点</w:t>
            </w:r>
            <w:r>
              <w:rPr/>
              <w:t xml:space="preserve"> </w:t>
            </w:r>
            <w:r>
              <w:rPr/>
              <w:t>与披露的会计政策不一致、升级改造技术服务</w:t>
            </w:r>
            <w:r>
              <w:rPr>
                <w:spacing w:val="8"/>
              </w:rPr>
              <w:t xml:space="preserve"> </w:t>
            </w:r>
            <w:r>
              <w:rPr>
                <w:b/>
                <w:bCs/>
                <w:spacing w:val="-10"/>
              </w:rPr>
              <w:t>成本核算</w:t>
            </w:r>
            <w:r>
              <w:rPr>
                <w:spacing w:val="-10"/>
              </w:rPr>
              <w:t>不</w:t>
            </w:r>
            <w:r>
              <w:rPr>
                <w:spacing w:val="-32"/>
              </w:rPr>
              <w:t xml:space="preserve"> </w:t>
            </w:r>
            <w:r>
              <w:rPr>
                <w:spacing w:val="-10"/>
              </w:rPr>
              <w:t>规</w:t>
            </w:r>
            <w:r>
              <w:rPr>
                <w:spacing w:val="-43"/>
              </w:rPr>
              <w:t xml:space="preserve"> </w:t>
            </w:r>
            <w:r>
              <w:rPr>
                <w:spacing w:val="-10"/>
              </w:rPr>
              <w:t>范</w:t>
            </w:r>
            <w:r>
              <w:rPr>
                <w:spacing w:val="-56"/>
              </w:rPr>
              <w:t xml:space="preserve"> </w:t>
            </w:r>
            <w:r>
              <w:rPr>
                <w:spacing w:val="-10"/>
              </w:rPr>
              <w:t>、</w:t>
            </w:r>
            <w:r>
              <w:rPr>
                <w:b/>
                <w:bCs/>
                <w:spacing w:val="-10"/>
              </w:rPr>
              <w:t>存货跌价准备计提</w:t>
            </w:r>
            <w:r>
              <w:rPr>
                <w:spacing w:val="-10"/>
              </w:rPr>
              <w:t>依据不充</w:t>
            </w:r>
            <w:r>
              <w:rPr/>
              <w:t xml:space="preserve"> </w:t>
            </w:r>
            <w:r>
              <w:rPr>
                <w:spacing w:val="-8"/>
              </w:rPr>
              <w:t>分</w:t>
            </w:r>
            <w:r>
              <w:rPr>
                <w:spacing w:val="54"/>
              </w:rPr>
              <w:t xml:space="preserve"> </w:t>
            </w:r>
            <w:r>
              <w:rPr>
                <w:spacing w:val="-8"/>
              </w:rPr>
              <w:t>、</w:t>
            </w:r>
            <w:r>
              <w:rPr>
                <w:b/>
                <w:bCs/>
                <w:spacing w:val="-8"/>
              </w:rPr>
              <w:t>在建工程和生产调试成本</w:t>
            </w:r>
            <w:r>
              <w:rPr>
                <w:spacing w:val="-8"/>
              </w:rPr>
              <w:t>核算不准确等问</w:t>
            </w:r>
            <w:r>
              <w:rPr/>
              <w:t xml:space="preserve"> </w:t>
            </w:r>
            <w:r>
              <w:rPr>
                <w:spacing w:val="-2"/>
              </w:rPr>
              <w:t>题。</w:t>
            </w:r>
          </w:p>
        </w:tc>
      </w:tr>
      <w:tr>
        <w:trPr>
          <w:trHeight w:val="714" w:hRule="atLeast"/>
        </w:trPr>
        <w:tc>
          <w:tcPr>
            <w:shd w:val="clear" w:fill="B8CCE4"/>
            <w:tcW w:w="1473" w:type="dxa"/>
            <w:vAlign w:val="top"/>
          </w:tcPr>
          <w:p>
            <w:pPr>
              <w:rPr>
                <w:rFonts w:ascii="Arial"/>
                <w:sz w:val="21"/>
              </w:rPr>
            </w:pPr>
            <w:r/>
          </w:p>
          <w:p>
            <w:pPr>
              <w:pStyle w:val="TableText"/>
              <w:ind w:left="417"/>
              <w:spacing w:before="68" w:line="184" w:lineRule="auto"/>
              <w:rPr/>
            </w:pPr>
            <w:r>
              <w:rPr>
                <w:b/>
                <w:bCs/>
                <w:spacing w:val="-4"/>
              </w:rPr>
              <w:t>300091</w:t>
            </w:r>
          </w:p>
        </w:tc>
        <w:tc>
          <w:tcPr>
            <w:shd w:val="clear" w:fill="B8CCE4"/>
            <w:tcW w:w="1478" w:type="dxa"/>
            <w:vAlign w:val="top"/>
          </w:tcPr>
          <w:p>
            <w:pPr>
              <w:pStyle w:val="TableText"/>
              <w:ind w:left="411"/>
              <w:spacing w:before="261" w:line="221" w:lineRule="auto"/>
              <w:rPr/>
            </w:pPr>
            <w:r>
              <w:rPr>
                <w:spacing w:val="4"/>
              </w:rPr>
              <w:t>金通灵</w:t>
            </w:r>
          </w:p>
        </w:tc>
        <w:tc>
          <w:tcPr>
            <w:shd w:val="clear" w:fill="B8CCE4"/>
            <w:tcW w:w="1508" w:type="dxa"/>
            <w:vAlign w:val="top"/>
          </w:tcPr>
          <w:p>
            <w:pPr>
              <w:pStyle w:val="TableText"/>
              <w:ind w:left="433"/>
              <w:spacing w:before="258" w:line="219" w:lineRule="auto"/>
              <w:rPr/>
            </w:pPr>
            <w:r>
              <w:rPr>
                <w:spacing w:val="7"/>
              </w:rPr>
              <w:t>监管函</w:t>
            </w:r>
          </w:p>
        </w:tc>
        <w:tc>
          <w:tcPr>
            <w:shd w:val="clear" w:fill="B7CBE3"/>
            <w:tcW w:w="4550" w:type="dxa"/>
            <w:vAlign w:val="top"/>
          </w:tcPr>
          <w:p>
            <w:pPr>
              <w:pStyle w:val="TableText"/>
              <w:ind w:left="115"/>
              <w:spacing w:before="117" w:line="219" w:lineRule="auto"/>
              <w:rPr/>
            </w:pPr>
            <w:r>
              <w:rPr/>
              <w:t>2017年至2022年，金通灵科技集团股份有限</w:t>
            </w:r>
          </w:p>
          <w:p>
            <w:pPr>
              <w:pStyle w:val="TableText"/>
              <w:ind w:left="105"/>
              <w:spacing w:before="100" w:line="208" w:lineRule="auto"/>
              <w:rPr/>
            </w:pPr>
            <w:r>
              <w:rPr/>
              <w:t>公司及其全资子公司上海运能能源科技有限公</w:t>
            </w:r>
          </w:p>
        </w:tc>
      </w:tr>
    </w:tbl>
    <w:p>
      <w:pPr>
        <w:pStyle w:val="BodyText"/>
        <w:rPr/>
      </w:pPr>
      <w:r/>
    </w:p>
    <w:p>
      <w:pPr>
        <w:sectPr>
          <w:pgSz w:w="11910" w:h="16840"/>
          <w:pgMar w:top="400" w:right="586" w:bottom="0" w:left="419" w:header="0" w:footer="0" w:gutter="0"/>
        </w:sectPr>
        <w:rPr/>
      </w:pPr>
    </w:p>
    <w:tbl>
      <w:tblPr>
        <w:tblStyle w:val="TableNormal"/>
        <w:tblW w:w="9016" w:type="dxa"/>
        <w:tblInd w:w="2" w:type="dxa"/>
        <w:tblLayout w:type="fixed"/>
        <w:tblBorders>
          <w:top w:val="single" w:color="4F81BD" w:sz="2" w:space="0"/>
          <w:left w:val="single" w:color="4F81BD" w:sz="2" w:space="0"/>
          <w:bottom w:val="single" w:color="4F81BD" w:sz="2" w:space="0"/>
          <w:right w:val="single" w:color="4F81BD" w:sz="2" w:space="0"/>
          <w:insideH w:val="single" w:color="4F81BD" w:sz="2" w:space="0"/>
          <w:insideV w:val="single" w:color="4F81BD" w:sz="2" w:space="0"/>
        </w:tblBorders>
      </w:tblPr>
      <w:tblGrid>
        <w:gridCol w:w="1471"/>
        <w:gridCol w:w="1484"/>
        <w:gridCol w:w="1498"/>
        <w:gridCol w:w="4563"/>
      </w:tblGrid>
      <w:tr>
        <w:trPr>
          <w:trHeight w:val="3611" w:hRule="atLeast"/>
        </w:trPr>
        <w:tc>
          <w:tcPr>
            <w:shd w:val="clear" w:fill="B8CCE4"/>
            <w:tcW w:w="1471" w:type="dxa"/>
            <w:vAlign w:val="top"/>
          </w:tcPr>
          <w:p>
            <w:pPr>
              <w:rPr>
                <w:rFonts w:ascii="Arial"/>
                <w:sz w:val="21"/>
              </w:rPr>
            </w:pPr>
            <w:r/>
          </w:p>
        </w:tc>
        <w:tc>
          <w:tcPr>
            <w:shd w:val="clear" w:fill="B8CCE4"/>
            <w:tcW w:w="1484" w:type="dxa"/>
            <w:vAlign w:val="top"/>
          </w:tcPr>
          <w:p>
            <w:pPr>
              <w:rPr>
                <w:rFonts w:ascii="Arial"/>
                <w:sz w:val="21"/>
              </w:rPr>
            </w:pPr>
            <w:r/>
          </w:p>
        </w:tc>
        <w:tc>
          <w:tcPr>
            <w:shd w:val="clear" w:fill="B8CCE4"/>
            <w:tcW w:w="1498" w:type="dxa"/>
            <w:vAlign w:val="top"/>
          </w:tcPr>
          <w:p>
            <w:pPr>
              <w:rPr>
                <w:rFonts w:ascii="Arial"/>
                <w:sz w:val="21"/>
              </w:rPr>
            </w:pPr>
            <w:r/>
          </w:p>
        </w:tc>
        <w:tc>
          <w:tcPr>
            <w:shd w:val="clear" w:fill="B8CCE4"/>
            <w:tcW w:w="4563" w:type="dxa"/>
            <w:vAlign w:val="top"/>
          </w:tcPr>
          <w:p>
            <w:pPr>
              <w:ind w:left="106" w:right="185" w:firstLine="4"/>
              <w:spacing w:before="86"/>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司、江苏运能能源科技有限公司</w:t>
            </w:r>
            <w:r>
              <w:rPr>
                <w:rFonts w:ascii="Microsoft YaHei" w:hAnsi="Microsoft YaHei" w:eastAsia="Microsoft YaHei" w:cs="Microsoft YaHei"/>
                <w:sz w:val="20"/>
                <w:szCs w:val="20"/>
                <w:spacing w:val="-9"/>
              </w:rPr>
              <w:t xml:space="preserve"> </w:t>
            </w:r>
            <w:r>
              <w:rPr>
                <w:rFonts w:ascii="Microsoft YaHei" w:hAnsi="Microsoft YaHei" w:eastAsia="Microsoft YaHei" w:cs="Microsoft YaHei"/>
                <w:sz w:val="20"/>
                <w:szCs w:val="20"/>
                <w:spacing w:val="7"/>
              </w:rPr>
              <w:t>，通过伪造工</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程形象进度确认表、发货单等调节 </w:t>
            </w:r>
            <w:r>
              <w:rPr>
                <w:rFonts w:ascii="Microsoft YaHei" w:hAnsi="Microsoft YaHei" w:eastAsia="Microsoft YaHei" w:cs="Microsoft YaHei"/>
                <w:sz w:val="20"/>
                <w:szCs w:val="20"/>
              </w:rPr>
              <w:t>EPC</w:t>
            </w:r>
            <w:r>
              <w:rPr>
                <w:rFonts w:ascii="Microsoft YaHei" w:hAnsi="Microsoft YaHei" w:eastAsia="Microsoft YaHei" w:cs="Microsoft YaHei"/>
                <w:sz w:val="20"/>
                <w:szCs w:val="20"/>
                <w:spacing w:val="9"/>
              </w:rPr>
              <w:t xml:space="preserve"> 总承包</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项目完工进度（履约进度</w:t>
            </w:r>
            <w:r>
              <w:rPr>
                <w:rFonts w:ascii="Microsoft YaHei" w:hAnsi="Microsoft YaHei" w:eastAsia="Microsoft YaHei" w:cs="Microsoft YaHei"/>
                <w:sz w:val="20"/>
                <w:szCs w:val="20"/>
                <w:spacing w:val="-5"/>
              </w:rPr>
              <w:t>）</w:t>
            </w:r>
            <w:r>
              <w:rPr>
                <w:rFonts w:ascii="Microsoft YaHei" w:hAnsi="Microsoft YaHei" w:eastAsia="Microsoft YaHei" w:cs="Microsoft YaHei"/>
                <w:sz w:val="20"/>
                <w:szCs w:val="20"/>
                <w:spacing w:val="-16"/>
              </w:rPr>
              <w:t xml:space="preserve"> </w:t>
            </w:r>
            <w:r>
              <w:rPr>
                <w:rFonts w:ascii="Microsoft YaHei" w:hAnsi="Microsoft YaHei" w:eastAsia="Microsoft YaHei" w:cs="Microsoft YaHei"/>
                <w:sz w:val="20"/>
                <w:szCs w:val="20"/>
                <w:spacing w:val="-5"/>
              </w:rPr>
              <w:t>，</w:t>
            </w:r>
            <w:r>
              <w:rPr>
                <w:rFonts w:ascii="Microsoft YaHei" w:hAnsi="Microsoft YaHei" w:eastAsia="Microsoft YaHei" w:cs="Microsoft YaHei"/>
                <w:sz w:val="20"/>
                <w:szCs w:val="20"/>
                <w:spacing w:val="9"/>
              </w:rPr>
              <w:t>虛增或虛減对大</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名县草根新能源热电有限公司、凯赛（太原）</w:t>
            </w:r>
          </w:p>
          <w:p>
            <w:pPr>
              <w:ind w:left="108" w:right="113"/>
              <w:spacing w:before="69" w:line="232"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生物材料有限公司等 12 家公司的营业收入</w:t>
            </w:r>
            <w:r>
              <w:rPr>
                <w:rFonts w:ascii="Microsoft YaHei" w:hAnsi="Microsoft YaHei" w:eastAsia="Microsoft YaHei" w:cs="Microsoft YaHei"/>
                <w:sz w:val="20"/>
                <w:szCs w:val="20"/>
                <w:spacing w:val="7"/>
              </w:rPr>
              <w:t>和利</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6"/>
              </w:rPr>
              <w:t>润总额</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6"/>
              </w:rPr>
              <w:t>，金通灵及其控股子公司泰州锋陵特种   </w:t>
            </w:r>
            <w:r>
              <w:rPr>
                <w:rFonts w:ascii="Microsoft YaHei" w:hAnsi="Microsoft YaHei" w:eastAsia="Microsoft YaHei" w:cs="Microsoft YaHei"/>
                <w:sz w:val="20"/>
                <w:szCs w:val="20"/>
                <w:spacing w:val="9"/>
              </w:rPr>
              <w:t>电站装备有限公司通过未发货提前确认收入、</w:t>
            </w:r>
          </w:p>
          <w:p>
            <w:pPr>
              <w:ind w:left="107" w:right="254"/>
              <w:spacing w:before="86" w:line="23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对销售退回不冲减收入等方式</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8"/>
              </w:rPr>
              <w:t>，虚增营业收入</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和利润总额</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8"/>
              </w:rPr>
              <w:t>，导致公司相应年度的年度报告存</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7"/>
              </w:rPr>
              <w:t>在</w:t>
            </w:r>
            <w:r>
              <w:rPr>
                <w:rFonts w:ascii="Microsoft YaHei" w:hAnsi="Microsoft YaHei" w:eastAsia="Microsoft YaHei" w:cs="Microsoft YaHei"/>
                <w:sz w:val="20"/>
                <w:szCs w:val="20"/>
                <w:b/>
                <w:bCs/>
                <w:spacing w:val="7"/>
              </w:rPr>
              <w:t>虚假记载。</w:t>
            </w:r>
          </w:p>
        </w:tc>
      </w:tr>
      <w:tr>
        <w:trPr>
          <w:trHeight w:val="1805" w:hRule="atLeast"/>
        </w:trPr>
        <w:tc>
          <w:tcPr>
            <w:tcW w:w="1471" w:type="dxa"/>
            <w:vAlign w:val="top"/>
          </w:tcPr>
          <w:p>
            <w:pPr>
              <w:spacing w:line="243" w:lineRule="auto"/>
              <w:rPr>
                <w:rFonts w:ascii="Arial"/>
                <w:sz w:val="21"/>
              </w:rPr>
            </w:pPr>
            <w:r/>
          </w:p>
          <w:p>
            <w:pPr>
              <w:spacing w:line="243" w:lineRule="auto"/>
              <w:rPr>
                <w:rFonts w:ascii="Arial"/>
                <w:sz w:val="21"/>
              </w:rPr>
            </w:pPr>
            <w:r/>
          </w:p>
          <w:p>
            <w:pPr>
              <w:spacing w:line="243" w:lineRule="auto"/>
              <w:rPr>
                <w:rFonts w:ascii="Arial"/>
                <w:sz w:val="21"/>
              </w:rPr>
            </w:pPr>
            <w:r/>
          </w:p>
          <w:p>
            <w:pPr>
              <w:ind w:left="360"/>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300091</w:t>
            </w:r>
          </w:p>
        </w:tc>
        <w:tc>
          <w:tcPr>
            <w:tcW w:w="1484" w:type="dxa"/>
            <w:vAlign w:val="top"/>
          </w:tcPr>
          <w:p>
            <w:pPr>
              <w:spacing w:line="358" w:lineRule="auto"/>
              <w:rPr>
                <w:rFonts w:ascii="Arial"/>
                <w:sz w:val="21"/>
              </w:rPr>
            </w:pPr>
            <w:r/>
          </w:p>
          <w:p>
            <w:pPr>
              <w:spacing w:line="359" w:lineRule="auto"/>
              <w:rPr>
                <w:rFonts w:ascii="Arial"/>
                <w:sz w:val="21"/>
              </w:rPr>
            </w:pPr>
            <w:r/>
          </w:p>
          <w:p>
            <w:pPr>
              <w:ind w:left="425"/>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金通灵</w:t>
            </w:r>
          </w:p>
        </w:tc>
        <w:tc>
          <w:tcPr>
            <w:tcW w:w="1498" w:type="dxa"/>
            <w:vAlign w:val="top"/>
          </w:tcPr>
          <w:p>
            <w:pPr>
              <w:spacing w:line="358" w:lineRule="auto"/>
              <w:rPr>
                <w:rFonts w:ascii="Arial"/>
                <w:sz w:val="21"/>
              </w:rPr>
            </w:pPr>
            <w:r/>
          </w:p>
          <w:p>
            <w:pPr>
              <w:spacing w:line="358" w:lineRule="auto"/>
              <w:rPr>
                <w:rFonts w:ascii="Arial"/>
                <w:sz w:val="21"/>
              </w:rPr>
            </w:pPr>
            <w:r/>
          </w:p>
          <w:p>
            <w:pPr>
              <w:ind w:left="434"/>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监管函</w:t>
            </w:r>
          </w:p>
        </w:tc>
        <w:tc>
          <w:tcPr>
            <w:tcW w:w="4563" w:type="dxa"/>
            <w:vAlign w:val="top"/>
          </w:tcPr>
          <w:p>
            <w:pPr>
              <w:ind w:left="106" w:right="127"/>
              <w:spacing w:before="87" w:line="23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金通灵科技集团股份有限公司 2019 年至 2021 </w:t>
            </w:r>
            <w:r>
              <w:rPr>
                <w:rFonts w:ascii="Microsoft YaHei" w:hAnsi="Microsoft YaHei" w:eastAsia="Microsoft YaHei" w:cs="Microsoft YaHei"/>
                <w:sz w:val="20"/>
                <w:szCs w:val="20"/>
                <w:spacing w:val="7"/>
              </w:rPr>
              <w:t>年财务报告信用减值损失计提不充分、</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7"/>
              </w:rPr>
              <w:t>2018 年</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5"/>
              </w:rPr>
              <w:t>度和 2020 年度未及时合理预估预计负债</w:t>
            </w:r>
            <w:r>
              <w:rPr>
                <w:rFonts w:ascii="Microsoft YaHei" w:hAnsi="Microsoft YaHei" w:eastAsia="Microsoft YaHei" w:cs="Microsoft YaHei"/>
                <w:sz w:val="20"/>
                <w:szCs w:val="20"/>
                <w:spacing w:val="-12"/>
              </w:rPr>
              <w:t xml:space="preserve"> </w:t>
            </w:r>
            <w:r>
              <w:rPr>
                <w:rFonts w:ascii="Microsoft YaHei" w:hAnsi="Microsoft YaHei" w:eastAsia="Microsoft YaHei" w:cs="Microsoft YaHei"/>
                <w:sz w:val="20"/>
                <w:szCs w:val="20"/>
                <w:spacing w:val="5"/>
              </w:rPr>
              <w:t>，导   </w:t>
            </w:r>
            <w:r>
              <w:rPr>
                <w:rFonts w:ascii="Microsoft YaHei" w:hAnsi="Microsoft YaHei" w:eastAsia="Microsoft YaHei" w:cs="Microsoft YaHei"/>
                <w:sz w:val="20"/>
                <w:szCs w:val="20"/>
                <w:spacing w:val="6"/>
              </w:rPr>
              <w:t>致金通灵 2018 年至 2021 年</w:t>
            </w:r>
            <w:r>
              <w:rPr>
                <w:rFonts w:ascii="Microsoft YaHei" w:hAnsi="Microsoft YaHei" w:eastAsia="Microsoft YaHei" w:cs="Microsoft YaHei"/>
                <w:sz w:val="20"/>
                <w:szCs w:val="20"/>
                <w:b/>
                <w:bCs/>
                <w:spacing w:val="6"/>
              </w:rPr>
              <w:t>财务数据披露</w:t>
            </w:r>
            <w:r>
              <w:rPr>
                <w:rFonts w:ascii="Microsoft YaHei" w:hAnsi="Microsoft YaHei" w:eastAsia="Microsoft YaHei" w:cs="Microsoft YaHei"/>
                <w:sz w:val="20"/>
                <w:szCs w:val="20"/>
                <w:spacing w:val="6"/>
              </w:rPr>
              <w:t>不</w:t>
            </w:r>
          </w:p>
          <w:p>
            <w:pPr>
              <w:ind w:left="109"/>
              <w:spacing w:before="89"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4"/>
              </w:rPr>
              <w:t>准确。</w:t>
            </w:r>
          </w:p>
        </w:tc>
      </w:tr>
      <w:tr>
        <w:trPr>
          <w:trHeight w:val="726" w:hRule="atLeast"/>
        </w:trPr>
        <w:tc>
          <w:tcPr>
            <w:shd w:val="clear" w:fill="B8CCE4"/>
            <w:tcW w:w="1471" w:type="dxa"/>
            <w:vAlign w:val="top"/>
          </w:tcPr>
          <w:p>
            <w:pPr>
              <w:ind w:left="360"/>
              <w:spacing w:before="281"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300961</w:t>
            </w:r>
          </w:p>
        </w:tc>
        <w:tc>
          <w:tcPr>
            <w:shd w:val="clear" w:fill="B8CCE4"/>
            <w:tcW w:w="1484" w:type="dxa"/>
            <w:vAlign w:val="top"/>
          </w:tcPr>
          <w:p>
            <w:pPr>
              <w:ind w:left="321"/>
              <w:spacing w:before="26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深水海纳</w:t>
            </w:r>
          </w:p>
        </w:tc>
        <w:tc>
          <w:tcPr>
            <w:shd w:val="clear" w:fill="B8CCE4"/>
            <w:tcW w:w="1498" w:type="dxa"/>
            <w:vAlign w:val="top"/>
          </w:tcPr>
          <w:p>
            <w:pPr>
              <w:ind w:left="434"/>
              <w:spacing w:before="26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监管函</w:t>
            </w:r>
          </w:p>
        </w:tc>
        <w:tc>
          <w:tcPr>
            <w:shd w:val="clear" w:fill="B8CCE4"/>
            <w:tcW w:w="4563" w:type="dxa"/>
            <w:vAlign w:val="top"/>
          </w:tcPr>
          <w:p>
            <w:pPr>
              <w:ind w:left="106" w:right="254" w:firstLine="2"/>
              <w:spacing w:before="86" w:line="22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9"/>
              </w:rPr>
              <w:t>坏账准备计提</w:t>
            </w:r>
            <w:r>
              <w:rPr>
                <w:rFonts w:ascii="Microsoft YaHei" w:hAnsi="Microsoft YaHei" w:eastAsia="Microsoft YaHei" w:cs="Microsoft YaHei"/>
                <w:sz w:val="20"/>
                <w:szCs w:val="20"/>
                <w:spacing w:val="9"/>
              </w:rPr>
              <w:t>不审慎；部分</w:t>
            </w:r>
            <w:r>
              <w:rPr>
                <w:rFonts w:ascii="Microsoft YaHei" w:hAnsi="Microsoft YaHei" w:eastAsia="Microsoft YaHei" w:cs="Microsoft YaHei"/>
                <w:sz w:val="20"/>
                <w:szCs w:val="20"/>
                <w:b/>
                <w:bCs/>
                <w:spacing w:val="9"/>
              </w:rPr>
              <w:t>收入成本核算</w:t>
            </w:r>
            <w:r>
              <w:rPr>
                <w:rFonts w:ascii="Microsoft YaHei" w:hAnsi="Microsoft YaHei" w:eastAsia="Microsoft YaHei" w:cs="Microsoft YaHei"/>
                <w:sz w:val="20"/>
                <w:szCs w:val="20"/>
                <w:spacing w:val="9"/>
              </w:rPr>
              <w:t>不准</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9"/>
              </w:rPr>
              <w:t>确；</w:t>
            </w:r>
            <w:r>
              <w:rPr>
                <w:rFonts w:ascii="Microsoft YaHei" w:hAnsi="Microsoft YaHei" w:eastAsia="Microsoft YaHei" w:cs="Microsoft YaHei"/>
                <w:sz w:val="20"/>
                <w:szCs w:val="20"/>
                <w:b/>
                <w:bCs/>
                <w:spacing w:val="9"/>
              </w:rPr>
              <w:t>特许经营权</w:t>
            </w:r>
            <w:r>
              <w:rPr>
                <w:rFonts w:ascii="Microsoft YaHei" w:hAnsi="Microsoft YaHei" w:eastAsia="Microsoft YaHei" w:cs="Microsoft YaHei"/>
                <w:sz w:val="20"/>
                <w:szCs w:val="20"/>
                <w:spacing w:val="9"/>
              </w:rPr>
              <w:t>摊销不准确。</w:t>
            </w:r>
          </w:p>
        </w:tc>
      </w:tr>
      <w:tr>
        <w:trPr>
          <w:trHeight w:val="1445" w:hRule="atLeast"/>
        </w:trPr>
        <w:tc>
          <w:tcPr>
            <w:tcW w:w="1471" w:type="dxa"/>
            <w:vAlign w:val="top"/>
          </w:tcPr>
          <w:p>
            <w:pPr>
              <w:spacing w:line="275" w:lineRule="auto"/>
              <w:rPr>
                <w:rFonts w:ascii="Arial"/>
                <w:sz w:val="21"/>
              </w:rPr>
            </w:pPr>
            <w:r/>
          </w:p>
          <w:p>
            <w:pPr>
              <w:spacing w:line="276" w:lineRule="auto"/>
              <w:rPr>
                <w:rFonts w:ascii="Arial"/>
                <w:sz w:val="21"/>
              </w:rPr>
            </w:pPr>
            <w:r/>
          </w:p>
          <w:p>
            <w:pPr>
              <w:ind w:left="351"/>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000415</w:t>
            </w:r>
          </w:p>
        </w:tc>
        <w:tc>
          <w:tcPr>
            <w:tcW w:w="1484" w:type="dxa"/>
            <w:vAlign w:val="top"/>
          </w:tcPr>
          <w:p>
            <w:pPr>
              <w:spacing w:line="269" w:lineRule="auto"/>
              <w:rPr>
                <w:rFonts w:ascii="Arial"/>
                <w:sz w:val="21"/>
              </w:rPr>
            </w:pPr>
            <w:r/>
          </w:p>
          <w:p>
            <w:pPr>
              <w:spacing w:line="269" w:lineRule="auto"/>
              <w:rPr>
                <w:rFonts w:ascii="Arial"/>
                <w:sz w:val="21"/>
              </w:rPr>
            </w:pPr>
            <w:r/>
          </w:p>
          <w:p>
            <w:pPr>
              <w:ind w:left="320"/>
              <w:spacing w:before="8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渤海租赁</w:t>
            </w:r>
          </w:p>
        </w:tc>
        <w:tc>
          <w:tcPr>
            <w:tcW w:w="1498" w:type="dxa"/>
            <w:vAlign w:val="top"/>
          </w:tcPr>
          <w:p>
            <w:pPr>
              <w:spacing w:line="269" w:lineRule="auto"/>
              <w:rPr>
                <w:rFonts w:ascii="Arial"/>
                <w:sz w:val="21"/>
              </w:rPr>
            </w:pPr>
            <w:r/>
          </w:p>
          <w:p>
            <w:pPr>
              <w:spacing w:line="270" w:lineRule="auto"/>
              <w:rPr>
                <w:rFonts w:ascii="Arial"/>
                <w:sz w:val="21"/>
              </w:rPr>
            </w:pPr>
            <w:r/>
          </w:p>
          <w:p>
            <w:pPr>
              <w:ind w:left="329"/>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通报批评</w:t>
            </w:r>
          </w:p>
        </w:tc>
        <w:tc>
          <w:tcPr>
            <w:tcW w:w="4563" w:type="dxa"/>
            <w:vAlign w:val="top"/>
          </w:tcPr>
          <w:p>
            <w:pPr>
              <w:ind w:left="108" w:right="252"/>
              <w:spacing w:before="86" w:line="23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天津通万作为收购人</w:t>
            </w:r>
            <w:r>
              <w:rPr>
                <w:rFonts w:ascii="Microsoft YaHei" w:hAnsi="Microsoft YaHei" w:eastAsia="Microsoft YaHei" w:cs="Microsoft YaHei"/>
                <w:sz w:val="20"/>
                <w:szCs w:val="20"/>
                <w:spacing w:val="-25"/>
              </w:rPr>
              <w:t xml:space="preserve"> </w:t>
            </w:r>
            <w:r>
              <w:rPr>
                <w:rFonts w:ascii="Microsoft YaHei" w:hAnsi="Microsoft YaHei" w:eastAsia="Microsoft YaHei" w:cs="Microsoft YaHei"/>
                <w:sz w:val="20"/>
                <w:szCs w:val="20"/>
                <w:spacing w:val="7"/>
              </w:rPr>
              <w:t>，违反了收购完成后 </w:t>
            </w:r>
            <w:r>
              <w:rPr>
                <w:rFonts w:ascii="Microsoft YaHei" w:hAnsi="Microsoft YaHei" w:eastAsia="Microsoft YaHei" w:cs="Microsoft YaHei"/>
                <w:sz w:val="20"/>
                <w:szCs w:val="20"/>
                <w:b/>
                <w:bCs/>
                <w:spacing w:val="7"/>
              </w:rPr>
              <w:t>18</w:t>
            </w:r>
            <w:r>
              <w:rPr>
                <w:rFonts w:ascii="Microsoft YaHei" w:hAnsi="Microsoft YaHei" w:eastAsia="Microsoft YaHei" w:cs="Microsoft YaHei"/>
                <w:sz w:val="20"/>
                <w:szCs w:val="20"/>
                <w:b/>
                <w:bCs/>
              </w:rPr>
              <w:t xml:space="preserve">   </w:t>
            </w:r>
            <w:r>
              <w:rPr>
                <w:rFonts w:ascii="Microsoft YaHei" w:hAnsi="Microsoft YaHei" w:eastAsia="Microsoft YaHei" w:cs="Microsoft YaHei"/>
                <w:sz w:val="20"/>
                <w:szCs w:val="20"/>
                <w:b/>
                <w:bCs/>
                <w:spacing w:val="8"/>
              </w:rPr>
              <w:t>个月内不得转让</w:t>
            </w:r>
            <w:r>
              <w:rPr>
                <w:rFonts w:ascii="Microsoft YaHei" w:hAnsi="Microsoft YaHei" w:eastAsia="Microsoft YaHei" w:cs="Microsoft YaHei"/>
                <w:sz w:val="20"/>
                <w:szCs w:val="20"/>
                <w:spacing w:val="8"/>
              </w:rPr>
              <w:t>被收购公司股份的规定</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，且未</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按规定及时披露持股比例</w:t>
            </w:r>
            <w:r>
              <w:rPr>
                <w:rFonts w:ascii="Microsoft YaHei" w:hAnsi="Microsoft YaHei" w:eastAsia="Microsoft YaHei" w:cs="Microsoft YaHei"/>
                <w:sz w:val="20"/>
                <w:szCs w:val="20"/>
                <w:b/>
                <w:bCs/>
                <w:spacing w:val="8"/>
              </w:rPr>
              <w:t>变动达到 1%</w:t>
            </w:r>
            <w:r>
              <w:rPr>
                <w:rFonts w:ascii="Microsoft YaHei" w:hAnsi="Microsoft YaHei" w:eastAsia="Microsoft YaHei" w:cs="Microsoft YaHei"/>
                <w:sz w:val="20"/>
                <w:szCs w:val="20"/>
                <w:spacing w:val="8"/>
              </w:rPr>
              <w:t>的公</w:t>
            </w:r>
          </w:p>
          <w:p>
            <w:pPr>
              <w:ind w:left="111"/>
              <w:spacing w:before="64"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1"/>
              </w:rPr>
              <w:t>告。</w:t>
            </w:r>
          </w:p>
        </w:tc>
      </w:tr>
      <w:tr>
        <w:trPr>
          <w:trHeight w:val="1444" w:hRule="atLeast"/>
        </w:trPr>
        <w:tc>
          <w:tcPr>
            <w:shd w:val="clear" w:fill="B8CCE4"/>
            <w:tcW w:w="1471" w:type="dxa"/>
            <w:vAlign w:val="top"/>
          </w:tcPr>
          <w:p>
            <w:pPr>
              <w:spacing w:line="275" w:lineRule="auto"/>
              <w:rPr>
                <w:rFonts w:ascii="Arial"/>
                <w:sz w:val="21"/>
              </w:rPr>
            </w:pPr>
            <w:r/>
          </w:p>
          <w:p>
            <w:pPr>
              <w:spacing w:line="275" w:lineRule="auto"/>
              <w:rPr>
                <w:rFonts w:ascii="Arial"/>
                <w:sz w:val="21"/>
              </w:rPr>
            </w:pPr>
            <w:r/>
          </w:p>
          <w:p>
            <w:pPr>
              <w:ind w:left="351"/>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002178</w:t>
            </w:r>
          </w:p>
        </w:tc>
        <w:tc>
          <w:tcPr>
            <w:shd w:val="clear" w:fill="B8CCE4"/>
            <w:tcW w:w="1484" w:type="dxa"/>
            <w:vAlign w:val="top"/>
          </w:tcPr>
          <w:p>
            <w:pPr>
              <w:spacing w:line="268" w:lineRule="auto"/>
              <w:rPr>
                <w:rFonts w:ascii="Arial"/>
                <w:sz w:val="21"/>
              </w:rPr>
            </w:pPr>
            <w:r/>
          </w:p>
          <w:p>
            <w:pPr>
              <w:spacing w:line="268" w:lineRule="auto"/>
              <w:rPr>
                <w:rFonts w:ascii="Arial"/>
                <w:sz w:val="21"/>
              </w:rPr>
            </w:pPr>
            <w:r/>
          </w:p>
          <w:p>
            <w:pPr>
              <w:ind w:left="321"/>
              <w:spacing w:before="8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延华智能</w:t>
            </w:r>
          </w:p>
        </w:tc>
        <w:tc>
          <w:tcPr>
            <w:shd w:val="clear" w:fill="B8CCE4"/>
            <w:tcW w:w="1498" w:type="dxa"/>
            <w:vAlign w:val="top"/>
          </w:tcPr>
          <w:p>
            <w:pPr>
              <w:spacing w:line="269" w:lineRule="auto"/>
              <w:rPr>
                <w:rFonts w:ascii="Arial"/>
                <w:sz w:val="21"/>
              </w:rPr>
            </w:pPr>
            <w:r/>
          </w:p>
          <w:p>
            <w:pPr>
              <w:spacing w:line="270" w:lineRule="auto"/>
              <w:rPr>
                <w:rFonts w:ascii="Arial"/>
                <w:sz w:val="21"/>
              </w:rPr>
            </w:pPr>
            <w:r/>
          </w:p>
          <w:p>
            <w:pPr>
              <w:ind w:left="329"/>
              <w:spacing w:before="85"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通报批评</w:t>
            </w:r>
          </w:p>
        </w:tc>
        <w:tc>
          <w:tcPr>
            <w:shd w:val="clear" w:fill="B8CCE4"/>
            <w:tcW w:w="4563" w:type="dxa"/>
            <w:vAlign w:val="top"/>
          </w:tcPr>
          <w:p>
            <w:pPr>
              <w:ind w:left="107" w:right="252"/>
              <w:spacing w:before="89" w:line="235" w:lineRule="auto"/>
              <w:jc w:val="both"/>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公司在 2022 年半年报中未能完整、准确披露 </w:t>
            </w:r>
            <w:r>
              <w:rPr>
                <w:rFonts w:ascii="Microsoft YaHei" w:hAnsi="Microsoft YaHei" w:eastAsia="Microsoft YaHei" w:cs="Microsoft YaHei"/>
                <w:sz w:val="20"/>
                <w:szCs w:val="20"/>
                <w:b/>
                <w:bCs/>
                <w:spacing w:val="8"/>
              </w:rPr>
              <w:t>参股公司北京泰和康业绩大幅下滑</w:t>
            </w:r>
            <w:r>
              <w:rPr>
                <w:rFonts w:ascii="Microsoft YaHei" w:hAnsi="Microsoft YaHei" w:eastAsia="Microsoft YaHei" w:cs="Microsoft YaHei"/>
                <w:sz w:val="20"/>
                <w:szCs w:val="20"/>
                <w:spacing w:val="8"/>
              </w:rPr>
              <w:t>的原因</w:t>
            </w:r>
            <w:r>
              <w:rPr>
                <w:rFonts w:ascii="Microsoft YaHei" w:hAnsi="Microsoft YaHei" w:eastAsia="Microsoft YaHei" w:cs="Microsoft YaHei"/>
                <w:sz w:val="20"/>
                <w:szCs w:val="20"/>
                <w:spacing w:val="-23"/>
              </w:rPr>
              <w:t xml:space="preserve"> </w:t>
            </w:r>
            <w:r>
              <w:rPr>
                <w:rFonts w:ascii="Microsoft YaHei" w:hAnsi="Microsoft YaHei" w:eastAsia="Microsoft YaHei" w:cs="Microsoft YaHei"/>
                <w:sz w:val="20"/>
                <w:szCs w:val="20"/>
                <w:spacing w:val="8"/>
              </w:rPr>
              <w:t>，致</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使投资者无法了解到泰和康业绩下滑原因的全</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3"/>
              </w:rPr>
              <w:t>貌。</w:t>
            </w:r>
          </w:p>
        </w:tc>
      </w:tr>
      <w:tr>
        <w:trPr>
          <w:trHeight w:val="726" w:hRule="atLeast"/>
        </w:trPr>
        <w:tc>
          <w:tcPr>
            <w:tcW w:w="1471" w:type="dxa"/>
            <w:vAlign w:val="top"/>
          </w:tcPr>
          <w:p>
            <w:pPr>
              <w:ind w:left="351"/>
              <w:spacing w:before="284"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000806</w:t>
            </w:r>
          </w:p>
        </w:tc>
        <w:tc>
          <w:tcPr>
            <w:tcW w:w="1484" w:type="dxa"/>
            <w:vAlign w:val="top"/>
          </w:tcPr>
          <w:p>
            <w:pPr>
              <w:ind w:left="425"/>
              <w:spacing w:before="271"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银河退</w:t>
            </w:r>
          </w:p>
        </w:tc>
        <w:tc>
          <w:tcPr>
            <w:tcW w:w="1498" w:type="dxa"/>
            <w:vAlign w:val="top"/>
          </w:tcPr>
          <w:p>
            <w:pPr>
              <w:ind w:left="329"/>
              <w:spacing w:before="271"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通报批评</w:t>
            </w:r>
          </w:p>
        </w:tc>
        <w:tc>
          <w:tcPr>
            <w:tcW w:w="4563" w:type="dxa"/>
            <w:vAlign w:val="top"/>
          </w:tcPr>
          <w:p>
            <w:pPr>
              <w:ind w:left="106" w:right="463" w:firstLine="2"/>
              <w:spacing w:before="86" w:line="22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相关</w:t>
            </w:r>
            <w:r>
              <w:rPr>
                <w:rFonts w:ascii="Microsoft YaHei" w:hAnsi="Microsoft YaHei" w:eastAsia="Microsoft YaHei" w:cs="Microsoft YaHei"/>
                <w:sz w:val="20"/>
                <w:szCs w:val="20"/>
                <w:b/>
                <w:bCs/>
                <w:spacing w:val="9"/>
              </w:rPr>
              <w:t>关联交易</w:t>
            </w:r>
            <w:r>
              <w:rPr>
                <w:rFonts w:ascii="Microsoft YaHei" w:hAnsi="Microsoft YaHei" w:eastAsia="Microsoft YaHei" w:cs="Microsoft YaHei"/>
                <w:sz w:val="20"/>
                <w:szCs w:val="20"/>
                <w:spacing w:val="9"/>
              </w:rPr>
              <w:t>未履行审议程序和信息披露义</w:t>
            </w:r>
            <w:r>
              <w:rPr>
                <w:rFonts w:ascii="Microsoft YaHei" w:hAnsi="Microsoft YaHei" w:eastAsia="Microsoft YaHei" w:cs="Microsoft YaHei"/>
                <w:sz w:val="20"/>
                <w:szCs w:val="20"/>
                <w:spacing w:val="13"/>
              </w:rPr>
              <w:t xml:space="preserve"> </w:t>
            </w:r>
            <w:r>
              <w:rPr>
                <w:rFonts w:ascii="Microsoft YaHei" w:hAnsi="Microsoft YaHei" w:eastAsia="Microsoft YaHei" w:cs="Microsoft YaHei"/>
                <w:sz w:val="20"/>
                <w:szCs w:val="20"/>
                <w:spacing w:val="3"/>
              </w:rPr>
              <w:t>务。</w:t>
            </w:r>
          </w:p>
        </w:tc>
      </w:tr>
      <w:tr>
        <w:trPr>
          <w:trHeight w:val="365" w:hRule="atLeast"/>
        </w:trPr>
        <w:tc>
          <w:tcPr>
            <w:shd w:val="clear" w:fill="B8CCE4"/>
            <w:tcW w:w="1471" w:type="dxa"/>
            <w:vAlign w:val="top"/>
          </w:tcPr>
          <w:p>
            <w:pPr>
              <w:ind w:left="351"/>
              <w:spacing w:before="101" w:line="17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002629</w:t>
            </w:r>
          </w:p>
        </w:tc>
        <w:tc>
          <w:tcPr>
            <w:shd w:val="clear" w:fill="B8CCE4"/>
            <w:tcW w:w="1484" w:type="dxa"/>
            <w:vAlign w:val="top"/>
          </w:tcPr>
          <w:p>
            <w:pPr>
              <w:ind w:left="320"/>
              <w:spacing w:before="89"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仁智股份</w:t>
            </w:r>
          </w:p>
        </w:tc>
        <w:tc>
          <w:tcPr>
            <w:shd w:val="clear" w:fill="B8CCE4"/>
            <w:tcW w:w="1498" w:type="dxa"/>
            <w:vAlign w:val="top"/>
          </w:tcPr>
          <w:p>
            <w:pPr>
              <w:ind w:left="329"/>
              <w:spacing w:before="89"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通报批评</w:t>
            </w:r>
          </w:p>
        </w:tc>
        <w:tc>
          <w:tcPr>
            <w:shd w:val="clear" w:fill="B8CCE4"/>
            <w:tcW w:w="4563" w:type="dxa"/>
            <w:vAlign w:val="top"/>
          </w:tcPr>
          <w:p>
            <w:pPr>
              <w:ind w:left="116"/>
              <w:spacing w:before="89" w:line="186"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时任副总裁</w:t>
            </w:r>
            <w:r>
              <w:rPr>
                <w:rFonts w:ascii="Microsoft YaHei" w:hAnsi="Microsoft YaHei" w:eastAsia="Microsoft YaHei" w:cs="Microsoft YaHei"/>
                <w:sz w:val="20"/>
                <w:szCs w:val="20"/>
                <w:b/>
                <w:bCs/>
                <w:spacing w:val="7"/>
              </w:rPr>
              <w:t>短线交易。</w:t>
            </w:r>
          </w:p>
        </w:tc>
      </w:tr>
      <w:tr>
        <w:trPr>
          <w:trHeight w:val="2165" w:hRule="atLeast"/>
        </w:trPr>
        <w:tc>
          <w:tcPr>
            <w:tcW w:w="1471" w:type="dxa"/>
            <w:vAlign w:val="top"/>
          </w:tcPr>
          <w:p>
            <w:pPr>
              <w:spacing w:line="304" w:lineRule="auto"/>
              <w:rPr>
                <w:rFonts w:ascii="Arial"/>
                <w:sz w:val="21"/>
              </w:rPr>
            </w:pPr>
            <w:r/>
          </w:p>
          <w:p>
            <w:pPr>
              <w:spacing w:line="304" w:lineRule="auto"/>
              <w:rPr>
                <w:rFonts w:ascii="Arial"/>
                <w:sz w:val="21"/>
              </w:rPr>
            </w:pPr>
            <w:r/>
          </w:p>
          <w:p>
            <w:pPr>
              <w:spacing w:line="304" w:lineRule="auto"/>
              <w:rPr>
                <w:rFonts w:ascii="Arial"/>
                <w:sz w:val="21"/>
              </w:rPr>
            </w:pPr>
            <w:r/>
          </w:p>
          <w:p>
            <w:pPr>
              <w:ind w:left="360"/>
              <w:spacing w:before="86"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300091</w:t>
            </w:r>
          </w:p>
        </w:tc>
        <w:tc>
          <w:tcPr>
            <w:tcW w:w="1484" w:type="dxa"/>
            <w:vAlign w:val="top"/>
          </w:tcPr>
          <w:p>
            <w:pPr>
              <w:spacing w:line="300" w:lineRule="auto"/>
              <w:rPr>
                <w:rFonts w:ascii="Arial"/>
                <w:sz w:val="21"/>
              </w:rPr>
            </w:pPr>
            <w:r/>
          </w:p>
          <w:p>
            <w:pPr>
              <w:spacing w:line="300" w:lineRule="auto"/>
              <w:rPr>
                <w:rFonts w:ascii="Arial"/>
                <w:sz w:val="21"/>
              </w:rPr>
            </w:pPr>
            <w:r/>
          </w:p>
          <w:p>
            <w:pPr>
              <w:spacing w:line="300" w:lineRule="auto"/>
              <w:rPr>
                <w:rFonts w:ascii="Arial"/>
                <w:sz w:val="21"/>
              </w:rPr>
            </w:pPr>
            <w:r/>
          </w:p>
          <w:p>
            <w:pPr>
              <w:ind w:left="425"/>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金通灵</w:t>
            </w:r>
          </w:p>
        </w:tc>
        <w:tc>
          <w:tcPr>
            <w:tcW w:w="1498" w:type="dxa"/>
            <w:vAlign w:val="top"/>
          </w:tcPr>
          <w:p>
            <w:pPr>
              <w:ind w:left="117" w:right="117"/>
              <w:spacing w:before="79" w:line="230" w:lineRule="auto"/>
              <w:rPr>
                <w:rFonts w:ascii="Microsoft YaHei" w:hAnsi="Microsoft YaHei" w:eastAsia="Microsoft YaHei" w:cs="Microsoft YaHei"/>
                <w:sz w:val="18"/>
                <w:szCs w:val="18"/>
              </w:rPr>
            </w:pPr>
            <w:r>
              <w:rPr>
                <w:rFonts w:ascii="Microsoft YaHei" w:hAnsi="Microsoft YaHei" w:eastAsia="Microsoft YaHei" w:cs="Microsoft YaHei"/>
                <w:sz w:val="18"/>
                <w:szCs w:val="18"/>
                <w:spacing w:val="-1"/>
              </w:rPr>
              <w:t>公开认定一定期</w:t>
            </w:r>
            <w:r>
              <w:rPr>
                <w:rFonts w:ascii="Microsoft YaHei" w:hAnsi="Microsoft YaHei" w:eastAsia="Microsoft YaHei" w:cs="Microsoft YaHei"/>
                <w:sz w:val="18"/>
                <w:szCs w:val="18"/>
                <w:spacing w:val="3"/>
              </w:rPr>
              <w:t xml:space="preserve"> </w:t>
            </w:r>
            <w:r>
              <w:rPr>
                <w:rFonts w:ascii="Microsoft YaHei" w:hAnsi="Microsoft YaHei" w:eastAsia="Microsoft YaHei" w:cs="Microsoft YaHei"/>
                <w:sz w:val="18"/>
                <w:szCs w:val="18"/>
                <w:spacing w:val="-1"/>
              </w:rPr>
              <w:t>限内不适合担任</w:t>
            </w:r>
            <w:r>
              <w:rPr>
                <w:rFonts w:ascii="Microsoft YaHei" w:hAnsi="Microsoft YaHei" w:eastAsia="Microsoft YaHei" w:cs="Microsoft YaHei"/>
                <w:sz w:val="18"/>
                <w:szCs w:val="18"/>
                <w:spacing w:val="3"/>
              </w:rPr>
              <w:t xml:space="preserve"> </w:t>
            </w:r>
            <w:r>
              <w:rPr>
                <w:rFonts w:ascii="Microsoft YaHei" w:hAnsi="Microsoft YaHei" w:eastAsia="Microsoft YaHei" w:cs="Microsoft YaHei"/>
                <w:sz w:val="18"/>
                <w:szCs w:val="18"/>
                <w:spacing w:val="-1"/>
              </w:rPr>
              <w:t>上市公司董事、</w:t>
            </w:r>
            <w:r>
              <w:rPr>
                <w:rFonts w:ascii="Microsoft YaHei" w:hAnsi="Microsoft YaHei" w:eastAsia="Microsoft YaHei" w:cs="Microsoft YaHei"/>
                <w:sz w:val="18"/>
                <w:szCs w:val="18"/>
                <w:spacing w:val="3"/>
              </w:rPr>
              <w:t xml:space="preserve"> </w:t>
            </w:r>
            <w:r>
              <w:rPr>
                <w:rFonts w:ascii="Microsoft YaHei" w:hAnsi="Microsoft YaHei" w:eastAsia="Microsoft YaHei" w:cs="Microsoft YaHei"/>
                <w:sz w:val="18"/>
                <w:szCs w:val="18"/>
                <w:spacing w:val="-1"/>
              </w:rPr>
              <w:t>监事、高级管理</w:t>
            </w:r>
            <w:r>
              <w:rPr>
                <w:rFonts w:ascii="Microsoft YaHei" w:hAnsi="Microsoft YaHei" w:eastAsia="Microsoft YaHei" w:cs="Microsoft YaHei"/>
                <w:sz w:val="18"/>
                <w:szCs w:val="18"/>
                <w:spacing w:val="3"/>
              </w:rPr>
              <w:t xml:space="preserve"> </w:t>
            </w:r>
            <w:r>
              <w:rPr>
                <w:rFonts w:ascii="Microsoft YaHei" w:hAnsi="Microsoft YaHei" w:eastAsia="Microsoft YaHei" w:cs="Microsoft YaHei"/>
                <w:sz w:val="18"/>
                <w:szCs w:val="18"/>
                <w:spacing w:val="-1"/>
              </w:rPr>
              <w:t>人员或者境外发</w:t>
            </w:r>
            <w:r>
              <w:rPr>
                <w:rFonts w:ascii="Microsoft YaHei" w:hAnsi="Microsoft YaHei" w:eastAsia="Microsoft YaHei" w:cs="Microsoft YaHei"/>
                <w:sz w:val="18"/>
                <w:szCs w:val="18"/>
                <w:spacing w:val="3"/>
              </w:rPr>
              <w:t xml:space="preserve"> </w:t>
            </w:r>
            <w:r>
              <w:rPr>
                <w:rFonts w:ascii="Microsoft YaHei" w:hAnsi="Microsoft YaHei" w:eastAsia="Microsoft YaHei" w:cs="Microsoft YaHei"/>
                <w:sz w:val="18"/>
                <w:szCs w:val="18"/>
                <w:spacing w:val="-1"/>
              </w:rPr>
              <w:t>行人信息披露境</w:t>
            </w:r>
          </w:p>
          <w:p>
            <w:pPr>
              <w:ind w:left="493"/>
              <w:spacing w:before="73" w:line="176" w:lineRule="auto"/>
              <w:rPr>
                <w:rFonts w:ascii="Microsoft YaHei" w:hAnsi="Microsoft YaHei" w:eastAsia="Microsoft YaHei" w:cs="Microsoft YaHei"/>
                <w:sz w:val="18"/>
                <w:szCs w:val="18"/>
              </w:rPr>
            </w:pPr>
            <w:r>
              <w:rPr>
                <w:rFonts w:ascii="Microsoft YaHei" w:hAnsi="Microsoft YaHei" w:eastAsia="Microsoft YaHei" w:cs="Microsoft YaHei"/>
                <w:sz w:val="18"/>
                <w:szCs w:val="18"/>
                <w:spacing w:val="-7"/>
              </w:rPr>
              <w:t>内代表</w:t>
            </w:r>
          </w:p>
        </w:tc>
        <w:tc>
          <w:tcPr>
            <w:tcW w:w="4563" w:type="dxa"/>
            <w:vAlign w:val="top"/>
          </w:tcPr>
          <w:p>
            <w:pPr>
              <w:spacing w:line="269" w:lineRule="auto"/>
              <w:rPr>
                <w:rFonts w:ascii="Arial"/>
                <w:sz w:val="21"/>
              </w:rPr>
            </w:pPr>
            <w:r/>
          </w:p>
          <w:p>
            <w:pPr>
              <w:spacing w:line="270" w:lineRule="auto"/>
              <w:rPr>
                <w:rFonts w:ascii="Arial"/>
                <w:sz w:val="21"/>
              </w:rPr>
            </w:pPr>
            <w:r/>
          </w:p>
          <w:p>
            <w:pPr>
              <w:ind w:left="107" w:right="161" w:firstLine="10"/>
              <w:spacing w:before="86"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2017 年至 2022 年</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5"/>
              </w:rPr>
              <w:t>，金通灵虚增或虚减利润总</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额</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8"/>
              </w:rPr>
              <w:t>，导致公司相应年度年度报告存在</w:t>
            </w:r>
            <w:r>
              <w:rPr>
                <w:rFonts w:ascii="Microsoft YaHei" w:hAnsi="Microsoft YaHei" w:eastAsia="Microsoft YaHei" w:cs="Microsoft YaHei"/>
                <w:sz w:val="20"/>
                <w:szCs w:val="20"/>
                <w:b/>
                <w:bCs/>
                <w:spacing w:val="8"/>
              </w:rPr>
              <w:t>虚假记</w:t>
            </w:r>
          </w:p>
          <w:p>
            <w:pPr>
              <w:ind w:left="108"/>
              <w:spacing w:before="8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2"/>
              </w:rPr>
              <w:t>载</w:t>
            </w:r>
            <w:r>
              <w:rPr>
                <w:rFonts w:ascii="Microsoft YaHei" w:hAnsi="Microsoft YaHei" w:eastAsia="Microsoft YaHei" w:cs="Microsoft YaHei"/>
                <w:sz w:val="20"/>
                <w:szCs w:val="20"/>
                <w:spacing w:val="2"/>
              </w:rPr>
              <w:t>。</w:t>
            </w:r>
          </w:p>
        </w:tc>
      </w:tr>
      <w:tr>
        <w:trPr>
          <w:trHeight w:val="1086" w:hRule="atLeast"/>
        </w:trPr>
        <w:tc>
          <w:tcPr>
            <w:shd w:val="clear" w:fill="B8CCE4"/>
            <w:tcW w:w="1471" w:type="dxa"/>
            <w:vAlign w:val="top"/>
          </w:tcPr>
          <w:p>
            <w:pPr>
              <w:spacing w:line="375" w:lineRule="auto"/>
              <w:rPr>
                <w:rFonts w:ascii="Arial"/>
                <w:sz w:val="21"/>
              </w:rPr>
            </w:pPr>
            <w:r/>
          </w:p>
          <w:p>
            <w:pPr>
              <w:ind w:left="360"/>
              <w:spacing w:before="85" w:line="17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300091</w:t>
            </w:r>
          </w:p>
        </w:tc>
        <w:tc>
          <w:tcPr>
            <w:shd w:val="clear" w:fill="B8CCE4"/>
            <w:tcW w:w="1484" w:type="dxa"/>
            <w:vAlign w:val="top"/>
          </w:tcPr>
          <w:p>
            <w:pPr>
              <w:spacing w:line="363" w:lineRule="auto"/>
              <w:rPr>
                <w:rFonts w:ascii="Arial"/>
                <w:sz w:val="21"/>
              </w:rPr>
            </w:pPr>
            <w:r/>
          </w:p>
          <w:p>
            <w:pPr>
              <w:ind w:left="425"/>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金通灵</w:t>
            </w:r>
          </w:p>
        </w:tc>
        <w:tc>
          <w:tcPr>
            <w:shd w:val="clear" w:fill="B8CCE4"/>
            <w:tcW w:w="1498" w:type="dxa"/>
            <w:vAlign w:val="top"/>
          </w:tcPr>
          <w:p>
            <w:pPr>
              <w:spacing w:line="364" w:lineRule="auto"/>
              <w:rPr>
                <w:rFonts w:ascii="Arial"/>
                <w:sz w:val="21"/>
              </w:rPr>
            </w:pPr>
            <w:r/>
          </w:p>
          <w:p>
            <w:pPr>
              <w:ind w:left="329"/>
              <w:spacing w:before="86" w:line="187"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公开谴责</w:t>
            </w:r>
          </w:p>
        </w:tc>
        <w:tc>
          <w:tcPr>
            <w:shd w:val="clear" w:fill="B8CCE4"/>
            <w:tcW w:w="4563" w:type="dxa"/>
            <w:vAlign w:val="top"/>
          </w:tcPr>
          <w:p>
            <w:pPr>
              <w:ind w:left="107" w:right="161" w:firstLine="10"/>
              <w:spacing w:before="90" w:line="22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2017 年至 2022 年</w:t>
            </w:r>
            <w:r>
              <w:rPr>
                <w:rFonts w:ascii="Microsoft YaHei" w:hAnsi="Microsoft YaHei" w:eastAsia="Microsoft YaHei" w:cs="Microsoft YaHei"/>
                <w:sz w:val="20"/>
                <w:szCs w:val="20"/>
                <w:spacing w:val="-27"/>
              </w:rPr>
              <w:t xml:space="preserve"> </w:t>
            </w:r>
            <w:r>
              <w:rPr>
                <w:rFonts w:ascii="Microsoft YaHei" w:hAnsi="Microsoft YaHei" w:eastAsia="Microsoft YaHei" w:cs="Microsoft YaHei"/>
                <w:sz w:val="20"/>
                <w:szCs w:val="20"/>
                <w:spacing w:val="5"/>
              </w:rPr>
              <w:t>，金通灵虚增或虚减利润总</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8"/>
              </w:rPr>
              <w:t>额</w:t>
            </w:r>
            <w:r>
              <w:rPr>
                <w:rFonts w:ascii="Microsoft YaHei" w:hAnsi="Microsoft YaHei" w:eastAsia="Microsoft YaHei" w:cs="Microsoft YaHei"/>
                <w:sz w:val="20"/>
                <w:szCs w:val="20"/>
                <w:spacing w:val="-26"/>
              </w:rPr>
              <w:t xml:space="preserve"> </w:t>
            </w:r>
            <w:r>
              <w:rPr>
                <w:rFonts w:ascii="Microsoft YaHei" w:hAnsi="Microsoft YaHei" w:eastAsia="Microsoft YaHei" w:cs="Microsoft YaHei"/>
                <w:sz w:val="20"/>
                <w:szCs w:val="20"/>
                <w:spacing w:val="8"/>
              </w:rPr>
              <w:t>，导致公司相应年度年度报告存在</w:t>
            </w:r>
            <w:r>
              <w:rPr>
                <w:rFonts w:ascii="Microsoft YaHei" w:hAnsi="Microsoft YaHei" w:eastAsia="Microsoft YaHei" w:cs="Microsoft YaHei"/>
                <w:sz w:val="20"/>
                <w:szCs w:val="20"/>
                <w:b/>
                <w:bCs/>
                <w:spacing w:val="8"/>
              </w:rPr>
              <w:t>虚假记</w:t>
            </w:r>
          </w:p>
          <w:p>
            <w:pPr>
              <w:ind w:left="108"/>
              <w:spacing w:before="90" w:line="184"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2"/>
              </w:rPr>
              <w:t>载</w:t>
            </w:r>
            <w:r>
              <w:rPr>
                <w:rFonts w:ascii="Microsoft YaHei" w:hAnsi="Microsoft YaHei" w:eastAsia="Microsoft YaHei" w:cs="Microsoft YaHei"/>
                <w:sz w:val="20"/>
                <w:szCs w:val="20"/>
                <w:spacing w:val="2"/>
              </w:rPr>
              <w:t>。</w:t>
            </w:r>
          </w:p>
        </w:tc>
      </w:tr>
      <w:tr>
        <w:trPr>
          <w:trHeight w:val="1450" w:hRule="atLeast"/>
        </w:trPr>
        <w:tc>
          <w:tcPr>
            <w:tcW w:w="1471" w:type="dxa"/>
            <w:vAlign w:val="top"/>
          </w:tcPr>
          <w:p>
            <w:pPr>
              <w:spacing w:line="278" w:lineRule="auto"/>
              <w:rPr>
                <w:rFonts w:ascii="Arial"/>
                <w:sz w:val="21"/>
              </w:rPr>
            </w:pPr>
            <w:r/>
          </w:p>
          <w:p>
            <w:pPr>
              <w:spacing w:line="278" w:lineRule="auto"/>
              <w:rPr>
                <w:rFonts w:ascii="Arial"/>
                <w:sz w:val="21"/>
              </w:rPr>
            </w:pPr>
            <w:r/>
          </w:p>
          <w:p>
            <w:pPr>
              <w:ind w:left="360"/>
              <w:spacing w:before="86"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300280</w:t>
            </w:r>
          </w:p>
        </w:tc>
        <w:tc>
          <w:tcPr>
            <w:tcW w:w="1484" w:type="dxa"/>
            <w:vAlign w:val="top"/>
          </w:tcPr>
          <w:p>
            <w:pPr>
              <w:spacing w:line="271" w:lineRule="auto"/>
              <w:rPr>
                <w:rFonts w:ascii="Arial"/>
                <w:sz w:val="21"/>
              </w:rPr>
            </w:pPr>
            <w:r/>
          </w:p>
          <w:p>
            <w:pPr>
              <w:spacing w:line="272" w:lineRule="auto"/>
              <w:rPr>
                <w:rFonts w:ascii="Arial"/>
                <w:sz w:val="21"/>
              </w:rPr>
            </w:pPr>
            <w:r/>
          </w:p>
          <w:p>
            <w:pPr>
              <w:ind w:left="322"/>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紫天科技</w:t>
            </w:r>
          </w:p>
        </w:tc>
        <w:tc>
          <w:tcPr>
            <w:tcW w:w="1498" w:type="dxa"/>
            <w:vAlign w:val="top"/>
          </w:tcPr>
          <w:p>
            <w:pPr>
              <w:spacing w:line="271" w:lineRule="auto"/>
              <w:rPr>
                <w:rFonts w:ascii="Arial"/>
                <w:sz w:val="21"/>
              </w:rPr>
            </w:pPr>
            <w:r/>
          </w:p>
          <w:p>
            <w:pPr>
              <w:spacing w:line="272" w:lineRule="auto"/>
              <w:rPr>
                <w:rFonts w:ascii="Arial"/>
                <w:sz w:val="21"/>
              </w:rPr>
            </w:pPr>
            <w:r/>
          </w:p>
          <w:p>
            <w:pPr>
              <w:ind w:left="329"/>
              <w:spacing w:before="86" w:line="18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通报批评</w:t>
            </w:r>
          </w:p>
        </w:tc>
        <w:tc>
          <w:tcPr>
            <w:tcW w:w="4563" w:type="dxa"/>
            <w:vAlign w:val="top"/>
          </w:tcPr>
          <w:p>
            <w:pPr>
              <w:ind w:left="108"/>
              <w:spacing w:before="91"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控股股东知悉所持紫天科技股份被冻结情况</w:t>
            </w:r>
          </w:p>
          <w:p>
            <w:pPr>
              <w:ind w:left="107" w:right="254"/>
              <w:spacing w:before="87" w:line="231"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6"/>
              </w:rPr>
              <w:t>后</w:t>
            </w:r>
            <w:r>
              <w:rPr>
                <w:rFonts w:ascii="Microsoft YaHei" w:hAnsi="Microsoft YaHei" w:eastAsia="Microsoft YaHei" w:cs="Microsoft YaHei"/>
                <w:sz w:val="20"/>
                <w:szCs w:val="20"/>
                <w:spacing w:val="-16"/>
              </w:rPr>
              <w:t xml:space="preserve"> </w:t>
            </w:r>
            <w:r>
              <w:rPr>
                <w:rFonts w:ascii="Microsoft YaHei" w:hAnsi="Microsoft YaHei" w:eastAsia="Microsoft YaHei" w:cs="Microsoft YaHei"/>
                <w:sz w:val="20"/>
                <w:szCs w:val="20"/>
                <w:spacing w:val="6"/>
              </w:rPr>
              <w:t>，未及时告知紫天科技</w:t>
            </w:r>
            <w:r>
              <w:rPr>
                <w:rFonts w:ascii="Microsoft YaHei" w:hAnsi="Microsoft YaHei" w:eastAsia="Microsoft YaHei" w:cs="Microsoft YaHei"/>
                <w:sz w:val="20"/>
                <w:szCs w:val="20"/>
                <w:spacing w:val="-28"/>
              </w:rPr>
              <w:t xml:space="preserve"> </w:t>
            </w:r>
            <w:r>
              <w:rPr>
                <w:rFonts w:ascii="Microsoft YaHei" w:hAnsi="Microsoft YaHei" w:eastAsia="Microsoft YaHei" w:cs="Microsoft YaHei"/>
                <w:sz w:val="20"/>
                <w:szCs w:val="20"/>
                <w:spacing w:val="6"/>
              </w:rPr>
              <w:t>，导致紫天科技未及</w:t>
            </w:r>
            <w:r>
              <w:rPr>
                <w:rFonts w:ascii="Microsoft YaHei" w:hAnsi="Microsoft YaHei" w:eastAsia="Microsoft YaHei" w:cs="Microsoft YaHei"/>
                <w:sz w:val="20"/>
                <w:szCs w:val="20"/>
              </w:rPr>
              <w:t xml:space="preserve"> </w:t>
            </w:r>
            <w:r>
              <w:rPr>
                <w:rFonts w:ascii="Microsoft YaHei" w:hAnsi="Microsoft YaHei" w:eastAsia="Microsoft YaHei" w:cs="Microsoft YaHei"/>
                <w:sz w:val="20"/>
                <w:szCs w:val="20"/>
                <w:spacing w:val="9"/>
              </w:rPr>
              <w:t>时披露股份冻结情况；紫天科技知悉控股股东</w:t>
            </w:r>
            <w:r>
              <w:rPr>
                <w:rFonts w:ascii="Microsoft YaHei" w:hAnsi="Microsoft YaHei" w:eastAsia="Microsoft YaHei" w:cs="Microsoft YaHei"/>
                <w:sz w:val="20"/>
                <w:szCs w:val="20"/>
                <w:spacing w:val="14"/>
              </w:rPr>
              <w:t xml:space="preserve"> </w:t>
            </w:r>
            <w:r>
              <w:rPr>
                <w:rFonts w:ascii="Microsoft YaHei" w:hAnsi="Microsoft YaHei" w:eastAsia="Microsoft YaHei" w:cs="Microsoft YaHei"/>
                <w:sz w:val="20"/>
                <w:szCs w:val="20"/>
                <w:spacing w:val="7"/>
              </w:rPr>
              <w:t>所持</w:t>
            </w:r>
            <w:r>
              <w:rPr>
                <w:rFonts w:ascii="Microsoft YaHei" w:hAnsi="Microsoft YaHei" w:eastAsia="Microsoft YaHei" w:cs="Microsoft YaHei"/>
                <w:sz w:val="20"/>
                <w:szCs w:val="20"/>
                <w:b/>
                <w:bCs/>
                <w:spacing w:val="7"/>
              </w:rPr>
              <w:t>股份冻结</w:t>
            </w:r>
            <w:r>
              <w:rPr>
                <w:rFonts w:ascii="Microsoft YaHei" w:hAnsi="Microsoft YaHei" w:eastAsia="Microsoft YaHei" w:cs="Microsoft YaHei"/>
                <w:sz w:val="20"/>
                <w:szCs w:val="20"/>
                <w:spacing w:val="7"/>
              </w:rPr>
              <w:t>情况后</w:t>
            </w:r>
            <w:r>
              <w:rPr>
                <w:rFonts w:ascii="Microsoft YaHei" w:hAnsi="Microsoft YaHei" w:eastAsia="Microsoft YaHei" w:cs="Microsoft YaHei"/>
                <w:sz w:val="20"/>
                <w:szCs w:val="20"/>
                <w:spacing w:val="-20"/>
              </w:rPr>
              <w:t xml:space="preserve"> </w:t>
            </w:r>
            <w:r>
              <w:rPr>
                <w:rFonts w:ascii="Microsoft YaHei" w:hAnsi="Microsoft YaHei" w:eastAsia="Microsoft YaHei" w:cs="Microsoft YaHei"/>
                <w:sz w:val="20"/>
                <w:szCs w:val="20"/>
                <w:spacing w:val="7"/>
              </w:rPr>
              <w:t>，未及时进行披露。</w:t>
            </w:r>
          </w:p>
        </w:tc>
      </w:tr>
    </w:tbl>
    <w:p>
      <w:pPr>
        <w:pStyle w:val="BodyText"/>
        <w:rPr/>
      </w:pPr>
      <w:r/>
    </w:p>
    <w:p>
      <w:pPr>
        <w:sectPr>
          <w:pgSz w:w="11910" w:h="16840"/>
          <w:pgMar w:top="400" w:right="1454" w:bottom="0" w:left="1434" w:header="0" w:footer="0" w:gutter="0"/>
        </w:sectPr>
        <w:rPr/>
      </w:pPr>
    </w:p>
    <w:p>
      <w:pPr>
        <w:ind w:left="955"/>
        <w:spacing w:before="47" w:line="225" w:lineRule="auto"/>
        <w:rPr>
          <w:rFonts w:ascii="Microsoft YaHei" w:hAnsi="Microsoft YaHei" w:eastAsia="Microsoft YaHei" w:cs="Microsoft YaHei"/>
          <w:sz w:val="24"/>
          <w:szCs w:val="24"/>
        </w:rPr>
      </w:pPr>
      <w:r>
        <w:rPr>
          <w:rFonts w:ascii="Microsoft YaHei" w:hAnsi="Microsoft YaHei" w:eastAsia="Microsoft YaHei" w:cs="Microsoft YaHei"/>
          <w:sz w:val="24"/>
          <w:szCs w:val="24"/>
          <w:b/>
          <w:bCs/>
          <w:spacing w:val="-6"/>
        </w:rPr>
        <w:t>（2）函件统计</w:t>
      </w:r>
    </w:p>
    <w:p>
      <w:pPr>
        <w:spacing w:line="217" w:lineRule="exact"/>
        <w:rPr/>
      </w:pPr>
      <w:r/>
    </w:p>
    <w:tbl>
      <w:tblPr>
        <w:tblStyle w:val="TableNormal"/>
        <w:tblW w:w="9003" w:type="dxa"/>
        <w:tblInd w:w="1000" w:type="dxa"/>
        <w:tblLayout w:type="fixed"/>
        <w:tblBorders>
          <w:top w:val="single" w:color="78C0D4" w:sz="2" w:space="0"/>
          <w:left w:val="single" w:color="78C0D4" w:sz="2" w:space="0"/>
          <w:bottom w:val="single" w:color="78C0D4" w:sz="2" w:space="0"/>
          <w:right w:val="single" w:color="78C0D4" w:sz="2" w:space="0"/>
          <w:insideH w:val="single" w:color="78C0D4" w:sz="2" w:space="0"/>
          <w:insideV w:val="single" w:color="78C0D4" w:sz="2" w:space="0"/>
        </w:tblBorders>
      </w:tblPr>
      <w:tblGrid>
        <w:gridCol w:w="1105"/>
        <w:gridCol w:w="1274"/>
        <w:gridCol w:w="6624"/>
      </w:tblGrid>
      <w:tr>
        <w:trPr>
          <w:trHeight w:val="609" w:hRule="atLeast"/>
        </w:trPr>
        <w:tc>
          <w:tcPr>
            <w:shd w:val="clear" w:fill="4BACC6"/>
            <w:tcW w:w="1105" w:type="dxa"/>
            <w:vAlign w:val="top"/>
            <w:tcBorders>
              <w:left w:val="nil"/>
              <w:top w:val="nil"/>
              <w:right w:val="single" w:color="92CDDC" w:sz="2" w:space="0"/>
            </w:tcBorders>
          </w:tcPr>
          <w:p>
            <w:pPr>
              <w:ind w:left="116"/>
              <w:spacing w:before="87"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1"/>
              </w:rPr>
              <w:t>公司代码</w:t>
            </w:r>
          </w:p>
        </w:tc>
        <w:tc>
          <w:tcPr>
            <w:shd w:val="clear" w:fill="4BACC6"/>
            <w:tcW w:w="1274" w:type="dxa"/>
            <w:vAlign w:val="top"/>
            <w:tcBorders>
              <w:top w:val="nil"/>
              <w:left w:val="single" w:color="92CDDC" w:sz="2" w:space="0"/>
              <w:bottom w:val="single" w:color="92CDDC" w:sz="2" w:space="0"/>
              <w:right w:val="single" w:color="92CDDC" w:sz="2" w:space="0"/>
            </w:tcBorders>
          </w:tcPr>
          <w:p>
            <w:pPr>
              <w:ind w:left="197"/>
              <w:spacing w:before="87" w:line="183"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1"/>
              </w:rPr>
              <w:t>公司简称</w:t>
            </w:r>
          </w:p>
        </w:tc>
        <w:tc>
          <w:tcPr>
            <w:shd w:val="clear" w:fill="4BACC6"/>
            <w:tcW w:w="6624" w:type="dxa"/>
            <w:vAlign w:val="top"/>
            <w:tcBorders>
              <w:right w:val="nil"/>
              <w:top w:val="nil"/>
              <w:left w:val="single" w:color="92CDDC" w:sz="2" w:space="0"/>
            </w:tcBorders>
          </w:tcPr>
          <w:p>
            <w:pPr>
              <w:ind w:left="2879"/>
              <w:spacing w:before="86" w:line="184" w:lineRule="auto"/>
              <w:rPr>
                <w:rFonts w:ascii="Microsoft YaHei" w:hAnsi="Microsoft YaHei" w:eastAsia="Microsoft YaHei" w:cs="Microsoft YaHei"/>
                <w:sz w:val="22"/>
                <w:szCs w:val="22"/>
              </w:rPr>
            </w:pPr>
            <w:r>
              <w:rPr>
                <w:rFonts w:ascii="Microsoft YaHei" w:hAnsi="Microsoft YaHei" w:eastAsia="Microsoft YaHei" w:cs="Microsoft YaHei"/>
                <w:sz w:val="22"/>
                <w:szCs w:val="22"/>
                <w:b/>
                <w:bCs/>
                <w:color w:val="FFFFFF"/>
                <w:spacing w:val="-3"/>
              </w:rPr>
              <w:t>问询类型</w:t>
            </w:r>
          </w:p>
        </w:tc>
      </w:tr>
      <w:tr>
        <w:trPr>
          <w:trHeight w:val="463" w:hRule="atLeast"/>
        </w:trPr>
        <w:tc>
          <w:tcPr>
            <w:tcW w:w="1105" w:type="dxa"/>
            <w:vAlign w:val="top"/>
          </w:tcPr>
          <w:p>
            <w:pPr>
              <w:ind w:left="170"/>
              <w:spacing w:before="150"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002055</w:t>
            </w:r>
          </w:p>
        </w:tc>
        <w:tc>
          <w:tcPr>
            <w:tcW w:w="1274" w:type="dxa"/>
            <w:vAlign w:val="top"/>
          </w:tcPr>
          <w:p>
            <w:pPr>
              <w:ind w:left="214"/>
              <w:spacing w:before="13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得润电子</w:t>
            </w:r>
          </w:p>
        </w:tc>
        <w:tc>
          <w:tcPr>
            <w:tcW w:w="6624" w:type="dxa"/>
            <w:vAlign w:val="top"/>
          </w:tcPr>
          <w:p>
            <w:pPr>
              <w:ind w:left="2996"/>
              <w:spacing w:before="13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3" w:hRule="atLeast"/>
        </w:trPr>
        <w:tc>
          <w:tcPr>
            <w:shd w:val="clear" w:fill="C7DAF1"/>
            <w:tcW w:w="1105" w:type="dxa"/>
            <w:vAlign w:val="top"/>
          </w:tcPr>
          <w:p>
            <w:pPr>
              <w:ind w:left="170"/>
              <w:spacing w:before="150"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002502</w:t>
            </w:r>
          </w:p>
        </w:tc>
        <w:tc>
          <w:tcPr>
            <w:shd w:val="clear" w:fill="C7DAF1"/>
            <w:tcW w:w="1274" w:type="dxa"/>
            <w:vAlign w:val="top"/>
          </w:tcPr>
          <w:p>
            <w:pPr>
              <w:ind w:left="287"/>
              <w:spacing w:before="13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3"/>
              </w:rPr>
              <w:t xml:space="preserve"> 鼎龙</w:t>
            </w:r>
          </w:p>
        </w:tc>
        <w:tc>
          <w:tcPr>
            <w:shd w:val="clear" w:fill="C7DAF1"/>
            <w:tcW w:w="6624" w:type="dxa"/>
            <w:vAlign w:val="top"/>
          </w:tcPr>
          <w:p>
            <w:pPr>
              <w:ind w:left="2996"/>
              <w:spacing w:before="136"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4" w:hRule="atLeast"/>
        </w:trPr>
        <w:tc>
          <w:tcPr>
            <w:tcW w:w="1105" w:type="dxa"/>
            <w:vAlign w:val="top"/>
          </w:tcPr>
          <w:p>
            <w:pPr>
              <w:ind w:left="170"/>
              <w:spacing w:before="153"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002002</w:t>
            </w:r>
          </w:p>
        </w:tc>
        <w:tc>
          <w:tcPr>
            <w:tcW w:w="1274" w:type="dxa"/>
            <w:vAlign w:val="top"/>
          </w:tcPr>
          <w:p>
            <w:pPr>
              <w:ind w:left="287"/>
              <w:spacing w:before="13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3"/>
              </w:rPr>
              <w:t xml:space="preserve"> 鸿达</w:t>
            </w:r>
          </w:p>
        </w:tc>
        <w:tc>
          <w:tcPr>
            <w:tcW w:w="6624" w:type="dxa"/>
            <w:vAlign w:val="top"/>
          </w:tcPr>
          <w:p>
            <w:pPr>
              <w:ind w:left="2996"/>
              <w:spacing w:before="13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3" w:hRule="atLeast"/>
        </w:trPr>
        <w:tc>
          <w:tcPr>
            <w:shd w:val="clear" w:fill="C7DAF1"/>
            <w:tcW w:w="1105" w:type="dxa"/>
            <w:vAlign w:val="top"/>
          </w:tcPr>
          <w:p>
            <w:pPr>
              <w:ind w:left="170"/>
              <w:spacing w:before="15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4"/>
              </w:rPr>
              <w:t>000820</w:t>
            </w:r>
          </w:p>
        </w:tc>
        <w:tc>
          <w:tcPr>
            <w:shd w:val="clear" w:fill="C7DAF1"/>
            <w:tcW w:w="1274" w:type="dxa"/>
            <w:vAlign w:val="top"/>
          </w:tcPr>
          <w:p>
            <w:pPr>
              <w:ind w:left="215"/>
              <w:spacing w:before="136" w:line="190"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神雾节能</w:t>
            </w:r>
          </w:p>
        </w:tc>
        <w:tc>
          <w:tcPr>
            <w:shd w:val="clear" w:fill="C7DAF1"/>
            <w:tcW w:w="6624" w:type="dxa"/>
            <w:vAlign w:val="top"/>
          </w:tcPr>
          <w:p>
            <w:pPr>
              <w:ind w:left="2996"/>
              <w:spacing w:before="13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4" w:hRule="atLeast"/>
        </w:trPr>
        <w:tc>
          <w:tcPr>
            <w:tcW w:w="1105" w:type="dxa"/>
            <w:vAlign w:val="top"/>
          </w:tcPr>
          <w:p>
            <w:pPr>
              <w:ind w:left="178"/>
              <w:spacing w:before="152"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300056</w:t>
            </w:r>
          </w:p>
        </w:tc>
        <w:tc>
          <w:tcPr>
            <w:tcW w:w="1274" w:type="dxa"/>
            <w:vAlign w:val="top"/>
          </w:tcPr>
          <w:p>
            <w:pPr>
              <w:ind w:left="229"/>
              <w:spacing w:before="13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中创环保</w:t>
            </w:r>
          </w:p>
        </w:tc>
        <w:tc>
          <w:tcPr>
            <w:tcW w:w="6624" w:type="dxa"/>
            <w:vAlign w:val="top"/>
          </w:tcPr>
          <w:p>
            <w:pPr>
              <w:ind w:left="2367"/>
              <w:spacing w:before="13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9"/>
              </w:rPr>
              <w:t>非许可类重组问询函</w:t>
            </w:r>
          </w:p>
        </w:tc>
      </w:tr>
      <w:tr>
        <w:trPr>
          <w:trHeight w:val="463" w:hRule="atLeast"/>
        </w:trPr>
        <w:tc>
          <w:tcPr>
            <w:shd w:val="clear" w:fill="C7DAF1"/>
            <w:tcW w:w="1105" w:type="dxa"/>
            <w:vAlign w:val="top"/>
          </w:tcPr>
          <w:p>
            <w:pPr>
              <w:ind w:left="178"/>
              <w:spacing w:before="153"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300066</w:t>
            </w:r>
          </w:p>
        </w:tc>
        <w:tc>
          <w:tcPr>
            <w:shd w:val="clear" w:fill="C7DAF1"/>
            <w:tcW w:w="1274" w:type="dxa"/>
            <w:vAlign w:val="top"/>
          </w:tcPr>
          <w:p>
            <w:pPr>
              <w:ind w:left="218"/>
              <w:spacing w:before="13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7"/>
              </w:rPr>
              <w:t>三川智慧</w:t>
            </w:r>
          </w:p>
        </w:tc>
        <w:tc>
          <w:tcPr>
            <w:shd w:val="clear" w:fill="C7DAF1"/>
            <w:tcW w:w="6624" w:type="dxa"/>
            <w:vAlign w:val="top"/>
          </w:tcPr>
          <w:p>
            <w:pPr>
              <w:ind w:left="2996"/>
              <w:spacing w:before="13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4" w:hRule="atLeast"/>
        </w:trPr>
        <w:tc>
          <w:tcPr>
            <w:tcW w:w="1105" w:type="dxa"/>
            <w:vAlign w:val="top"/>
          </w:tcPr>
          <w:p>
            <w:pPr>
              <w:ind w:left="178"/>
              <w:spacing w:before="153"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300266</w:t>
            </w:r>
          </w:p>
        </w:tc>
        <w:tc>
          <w:tcPr>
            <w:tcW w:w="1274" w:type="dxa"/>
            <w:vAlign w:val="top"/>
          </w:tcPr>
          <w:p>
            <w:pPr>
              <w:ind w:left="216"/>
              <w:spacing w:before="13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兴源环境</w:t>
            </w:r>
          </w:p>
        </w:tc>
        <w:tc>
          <w:tcPr>
            <w:tcW w:w="6624" w:type="dxa"/>
            <w:vAlign w:val="top"/>
          </w:tcPr>
          <w:p>
            <w:pPr>
              <w:ind w:left="2996"/>
              <w:spacing w:before="13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4" w:hRule="atLeast"/>
        </w:trPr>
        <w:tc>
          <w:tcPr>
            <w:shd w:val="clear" w:fill="C7DAF1"/>
            <w:tcW w:w="1105" w:type="dxa"/>
            <w:vAlign w:val="top"/>
          </w:tcPr>
          <w:p>
            <w:pPr>
              <w:ind w:left="178"/>
              <w:spacing w:before="155"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300242</w:t>
            </w:r>
          </w:p>
        </w:tc>
        <w:tc>
          <w:tcPr>
            <w:shd w:val="clear" w:fill="C7DAF1"/>
            <w:tcW w:w="1274" w:type="dxa"/>
            <w:vAlign w:val="top"/>
          </w:tcPr>
          <w:p>
            <w:pPr>
              <w:ind w:left="215"/>
              <w:spacing w:before="140"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佳云科技</w:t>
            </w:r>
          </w:p>
        </w:tc>
        <w:tc>
          <w:tcPr>
            <w:shd w:val="clear" w:fill="C7DAF1"/>
            <w:tcW w:w="6624" w:type="dxa"/>
            <w:vAlign w:val="top"/>
          </w:tcPr>
          <w:p>
            <w:pPr>
              <w:ind w:left="2996"/>
              <w:spacing w:before="140"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4" w:hRule="atLeast"/>
        </w:trPr>
        <w:tc>
          <w:tcPr>
            <w:tcW w:w="1105" w:type="dxa"/>
            <w:vAlign w:val="top"/>
          </w:tcPr>
          <w:p>
            <w:pPr>
              <w:ind w:left="178"/>
              <w:spacing w:before="154"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300862</w:t>
            </w:r>
          </w:p>
        </w:tc>
        <w:tc>
          <w:tcPr>
            <w:tcW w:w="1274" w:type="dxa"/>
            <w:vAlign w:val="top"/>
          </w:tcPr>
          <w:p>
            <w:pPr>
              <w:ind w:left="217"/>
              <w:spacing w:before="13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蓝盾光电</w:t>
            </w:r>
          </w:p>
        </w:tc>
        <w:tc>
          <w:tcPr>
            <w:tcW w:w="6624" w:type="dxa"/>
            <w:vAlign w:val="top"/>
          </w:tcPr>
          <w:p>
            <w:pPr>
              <w:ind w:left="2996"/>
              <w:spacing w:before="139"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r>
        <w:trPr>
          <w:trHeight w:val="468" w:hRule="atLeast"/>
        </w:trPr>
        <w:tc>
          <w:tcPr>
            <w:shd w:val="clear" w:fill="C7DAF1"/>
            <w:tcW w:w="1105" w:type="dxa"/>
            <w:vAlign w:val="top"/>
          </w:tcPr>
          <w:p>
            <w:pPr>
              <w:ind w:left="178"/>
              <w:spacing w:before="153" w:line="178" w:lineRule="auto"/>
              <w:rPr>
                <w:rFonts w:ascii="Microsoft YaHei" w:hAnsi="Microsoft YaHei" w:eastAsia="Microsoft YaHei" w:cs="Microsoft YaHei"/>
                <w:sz w:val="20"/>
                <w:szCs w:val="20"/>
              </w:rPr>
            </w:pPr>
            <w:r>
              <w:rPr>
                <w:rFonts w:ascii="Microsoft YaHei" w:hAnsi="Microsoft YaHei" w:eastAsia="Microsoft YaHei" w:cs="Microsoft YaHei"/>
                <w:sz w:val="20"/>
                <w:szCs w:val="20"/>
                <w:b/>
                <w:bCs/>
                <w:spacing w:val="3"/>
              </w:rPr>
              <w:t>300282</w:t>
            </w:r>
          </w:p>
        </w:tc>
        <w:tc>
          <w:tcPr>
            <w:shd w:val="clear" w:fill="C7DAF1"/>
            <w:tcW w:w="1274" w:type="dxa"/>
            <w:vAlign w:val="top"/>
          </w:tcPr>
          <w:p>
            <w:pPr>
              <w:ind w:left="234"/>
              <w:spacing w:before="137"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5"/>
              </w:rPr>
              <w:t>*</w:t>
            </w:r>
            <w:r>
              <w:rPr>
                <w:rFonts w:ascii="Microsoft YaHei" w:hAnsi="Microsoft YaHei" w:eastAsia="Microsoft YaHei" w:cs="Microsoft YaHei"/>
                <w:sz w:val="20"/>
                <w:szCs w:val="20"/>
              </w:rPr>
              <w:t>ST</w:t>
            </w:r>
            <w:r>
              <w:rPr>
                <w:rFonts w:ascii="Microsoft YaHei" w:hAnsi="Microsoft YaHei" w:eastAsia="Microsoft YaHei" w:cs="Microsoft YaHei"/>
                <w:sz w:val="20"/>
                <w:szCs w:val="20"/>
                <w:spacing w:val="5"/>
              </w:rPr>
              <w:t xml:space="preserve"> 三盛</w:t>
            </w:r>
          </w:p>
        </w:tc>
        <w:tc>
          <w:tcPr>
            <w:shd w:val="clear" w:fill="C7DAF1"/>
            <w:tcW w:w="6624" w:type="dxa"/>
            <w:vAlign w:val="top"/>
          </w:tcPr>
          <w:p>
            <w:pPr>
              <w:ind w:left="2996"/>
              <w:spacing w:before="138" w:line="189" w:lineRule="auto"/>
              <w:rPr>
                <w:rFonts w:ascii="Microsoft YaHei" w:hAnsi="Microsoft YaHei" w:eastAsia="Microsoft YaHei" w:cs="Microsoft YaHei"/>
                <w:sz w:val="20"/>
                <w:szCs w:val="20"/>
              </w:rPr>
            </w:pPr>
            <w:r>
              <w:rPr>
                <w:rFonts w:ascii="Microsoft YaHei" w:hAnsi="Microsoft YaHei" w:eastAsia="Microsoft YaHei" w:cs="Microsoft YaHei"/>
                <w:sz w:val="20"/>
                <w:szCs w:val="20"/>
                <w:spacing w:val="8"/>
              </w:rPr>
              <w:t>关注函</w:t>
            </w:r>
          </w:p>
        </w:tc>
      </w:tr>
    </w:tbl>
    <w:p>
      <w:pPr>
        <w:pStyle w:val="BodyText"/>
        <w:spacing w:line="293" w:lineRule="auto"/>
        <w:rPr/>
      </w:pPr>
      <w:r/>
    </w:p>
    <w:p>
      <w:pPr>
        <w:pStyle w:val="BodyText"/>
        <w:spacing w:line="294" w:lineRule="auto"/>
        <w:rPr/>
      </w:pPr>
      <w:r/>
    </w:p>
    <w:p>
      <w:pPr>
        <w:pStyle w:val="BodyText"/>
        <w:spacing w:line="294" w:lineRule="auto"/>
        <w:rPr/>
      </w:pPr>
      <w:r/>
    </w:p>
    <w:p>
      <w:pPr>
        <w:ind w:left="489"/>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2"/>
        </w:rPr>
        <w:t>2、市场交易监管动态</w:t>
      </w:r>
    </w:p>
    <w:p>
      <w:pPr>
        <w:ind w:right="2" w:firstLine="450"/>
        <w:spacing w:before="328" w:line="221" w:lineRule="auto"/>
        <w:jc w:val="both"/>
        <w:rPr>
          <w:rFonts w:ascii="Microsoft YaHei" w:hAnsi="Microsoft YaHei" w:eastAsia="Microsoft YaHei" w:cs="Microsoft YaHei"/>
          <w:sz w:val="22"/>
          <w:szCs w:val="22"/>
        </w:rPr>
      </w:pPr>
      <w:r>
        <w:rPr>
          <w:rFonts w:ascii="Microsoft YaHei" w:hAnsi="Microsoft YaHei" w:eastAsia="Microsoft YaHei" w:cs="Microsoft YaHei"/>
          <w:sz w:val="22"/>
          <w:szCs w:val="22"/>
          <w:spacing w:val="-1"/>
        </w:rPr>
        <w:t>2024年1月1日-1月7日</w:t>
      </w:r>
      <w:r>
        <w:rPr>
          <w:rFonts w:ascii="Microsoft YaHei" w:hAnsi="Microsoft YaHei" w:eastAsia="Microsoft YaHei" w:cs="Microsoft YaHei"/>
          <w:sz w:val="22"/>
          <w:szCs w:val="22"/>
          <w:spacing w:val="-24"/>
        </w:rPr>
        <w:t xml:space="preserve"> </w:t>
      </w:r>
      <w:r>
        <w:rPr>
          <w:rFonts w:ascii="Microsoft YaHei" w:hAnsi="Microsoft YaHei" w:eastAsia="Microsoft YaHei" w:cs="Microsoft YaHei"/>
          <w:sz w:val="22"/>
          <w:szCs w:val="22"/>
          <w:spacing w:val="-1"/>
        </w:rPr>
        <w:t>，深交所共对172起证券异常交易行为采取了自律监管措施</w:t>
      </w:r>
      <w:r>
        <w:rPr>
          <w:rFonts w:ascii="Microsoft YaHei" w:hAnsi="Microsoft YaHei" w:eastAsia="Microsoft YaHei" w:cs="Microsoft YaHei"/>
          <w:sz w:val="22"/>
          <w:szCs w:val="22"/>
          <w:spacing w:val="-32"/>
        </w:rPr>
        <w:t xml:space="preserve"> </w:t>
      </w:r>
      <w:r>
        <w:rPr>
          <w:rFonts w:ascii="Microsoft YaHei" w:hAnsi="Microsoft YaHei" w:eastAsia="Microsoft YaHei" w:cs="Microsoft YaHei"/>
          <w:sz w:val="22"/>
          <w:szCs w:val="22"/>
          <w:spacing w:val="-1"/>
        </w:rPr>
        <w:t>，涉及盘中拉抬打压、虚假</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2"/>
        </w:rPr>
        <w:t>申报等异常交易情形；对“*</w:t>
      </w:r>
      <w:r>
        <w:rPr>
          <w:rFonts w:ascii="Microsoft YaHei" w:hAnsi="Microsoft YaHei" w:eastAsia="Microsoft YaHei" w:cs="Microsoft YaHei"/>
          <w:sz w:val="22"/>
          <w:szCs w:val="22"/>
        </w:rPr>
        <w:t>ST</w:t>
      </w:r>
      <w:r>
        <w:rPr>
          <w:rFonts w:ascii="Microsoft YaHei" w:hAnsi="Microsoft YaHei" w:eastAsia="Microsoft YaHei" w:cs="Microsoft YaHei"/>
          <w:sz w:val="22"/>
          <w:szCs w:val="22"/>
          <w:spacing w:val="2"/>
        </w:rPr>
        <w:t>左江”继续进行重点监控；共对12起上市公司重大事项进行核查</w:t>
      </w:r>
      <w:r>
        <w:rPr>
          <w:rFonts w:ascii="Microsoft YaHei" w:hAnsi="Microsoft YaHei" w:eastAsia="Microsoft YaHei" w:cs="Microsoft YaHei"/>
          <w:sz w:val="22"/>
          <w:szCs w:val="22"/>
          <w:spacing w:val="-19"/>
        </w:rPr>
        <w:t xml:space="preserve"> </w:t>
      </w:r>
      <w:r>
        <w:rPr>
          <w:rFonts w:ascii="Microsoft YaHei" w:hAnsi="Microsoft YaHei" w:eastAsia="Microsoft YaHei" w:cs="Microsoft YaHei"/>
          <w:sz w:val="22"/>
          <w:szCs w:val="22"/>
          <w:spacing w:val="2"/>
        </w:rPr>
        <w:t>，并上报证监会1</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spacing w:val="-1"/>
        </w:rPr>
        <w:t>起涉嫌违法违规案件线索。</w:t>
      </w:r>
    </w:p>
    <w:p>
      <w:pPr>
        <w:pStyle w:val="BodyText"/>
        <w:spacing w:line="282" w:lineRule="auto"/>
        <w:rPr/>
      </w:pPr>
      <w:r/>
    </w:p>
    <w:p>
      <w:pPr>
        <w:pStyle w:val="BodyText"/>
        <w:spacing w:line="282" w:lineRule="auto"/>
        <w:rPr/>
      </w:pPr>
      <w:r/>
    </w:p>
    <w:p>
      <w:pPr>
        <w:pStyle w:val="BodyText"/>
        <w:spacing w:line="282" w:lineRule="auto"/>
        <w:rPr/>
      </w:pPr>
      <w:r/>
    </w:p>
    <w:p>
      <w:pPr>
        <w:ind w:left="495"/>
        <w:spacing w:before="103" w:line="183" w:lineRule="auto"/>
        <w:outlineLvl w:val="0"/>
        <w:rPr>
          <w:rFonts w:ascii="Microsoft YaHei" w:hAnsi="Microsoft YaHei" w:eastAsia="Microsoft YaHei" w:cs="Microsoft YaHei"/>
          <w:sz w:val="24"/>
          <w:szCs w:val="24"/>
        </w:rPr>
      </w:pPr>
      <w:r>
        <w:rPr>
          <w:rFonts w:ascii="Microsoft YaHei" w:hAnsi="Microsoft YaHei" w:eastAsia="Microsoft YaHei" w:cs="Microsoft YaHei"/>
          <w:sz w:val="24"/>
          <w:szCs w:val="24"/>
          <w:b/>
          <w:bCs/>
          <w:color w:val="333333"/>
          <w:spacing w:val="-3"/>
        </w:rPr>
        <w:t>3、会员监管动态</w:t>
      </w:r>
    </w:p>
    <w:p>
      <w:pPr>
        <w:ind w:firstLine="451"/>
        <w:spacing w:before="327" w:line="212" w:lineRule="auto"/>
        <w:rPr>
          <w:rFonts w:ascii="Microsoft YaHei" w:hAnsi="Microsoft YaHei" w:eastAsia="Microsoft YaHei" w:cs="Microsoft YaHei"/>
          <w:sz w:val="22"/>
          <w:szCs w:val="22"/>
        </w:rPr>
      </w:pPr>
      <w:r>
        <w:rPr>
          <w:rFonts w:ascii="Microsoft YaHei" w:hAnsi="Microsoft YaHei" w:eastAsia="Microsoft YaHei" w:cs="Microsoft YaHei"/>
          <w:sz w:val="22"/>
          <w:szCs w:val="22"/>
          <w:spacing w:val="2"/>
        </w:rPr>
        <w:t>2024年1月1日-1月7日</w:t>
      </w:r>
      <w:r>
        <w:rPr>
          <w:rFonts w:ascii="Microsoft YaHei" w:hAnsi="Microsoft YaHei" w:eastAsia="Microsoft YaHei" w:cs="Microsoft YaHei"/>
          <w:sz w:val="22"/>
          <w:szCs w:val="22"/>
          <w:spacing w:val="-12"/>
        </w:rPr>
        <w:t xml:space="preserve"> </w:t>
      </w:r>
      <w:r>
        <w:rPr>
          <w:rFonts w:ascii="Microsoft YaHei" w:hAnsi="Microsoft YaHei" w:eastAsia="Microsoft YaHei" w:cs="Microsoft YaHei"/>
          <w:sz w:val="22"/>
          <w:szCs w:val="22"/>
          <w:spacing w:val="2"/>
        </w:rPr>
        <w:t>，针对股票发行上市申请项目中保荐机构及保荐代表人存在违规行为的情形</w:t>
      </w:r>
      <w:r>
        <w:rPr>
          <w:rFonts w:ascii="Microsoft YaHei" w:hAnsi="Microsoft YaHei" w:eastAsia="Microsoft YaHei" w:cs="Microsoft YaHei"/>
          <w:sz w:val="22"/>
          <w:szCs w:val="22"/>
          <w:spacing w:val="-30"/>
        </w:rPr>
        <w:t xml:space="preserve"> </w:t>
      </w:r>
      <w:r>
        <w:rPr>
          <w:rFonts w:ascii="Microsoft YaHei" w:hAnsi="Microsoft YaHei" w:eastAsia="Microsoft YaHei" w:cs="Microsoft YaHei"/>
          <w:sz w:val="22"/>
          <w:szCs w:val="22"/>
          <w:spacing w:val="2"/>
        </w:rPr>
        <w:t>，深交所</w:t>
      </w:r>
      <w:r>
        <w:rPr>
          <w:rFonts w:ascii="Microsoft YaHei" w:hAnsi="Microsoft YaHei" w:eastAsia="Microsoft YaHei" w:cs="Microsoft YaHei"/>
          <w:sz w:val="22"/>
          <w:szCs w:val="22"/>
        </w:rPr>
        <w:t xml:space="preserve"> </w:t>
      </w:r>
      <w:r>
        <w:rPr>
          <w:rFonts w:ascii="Microsoft YaHei" w:hAnsi="Microsoft YaHei" w:eastAsia="Microsoft YaHei" w:cs="Microsoft YaHei"/>
          <w:sz w:val="22"/>
          <w:szCs w:val="22"/>
        </w:rPr>
        <w:t>对一家会员及相关保荐代表人、两家会员的相关保荐代表人采取书面警示的监</w:t>
      </w:r>
      <w:r>
        <w:rPr>
          <w:rFonts w:ascii="Microsoft YaHei" w:hAnsi="Microsoft YaHei" w:eastAsia="Microsoft YaHei" w:cs="Microsoft YaHei"/>
          <w:sz w:val="22"/>
          <w:szCs w:val="22"/>
          <w:spacing w:val="-1"/>
        </w:rPr>
        <w:t>管措施。</w:t>
      </w:r>
    </w:p>
    <w:sectPr>
      <w:pgSz w:w="11910" w:h="16840"/>
      <w:pgMar w:top="400" w:right="457" w:bottom="0" w:left="442" w:header="0" w:footer="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86"/>
    <w:family w:val="auto"/>
    <w:pitch w:val="default"/>
    <w:sig w:usb0="E0002EFF" w:usb1="C000785B" w:usb2="00000009" w:usb3="00000000" w:csb0="400001FF" w:csb1="FFFF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10="urn:schemas-microsoft-com:office:word" xmlns:wne="http://schemas.microsoft.com/office/word/2006/wordml" xmlns:a="http://schemas.openxmlformats.org/drawingml/2006/main" xmlns:pic="http://schemas.openxmlformats.org/drawingml/2006/picture" xmlns:w14="http://schemas.microsoft.com/office/word/2010/wordml" xmlns:wps="http://schemas.microsoft.com/office/word/2010/wordprocessingShape" xml:space="preserve" mc:Ignorable="w14">
  <w:p>
    <w:pPr>
      <w:pStyle w:val="BodyText"/>
      <w:spacing w:line="14" w:lineRule="auto"/>
      <w:rPr>
        <w:sz w:val="2"/>
      </w:rPr>
    </w:pPr>
    <w:r/>
  </w:p>
</w:hdr>
</file>

<file path=word/settings.xml><?xml version="1.0" encoding="utf-8"?>
<w:settings xmlns:w="http://schemas.openxmlformats.org/wordprocessingml/2006/main">
  <w:displayBackgroundShape/>
  <w:characterSpacingControl w:val="doNotCompress"/>
  <w:compat>
    <w:spaceForUL/>
    <w:ulTrailSpace/>
    <w:compatSetting w:name="compatibilityMode" w:uri="http://schemas.microsoft.com/office/word" w:val="14"/>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0="urn:schemas-microsoft-com:office:word" xmlns:sl="http://schemas.openxmlformats.org/schemaLibrary/2006/main" xmlns:w14="http://schemas.microsoft.com/office/word/2010/wordml" mc:Ignorable="w14">
  <w:docDefaults>
    <w:rPrDefault>
      <w:rPr>
        <w:rFonts w:ascii="Arial" w:hAnsi="Arial" w:eastAsia="Arial" w:cs="Arial"/>
        <w:sz w:val="21"/>
        <w:szCs w:val="21"/>
        <w:lang w:val="en-US" w:eastAsia="en-US" w:bidi="ar-SA"/>
        <w:color w:val="000000"/>
        <w:kern w:val="0"/>
        <w:snapToGrid w:val="0"/>
      </w:rPr>
    </w:rPrDefault>
  </w:docDefaults>
  <w:style w:type="paragraph" w:styleId="Normal" w:default="1">
    <w:name w:val="Normal"/>
    <w:semiHidden/>
    <w:qFormat/>
    <w:pPr>
      <w:spacing w:line="240" w:lineRule="auto"/>
      <w:jc w:val="left"/>
      <w:autoSpaceDE w:val="0"/>
      <w:autoSpaceDN w:val="0"/>
      <w:adjustRightInd w:val="0"/>
      <w:snapToGrid w:val="0"/>
      <w:kinsoku w:val="0"/>
      <w:textAlignment w:val="baseline"/>
    </w:pPr>
    <w:rPr>
      <w:color w:val="000000"/>
      <w:kern w:val="0"/>
      <w:snapToGrid w:val="0"/>
      <w:noProof w:val="1"/>
    </w:rPr>
  </w:style>
  <w:style w:type="table" w:styleId="TableNormal" w:default="1">
    <w:name w:val="Table Normal"/>
    <w:semiHidden/>
    <w:unhideWhenUsed/>
    <w:qFormat/>
    <w:tblPr>
      <w:tblCellMar>
        <w:left w:w="0" w:type="dxa"/>
        <w:right w:w="0" w:type="dxa"/>
        <w:bottom w:w="0" w:type="dxa"/>
        <w:top w:w="0" w:type="dxa"/>
      </w:tblCellMar>
    </w:tblPr>
  </w:style>
  <w:style w:type="paragraph" w:styleId="BodyText">
    <w:name w:val="Body Text"/>
    <w:basedOn w:val="Normal"/>
    <w:semiHidden/>
    <w:qFormat/>
    <w:pPr/>
    <w:rPr>
      <w:rFonts w:ascii="Arial" w:hAnsi="Arial" w:eastAsia="Arial" w:cs="Arial"/>
      <w:sz w:val="21"/>
      <w:szCs w:val="21"/>
      <w:lang w:val="en-US" w:eastAsia="en-US" w:bidi="ar-SA"/>
    </w:rPr>
  </w:style>
  <w:style w:type="paragraph" w:styleId="TableText">
    <w:name w:val="Table Text"/>
    <w:basedOn w:val="Normal"/>
    <w:semiHidden/>
    <w:qFormat/>
    <w:pPr/>
    <w:rPr>
      <w:rFonts w:ascii="SimSun" w:hAnsi="SimSun" w:eastAsia="SimSun" w:cs="SimSun"/>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7.jpeg"/><Relationship Id="rId8" Type="http://schemas.openxmlformats.org/officeDocument/2006/relationships/image" Target="media/image6.jpeg"/><Relationship Id="rId7" Type="http://schemas.openxmlformats.org/officeDocument/2006/relationships/image" Target="media/image5.jpeg"/><Relationship Id="rId6" Type="http://schemas.openxmlformats.org/officeDocument/2006/relationships/image" Target="media/image4.jpeg"/><Relationship Id="rId5" Type="http://schemas.openxmlformats.org/officeDocument/2006/relationships/image" Target="media/image3.jpeg"/><Relationship Id="rId4" Type="http://schemas.openxmlformats.org/officeDocument/2006/relationships/image" Target="media/image2.jpeg"/><Relationship Id="rId3" Type="http://schemas.openxmlformats.org/officeDocument/2006/relationships/header" Target="header2.xml"/><Relationship Id="rId2" Type="http://schemas.openxmlformats.org/officeDocument/2006/relationships/image" Target="media/image1.jpeg"/><Relationship Id="rId16" Type="http://schemas.openxmlformats.org/officeDocument/2006/relationships/fontTable" Target="fontTable.xml"/><Relationship Id="rId15" Type="http://schemas.openxmlformats.org/officeDocument/2006/relationships/styles" Target="styles.xml"/><Relationship Id="rId14" Type="http://schemas.openxmlformats.org/officeDocument/2006/relationships/settings" Target="settings.xml"/><Relationship Id="rId13" Type="http://schemas.openxmlformats.org/officeDocument/2006/relationships/image" Target="media/image11.jpeg"/><Relationship Id="rId12" Type="http://schemas.openxmlformats.org/officeDocument/2006/relationships/image" Target="media/image10.jpeg"/><Relationship Id="rId11" Type="http://schemas.openxmlformats.org/officeDocument/2006/relationships/image" Target="media/image9.jpeg"/><Relationship Id="rId10" Type="http://schemas.openxmlformats.org/officeDocument/2006/relationships/image" Target="media/image8.jpeg"/><Relationship Id="rId1" Type="http://schemas.openxmlformats.org/officeDocument/2006/relationships/header" Target="header1.xml"/></Relationships>
</file>

<file path=docProps/app.xml><?xml version="1.0" encoding="utf-8"?>
<ap:Properties xmlns:vt="http://schemas.openxmlformats.org/officeDocument/2006/docPropsVTypes" xmlns:ap="http://schemas.openxmlformats.org/officeDocument/2006/extended-properties">
  <ap:Application>Kingsoft-PDF</ap:Application>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dcterms:created xsi:type="dcterms:W3CDTF">2024-02-01T17:20:31Z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2024-02-01T17:20:35</vt:filetime>
  </property>
  <property fmtid="{D5CDD505-2E9C-101B-9397-08002B2CF9AE}" pid="4" name="UsrData">
    <vt:lpwstr>65bb625c04313f0020b20785wl</vt:lpwstr>
  </property>
</Properties>
</file>