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3" w:lineRule="auto"/>
        <w:rPr/>
      </w:pPr>
      <w:r/>
    </w:p>
    <w:p>
      <w:pPr>
        <w:pStyle w:val="BodyText"/>
        <w:spacing w:line="253" w:lineRule="auto"/>
        <w:rPr/>
      </w:pPr>
      <w:r/>
    </w:p>
    <w:p>
      <w:pPr>
        <w:pStyle w:val="BodyText"/>
        <w:spacing w:line="253" w:lineRule="auto"/>
        <w:rPr/>
      </w:pPr>
      <w:r/>
    </w:p>
    <w:p>
      <w:pPr>
        <w:pStyle w:val="BodyText"/>
        <w:spacing w:line="253" w:lineRule="auto"/>
        <w:rPr/>
      </w:pPr>
      <w:r/>
    </w:p>
    <w:p>
      <w:pPr>
        <w:pStyle w:val="BodyText"/>
        <w:spacing w:line="253" w:lineRule="auto"/>
        <w:rPr/>
      </w:pPr>
      <w:r/>
    </w:p>
    <w:p>
      <w:pPr>
        <w:pStyle w:val="BodyText"/>
        <w:spacing w:line="253"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ind w:left="2272"/>
        <w:spacing w:before="273" w:line="217" w:lineRule="auto"/>
        <w:outlineLvl w:val="0"/>
        <w:rPr>
          <w:rFonts w:ascii="SimHei" w:hAnsi="SimHei" w:eastAsia="SimHei" w:cs="SimHei"/>
          <w:sz w:val="84"/>
          <w:szCs w:val="84"/>
        </w:rPr>
      </w:pPr>
      <w:r>
        <w:drawing>
          <wp:anchor distT="0" distB="0" distL="0" distR="0" simplePos="0" relativeHeight="251658240" behindDoc="1" locked="0" layoutInCell="1" allowOverlap="1">
            <wp:simplePos x="0" y="0"/>
            <wp:positionH relativeFrom="column">
              <wp:posOffset>0</wp:posOffset>
            </wp:positionH>
            <wp:positionV relativeFrom="paragraph">
              <wp:posOffset>-1874398</wp:posOffset>
            </wp:positionV>
            <wp:extent cx="7562850" cy="10693400"/>
            <wp:effectExtent l="0" t="0" r="0" b="0"/>
            <wp:wrapNone/>
            <wp:docPr id="2" name="IM 2"/>
            <wp:cNvGraphicFramePr/>
            <a:graphic>
              <a:graphicData uri="http://schemas.openxmlformats.org/drawingml/2006/picture">
                <pic:pic>
                  <pic:nvPicPr>
                    <pic:cNvPr id="2" name="IM 2"/>
                    <pic:cNvPicPr/>
                  </pic:nvPicPr>
                  <pic:blipFill>
                    <a:blip r:embed="rId2"/>
                    <a:stretch>
                      <a:fillRect/>
                    </a:stretch>
                  </pic:blipFill>
                  <pic:spPr>
                    <a:xfrm rot="0">
                      <a:off x="0" y="0"/>
                      <a:ext cx="7562850" cy="10693400"/>
                    </a:xfrm>
                    <a:prstGeom prst="rect">
                      <a:avLst/>
                    </a:prstGeom>
                  </pic:spPr>
                </pic:pic>
              </a:graphicData>
            </a:graphic>
          </wp:anchor>
        </w:drawing>
      </w:r>
      <w:r>
        <w:rPr>
          <w:rFonts w:ascii="SimHei" w:hAnsi="SimHei" w:eastAsia="SimHei" w:cs="SimHei"/>
          <w:sz w:val="84"/>
          <w:szCs w:val="84"/>
          <w:b/>
          <w:bCs/>
          <w:color w:val="FFFFFF"/>
          <w:spacing w:val="-4"/>
        </w:rPr>
        <w:t>一周法规速递|监管动态</w:t>
      </w:r>
    </w:p>
    <w:p>
      <w:pPr>
        <w:ind w:left="4070"/>
        <w:spacing w:before="161" w:line="223" w:lineRule="auto"/>
        <w:rPr>
          <w:rFonts w:ascii="SimHei" w:hAnsi="SimHei" w:eastAsia="SimHei" w:cs="SimHei"/>
          <w:sz w:val="28"/>
          <w:szCs w:val="28"/>
        </w:rPr>
      </w:pPr>
      <w:r>
        <w:rPr>
          <w:rFonts w:ascii="SimHei" w:hAnsi="SimHei" w:eastAsia="SimHei" w:cs="SimHei"/>
          <w:sz w:val="28"/>
          <w:szCs w:val="28"/>
          <w:color w:val="FFFFFF"/>
          <w:spacing w:val="30"/>
        </w:rPr>
        <w:t>2023年12月25日-2023年12月31日</w:t>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ind w:left="4039"/>
        <w:spacing w:before="101" w:line="219" w:lineRule="auto"/>
        <w:rPr>
          <w:rFonts w:ascii="SimHei" w:hAnsi="SimHei" w:eastAsia="SimHei" w:cs="SimHei"/>
          <w:sz w:val="31"/>
          <w:szCs w:val="31"/>
        </w:rPr>
      </w:pPr>
      <w:r>
        <w:rPr>
          <w:rFonts w:ascii="SimHei" w:hAnsi="SimHei" w:eastAsia="SimHei" w:cs="SimHei"/>
          <w:sz w:val="31"/>
          <w:szCs w:val="31"/>
          <w:spacing w:val="8"/>
        </w:rPr>
        <w:t>深圳价值在线咨询顾问有限公司</w:t>
      </w:r>
    </w:p>
    <w:p>
      <w:pPr>
        <w:pStyle w:val="BodyText"/>
        <w:spacing w:line="275" w:lineRule="auto"/>
        <w:rPr/>
      </w:pPr>
      <w:r/>
    </w:p>
    <w:p>
      <w:pPr>
        <w:ind w:left="5190"/>
        <w:spacing w:before="100" w:line="223" w:lineRule="auto"/>
        <w:rPr>
          <w:rFonts w:ascii="SimHei" w:hAnsi="SimHei" w:eastAsia="SimHei" w:cs="SimHei"/>
          <w:sz w:val="31"/>
          <w:szCs w:val="31"/>
        </w:rPr>
      </w:pPr>
      <w:r>
        <w:rPr>
          <w:rFonts w:ascii="SimHei" w:hAnsi="SimHei" w:eastAsia="SimHei" w:cs="SimHei"/>
          <w:sz w:val="31"/>
          <w:szCs w:val="31"/>
          <w:spacing w:val="33"/>
        </w:rPr>
        <w:t>2024年1月2日</w:t>
      </w:r>
    </w:p>
    <w:p>
      <w:pPr>
        <w:spacing w:line="223" w:lineRule="auto"/>
        <w:sectPr>
          <w:headerReference w:type="default" r:id="rId1"/>
          <w:pgSz w:w="11910" w:h="16840"/>
          <w:pgMar w:top="400" w:right="0" w:bottom="0" w:left="0" w:header="0" w:footer="0" w:gutter="0"/>
        </w:sectPr>
        <w:rPr>
          <w:rFonts w:ascii="SimHei" w:hAnsi="SimHei" w:eastAsia="SimHei" w:cs="SimHei"/>
          <w:sz w:val="31"/>
          <w:szCs w:val="31"/>
        </w:rPr>
      </w:pPr>
    </w:p>
    <w:p>
      <w:pPr>
        <w:ind w:left="1766"/>
        <w:spacing w:before="263" w:line="223" w:lineRule="auto"/>
        <w:rPr>
          <w:rFonts w:ascii="SimHei" w:hAnsi="SimHei" w:eastAsia="SimHei" w:cs="SimHei"/>
          <w:sz w:val="44"/>
          <w:szCs w:val="44"/>
        </w:rPr>
      </w:pPr>
      <w:r>
        <w:pict>
          <v:rect id="_x0000_s2" style="position:absolute;margin-left:19.0024pt;margin-top:66.9979pt;mso-position-vertical-relative:page;mso-position-horizontal-relative:page;width:576pt;height:1.05pt;z-index:251660288;" o:allowincell="f" fillcolor="#FF0000" filled="true" stroked="false"/>
        </w:pict>
      </w:r>
      <w:r>
        <w:drawing>
          <wp:anchor distT="0" distB="0" distL="0" distR="0" simplePos="0" relativeHeight="251659264" behindDoc="0" locked="0" layoutInCell="0" allowOverlap="1">
            <wp:simplePos x="0" y="0"/>
            <wp:positionH relativeFrom="page">
              <wp:posOffset>203213</wp:posOffset>
            </wp:positionH>
            <wp:positionV relativeFrom="page">
              <wp:posOffset>203174</wp:posOffset>
            </wp:positionV>
            <wp:extent cx="889013" cy="685875"/>
            <wp:effectExtent l="0" t="0" r="0" b="0"/>
            <wp:wrapNone/>
            <wp:docPr id="4" name="IM 4"/>
            <wp:cNvGraphicFramePr/>
            <a:graphic>
              <a:graphicData uri="http://schemas.openxmlformats.org/drawingml/2006/picture">
                <pic:pic>
                  <pic:nvPicPr>
                    <pic:cNvPr id="4" name="IM 4"/>
                    <pic:cNvPicPr/>
                  </pic:nvPicPr>
                  <pic:blipFill>
                    <a:blip r:embed="rId4"/>
                    <a:stretch>
                      <a:fillRect/>
                    </a:stretch>
                  </pic:blipFill>
                  <pic:spPr>
                    <a:xfrm rot="0">
                      <a:off x="0" y="0"/>
                      <a:ext cx="889013" cy="685875"/>
                    </a:xfrm>
                    <a:prstGeom prst="rect">
                      <a:avLst/>
                    </a:prstGeom>
                  </pic:spPr>
                </pic:pic>
              </a:graphicData>
            </a:graphic>
          </wp:anchor>
        </w:drawing>
      </w:r>
      <w:r>
        <w:rPr>
          <w:rFonts w:ascii="SimHei" w:hAnsi="SimHei" w:eastAsia="SimHei" w:cs="SimHei"/>
          <w:sz w:val="44"/>
          <w:szCs w:val="44"/>
          <w:b/>
          <w:bCs/>
          <w:spacing w:val="-9"/>
        </w:rPr>
        <w:t>法规速递</w:t>
      </w:r>
    </w:p>
    <w:p>
      <w:pPr>
        <w:pStyle w:val="BodyText"/>
        <w:spacing w:line="241" w:lineRule="auto"/>
        <w:rPr/>
      </w:pPr>
      <w:r/>
    </w:p>
    <w:p>
      <w:pPr>
        <w:pStyle w:val="BodyText"/>
        <w:spacing w:line="241" w:lineRule="auto"/>
        <w:rPr/>
      </w:pPr>
      <w:r/>
    </w:p>
    <w:p>
      <w:pPr>
        <w:ind w:left="563"/>
        <w:spacing w:before="75" w:line="222" w:lineRule="auto"/>
        <w:outlineLvl w:val="0"/>
        <w:rPr>
          <w:rFonts w:ascii="SimHei" w:hAnsi="SimHei" w:eastAsia="SimHei" w:cs="SimHei"/>
          <w:sz w:val="23"/>
          <w:szCs w:val="23"/>
        </w:rPr>
      </w:pPr>
      <w:r>
        <w:rPr>
          <w:rFonts w:ascii="SimHei" w:hAnsi="SimHei" w:eastAsia="SimHei" w:cs="SimHei"/>
          <w:sz w:val="23"/>
          <w:szCs w:val="23"/>
          <w:b/>
          <w:bCs/>
          <w:spacing w:val="13"/>
        </w:rPr>
        <w:t>1、</w:t>
      </w:r>
      <w:r>
        <w:rPr>
          <w:rFonts w:ascii="SimHei" w:hAnsi="SimHei" w:eastAsia="SimHei" w:cs="SimHei"/>
          <w:sz w:val="23"/>
          <w:szCs w:val="23"/>
          <w:spacing w:val="103"/>
        </w:rPr>
        <w:t xml:space="preserve"> </w:t>
      </w:r>
      <w:r>
        <w:rPr>
          <w:rFonts w:ascii="SimHei" w:hAnsi="SimHei" w:eastAsia="SimHei" w:cs="SimHei"/>
          <w:sz w:val="23"/>
          <w:szCs w:val="23"/>
          <w:b/>
          <w:bCs/>
          <w:spacing w:val="13"/>
        </w:rPr>
        <w:t>中华人民共和国公司法(2023年修订)</w:t>
      </w:r>
    </w:p>
    <w:p>
      <w:pPr>
        <w:pStyle w:val="BodyText"/>
        <w:spacing w:line="250" w:lineRule="auto"/>
        <w:rPr/>
      </w:pPr>
      <w:r/>
    </w:p>
    <w:p>
      <w:pPr>
        <w:ind w:left="139" w:right="479" w:firstLine="404"/>
        <w:spacing w:before="74" w:line="259" w:lineRule="auto"/>
        <w:rPr>
          <w:rFonts w:ascii="SimHei" w:hAnsi="SimHei" w:eastAsia="SimHei" w:cs="SimHei"/>
          <w:sz w:val="23"/>
          <w:szCs w:val="23"/>
        </w:rPr>
      </w:pPr>
      <w:r>
        <w:rPr>
          <w:rFonts w:ascii="SimHei" w:hAnsi="SimHei" w:eastAsia="SimHei" w:cs="SimHei"/>
          <w:sz w:val="23"/>
          <w:szCs w:val="23"/>
          <w:spacing w:val="-5"/>
        </w:rPr>
        <w:t>《中华人民共和国公司法》已由中华人民共和国第十四届全国人民代表大会常务委员会</w:t>
      </w:r>
      <w:r>
        <w:rPr>
          <w:rFonts w:ascii="SimHei" w:hAnsi="SimHei" w:eastAsia="SimHei" w:cs="SimHei"/>
          <w:sz w:val="23"/>
          <w:szCs w:val="23"/>
          <w:spacing w:val="-6"/>
        </w:rPr>
        <w:t>第七次会议于2023年</w:t>
      </w:r>
      <w:r>
        <w:rPr>
          <w:rFonts w:ascii="SimHei" w:hAnsi="SimHei" w:eastAsia="SimHei" w:cs="SimHei"/>
          <w:sz w:val="23"/>
          <w:szCs w:val="23"/>
        </w:rPr>
        <w:t xml:space="preserve"> </w:t>
      </w:r>
      <w:r>
        <w:rPr>
          <w:rFonts w:ascii="SimHei" w:hAnsi="SimHei" w:eastAsia="SimHei" w:cs="SimHei"/>
          <w:sz w:val="23"/>
          <w:szCs w:val="23"/>
          <w:spacing w:val="-5"/>
        </w:rPr>
        <w:t>12月29日修订通过，现予公布，自2024年7月1日起施行。</w:t>
      </w:r>
    </w:p>
    <w:p>
      <w:pPr>
        <w:pStyle w:val="BodyText"/>
        <w:spacing w:line="258" w:lineRule="auto"/>
        <w:rPr/>
      </w:pPr>
      <w:r/>
    </w:p>
    <w:p>
      <w:pPr>
        <w:ind w:left="560"/>
        <w:spacing w:before="75" w:line="400" w:lineRule="exact"/>
        <w:rPr>
          <w:rFonts w:ascii="SimHei" w:hAnsi="SimHei" w:eastAsia="SimHei" w:cs="SimHei"/>
          <w:sz w:val="23"/>
          <w:szCs w:val="23"/>
        </w:rPr>
      </w:pPr>
      <w:r>
        <w:rPr>
          <w:rFonts w:ascii="SimHei" w:hAnsi="SimHei" w:eastAsia="SimHei" w:cs="SimHei"/>
          <w:sz w:val="23"/>
          <w:szCs w:val="23"/>
          <w:spacing w:val="-11"/>
          <w:position w:val="13"/>
        </w:rPr>
        <w:t>为了规范公司的组织和行为，保护公司、股东、职工和债权人的合法权益，完善中国特色现代企业制度，弘扬</w:t>
      </w:r>
    </w:p>
    <w:p>
      <w:pPr>
        <w:ind w:left="119"/>
        <w:spacing w:before="1" w:line="212" w:lineRule="auto"/>
        <w:rPr>
          <w:rFonts w:ascii="SimHei" w:hAnsi="SimHei" w:eastAsia="SimHei" w:cs="SimHei"/>
          <w:sz w:val="23"/>
          <w:szCs w:val="23"/>
        </w:rPr>
      </w:pPr>
      <w:r>
        <w:rPr>
          <w:rFonts w:ascii="SimHei" w:hAnsi="SimHei" w:eastAsia="SimHei" w:cs="SimHei"/>
          <w:sz w:val="23"/>
          <w:szCs w:val="23"/>
          <w:spacing w:val="-11"/>
        </w:rPr>
        <w:t>企业家精神，维护社会经济秩序，促进社会主义市场经济的发展，根据宪法</w:t>
      </w:r>
      <w:r>
        <w:rPr>
          <w:rFonts w:ascii="SimHei" w:hAnsi="SimHei" w:eastAsia="SimHei" w:cs="SimHei"/>
          <w:sz w:val="23"/>
          <w:szCs w:val="23"/>
          <w:spacing w:val="-12"/>
        </w:rPr>
        <w:t>，制定本法。</w:t>
      </w:r>
    </w:p>
    <w:p>
      <w:pPr>
        <w:pStyle w:val="BodyText"/>
        <w:spacing w:line="278" w:lineRule="auto"/>
        <w:rPr/>
      </w:pPr>
      <w:r/>
    </w:p>
    <w:p>
      <w:pPr>
        <w:ind w:left="560"/>
        <w:spacing w:before="75" w:line="222" w:lineRule="auto"/>
        <w:rPr>
          <w:rFonts w:ascii="SimHei" w:hAnsi="SimHei" w:eastAsia="SimHei" w:cs="SimHei"/>
          <w:sz w:val="23"/>
          <w:szCs w:val="23"/>
        </w:rPr>
      </w:pPr>
      <w:r>
        <w:rPr>
          <w:rFonts w:ascii="SimHei" w:hAnsi="SimHei" w:eastAsia="SimHei" w:cs="SimHei"/>
          <w:sz w:val="23"/>
          <w:szCs w:val="23"/>
          <w:spacing w:val="-13"/>
        </w:rPr>
        <w:t>特此公告。</w:t>
      </w:r>
    </w:p>
    <w:p>
      <w:pPr>
        <w:pStyle w:val="BodyText"/>
        <w:spacing w:line="257" w:lineRule="auto"/>
        <w:rPr/>
      </w:pPr>
      <w:r/>
    </w:p>
    <w:p>
      <w:pPr>
        <w:ind w:left="8400"/>
        <w:spacing w:before="75" w:line="621" w:lineRule="exact"/>
        <w:rPr>
          <w:rFonts w:ascii="SimHei" w:hAnsi="SimHei" w:eastAsia="SimHei" w:cs="SimHei"/>
          <w:sz w:val="23"/>
          <w:szCs w:val="23"/>
        </w:rPr>
      </w:pPr>
      <w:r>
        <w:rPr>
          <w:rFonts w:ascii="SimHei" w:hAnsi="SimHei" w:eastAsia="SimHei" w:cs="SimHei"/>
          <w:sz w:val="23"/>
          <w:szCs w:val="23"/>
          <w:spacing w:val="-3"/>
          <w:position w:val="30"/>
        </w:rPr>
        <w:t>中华人民共和国主席习近平</w:t>
      </w:r>
    </w:p>
    <w:p>
      <w:pPr>
        <w:ind w:left="9439"/>
        <w:spacing w:line="223" w:lineRule="auto"/>
        <w:rPr>
          <w:rFonts w:ascii="SimHei" w:hAnsi="SimHei" w:eastAsia="SimHei" w:cs="SimHei"/>
          <w:sz w:val="23"/>
          <w:szCs w:val="23"/>
        </w:rPr>
      </w:pPr>
      <w:r>
        <w:rPr>
          <w:rFonts w:ascii="SimHei" w:hAnsi="SimHei" w:eastAsia="SimHei" w:cs="SimHei"/>
          <w:sz w:val="23"/>
          <w:szCs w:val="23"/>
          <w:spacing w:val="5"/>
        </w:rPr>
        <w:t>2023年12月29日</w:t>
      </w:r>
    </w:p>
    <w:p>
      <w:pPr>
        <w:ind w:firstLine="4249"/>
        <w:spacing w:before="182" w:line="2810" w:lineRule="exact"/>
        <w:rPr/>
      </w:pPr>
      <w:r>
        <w:rPr>
          <w:position w:val="-56"/>
        </w:rPr>
        <w:drawing>
          <wp:inline distT="0" distB="0" distL="0" distR="0">
            <wp:extent cx="1809789" cy="1784407"/>
            <wp:effectExtent l="0" t="0" r="0" b="0"/>
            <wp:docPr id="6" name="IM 6"/>
            <wp:cNvGraphicFramePr/>
            <a:graphic>
              <a:graphicData uri="http://schemas.openxmlformats.org/drawingml/2006/picture">
                <pic:pic>
                  <pic:nvPicPr>
                    <pic:cNvPr id="6" name="IM 6"/>
                    <pic:cNvPicPr/>
                  </pic:nvPicPr>
                  <pic:blipFill>
                    <a:blip r:embed="rId5"/>
                    <a:stretch>
                      <a:fillRect/>
                    </a:stretch>
                  </pic:blipFill>
                  <pic:spPr>
                    <a:xfrm rot="0">
                      <a:off x="0" y="0"/>
                      <a:ext cx="1809789" cy="1784407"/>
                    </a:xfrm>
                    <a:prstGeom prst="rect">
                      <a:avLst/>
                    </a:prstGeom>
                  </pic:spPr>
                </pic:pic>
              </a:graphicData>
            </a:graphic>
          </wp:inline>
        </w:drawing>
      </w:r>
    </w:p>
    <w:p>
      <w:pPr>
        <w:pStyle w:val="BodyText"/>
        <w:spacing w:line="258" w:lineRule="auto"/>
        <w:rPr/>
      </w:pPr>
      <w:r/>
    </w:p>
    <w:p>
      <w:pPr>
        <w:ind w:left="3773"/>
        <w:spacing w:before="75" w:line="222" w:lineRule="auto"/>
        <w:rPr>
          <w:rFonts w:ascii="SimHei" w:hAnsi="SimHei" w:eastAsia="SimHei" w:cs="SimHei"/>
          <w:sz w:val="23"/>
          <w:szCs w:val="23"/>
        </w:rPr>
      </w:pPr>
      <w:r>
        <w:rPr>
          <w:rFonts w:ascii="SimHei" w:hAnsi="SimHei" w:eastAsia="SimHei" w:cs="SimHei"/>
          <w:sz w:val="23"/>
          <w:szCs w:val="23"/>
          <w:b/>
          <w:bCs/>
          <w:spacing w:val="18"/>
        </w:rPr>
        <w:t>中华人民共和国公司法(2023年修订)</w:t>
      </w:r>
    </w:p>
    <w:p>
      <w:pPr>
        <w:spacing w:line="222" w:lineRule="auto"/>
        <w:sectPr>
          <w:headerReference w:type="default" r:id="rId3"/>
          <w:pgSz w:w="11910" w:h="16840"/>
          <w:pgMar w:top="400" w:right="10" w:bottom="0" w:left="320" w:header="0" w:footer="0" w:gutter="0"/>
        </w:sectPr>
        <w:rPr>
          <w:rFonts w:ascii="SimHei" w:hAnsi="SimHei" w:eastAsia="SimHei" w:cs="SimHei"/>
          <w:sz w:val="23"/>
          <w:szCs w:val="23"/>
        </w:rPr>
      </w:pPr>
    </w:p>
    <w:p>
      <w:pPr>
        <w:ind w:left="508"/>
        <w:spacing w:before="114" w:line="222" w:lineRule="auto"/>
        <w:rPr>
          <w:rFonts w:ascii="SimHei" w:hAnsi="SimHei" w:eastAsia="SimHei" w:cs="SimHei"/>
          <w:sz w:val="23"/>
          <w:szCs w:val="23"/>
        </w:rPr>
      </w:pPr>
      <w:r>
        <w:rPr>
          <w:rFonts w:ascii="SimHei" w:hAnsi="SimHei" w:eastAsia="SimHei" w:cs="SimHei"/>
          <w:sz w:val="23"/>
          <w:szCs w:val="23"/>
          <w:b/>
          <w:bCs/>
          <w:spacing w:val="13"/>
        </w:rPr>
        <w:t>2、</w:t>
      </w:r>
      <w:r>
        <w:rPr>
          <w:rFonts w:ascii="SimHei" w:hAnsi="SimHei" w:eastAsia="SimHei" w:cs="SimHei"/>
          <w:sz w:val="23"/>
          <w:szCs w:val="23"/>
          <w:spacing w:val="102"/>
        </w:rPr>
        <w:t xml:space="preserve"> </w:t>
      </w:r>
      <w:r>
        <w:rPr>
          <w:rFonts w:ascii="SimHei" w:hAnsi="SimHei" w:eastAsia="SimHei" w:cs="SimHei"/>
          <w:sz w:val="23"/>
          <w:szCs w:val="23"/>
          <w:b/>
          <w:bCs/>
          <w:spacing w:val="13"/>
        </w:rPr>
        <w:t>上海证券交易所上市公司自律监管指南第1号——公告格式(2023年12月第二次修订</w:t>
      </w:r>
      <w:r>
        <w:rPr>
          <w:rFonts w:ascii="SimHei" w:hAnsi="SimHei" w:eastAsia="SimHei" w:cs="SimHei"/>
          <w:sz w:val="23"/>
          <w:szCs w:val="23"/>
          <w:spacing w:val="13"/>
        </w:rPr>
        <w:t>)</w:t>
      </w:r>
    </w:p>
    <w:p>
      <w:pPr>
        <w:pStyle w:val="BodyText"/>
        <w:spacing w:line="272" w:lineRule="auto"/>
        <w:rPr/>
      </w:pPr>
      <w:r/>
    </w:p>
    <w:p>
      <w:pPr>
        <w:ind w:right="25" w:firstLine="465"/>
        <w:spacing w:before="74" w:line="283" w:lineRule="auto"/>
        <w:jc w:val="both"/>
        <w:rPr>
          <w:rFonts w:ascii="SimHei" w:hAnsi="SimHei" w:eastAsia="SimHei" w:cs="SimHei"/>
          <w:sz w:val="23"/>
          <w:szCs w:val="23"/>
        </w:rPr>
      </w:pPr>
      <w:r>
        <w:rPr>
          <w:rFonts w:ascii="SimHei" w:hAnsi="SimHei" w:eastAsia="SimHei" w:cs="SimHei"/>
          <w:sz w:val="23"/>
          <w:szCs w:val="23"/>
          <w:spacing w:val="-8"/>
        </w:rPr>
        <w:t>为引导上市公司充分揭示退市风险，增强退市风险相关信息披露的针对性和有效性，上海证券交易所(以下简</w:t>
      </w:r>
      <w:r>
        <w:rPr>
          <w:rFonts w:ascii="SimHei" w:hAnsi="SimHei" w:eastAsia="SimHei" w:cs="SimHei"/>
          <w:sz w:val="23"/>
          <w:szCs w:val="23"/>
          <w:spacing w:val="3"/>
        </w:rPr>
        <w:t xml:space="preserve"> </w:t>
      </w:r>
      <w:r>
        <w:rPr>
          <w:rFonts w:ascii="SimHei" w:hAnsi="SimHei" w:eastAsia="SimHei" w:cs="SimHei"/>
          <w:sz w:val="23"/>
          <w:szCs w:val="23"/>
          <w:spacing w:val="-1"/>
        </w:rPr>
        <w:t>称本所)对《上海证券交易所上市公司自律监管指南第1号——公告格式》进行了修订，涉及《第五十号上市公</w:t>
      </w:r>
      <w:r>
        <w:rPr>
          <w:rFonts w:ascii="SimHei" w:hAnsi="SimHei" w:eastAsia="SimHei" w:cs="SimHei"/>
          <w:sz w:val="23"/>
          <w:szCs w:val="23"/>
          <w:spacing w:val="12"/>
        </w:rPr>
        <w:t xml:space="preserve"> </w:t>
      </w:r>
      <w:r>
        <w:rPr>
          <w:rFonts w:ascii="SimHei" w:hAnsi="SimHei" w:eastAsia="SimHei" w:cs="SimHei"/>
          <w:sz w:val="23"/>
          <w:szCs w:val="23"/>
          <w:spacing w:val="-3"/>
        </w:rPr>
        <w:t>司股票风险警示及终止上市相关事项公告》,现予以发布，并自发布之日起施行。本所于2023年12月15日发布的</w:t>
      </w:r>
      <w:r>
        <w:rPr>
          <w:rFonts w:ascii="SimHei" w:hAnsi="SimHei" w:eastAsia="SimHei" w:cs="SimHei"/>
          <w:sz w:val="23"/>
          <w:szCs w:val="23"/>
          <w:spacing w:val="17"/>
        </w:rPr>
        <w:t xml:space="preserve"> </w:t>
      </w:r>
      <w:r>
        <w:rPr>
          <w:rFonts w:ascii="SimHei" w:hAnsi="SimHei" w:eastAsia="SimHei" w:cs="SimHei"/>
          <w:sz w:val="23"/>
          <w:szCs w:val="23"/>
          <w:spacing w:val="-1"/>
        </w:rPr>
        <w:t>《关于发布《上海证券交易所上市公司自律监管指南第1号——公告格式(2023年12月修订)〉的通知》</w:t>
      </w:r>
      <w:r>
        <w:rPr>
          <w:rFonts w:ascii="SimHei" w:hAnsi="SimHei" w:eastAsia="SimHei" w:cs="SimHei"/>
          <w:sz w:val="23"/>
          <w:szCs w:val="23"/>
          <w:spacing w:val="113"/>
        </w:rPr>
        <w:t xml:space="preserve"> </w:t>
      </w:r>
      <w:r>
        <w:rPr>
          <w:rFonts w:ascii="SimHei" w:hAnsi="SimHei" w:eastAsia="SimHei" w:cs="SimHei"/>
          <w:sz w:val="23"/>
          <w:szCs w:val="23"/>
          <w:spacing w:val="-1"/>
        </w:rPr>
        <w:t>(上证</w:t>
      </w:r>
      <w:r>
        <w:rPr>
          <w:rFonts w:ascii="SimHei" w:hAnsi="SimHei" w:eastAsia="SimHei" w:cs="SimHei"/>
          <w:sz w:val="23"/>
          <w:szCs w:val="23"/>
        </w:rPr>
        <w:t xml:space="preserve"> </w:t>
      </w:r>
      <w:r>
        <w:rPr>
          <w:rFonts w:ascii="SimHei" w:hAnsi="SimHei" w:eastAsia="SimHei" w:cs="SimHei"/>
          <w:sz w:val="23"/>
          <w:szCs w:val="23"/>
          <w:spacing w:val="4"/>
        </w:rPr>
        <w:t>函〔2023〕3488号)同时废止。</w:t>
      </w:r>
    </w:p>
    <w:p>
      <w:pPr>
        <w:pStyle w:val="BodyText"/>
        <w:spacing w:line="278" w:lineRule="auto"/>
        <w:rPr/>
      </w:pPr>
      <w:r/>
    </w:p>
    <w:p>
      <w:pPr>
        <w:ind w:left="455"/>
        <w:spacing w:before="75" w:line="222" w:lineRule="auto"/>
        <w:rPr>
          <w:rFonts w:ascii="SimHei" w:hAnsi="SimHei" w:eastAsia="SimHei" w:cs="SimHei"/>
          <w:sz w:val="23"/>
          <w:szCs w:val="23"/>
        </w:rPr>
      </w:pPr>
      <w:r>
        <w:rPr>
          <w:rFonts w:ascii="SimHei" w:hAnsi="SimHei" w:eastAsia="SimHei" w:cs="SimHei"/>
          <w:sz w:val="23"/>
          <w:szCs w:val="23"/>
          <w:spacing w:val="-14"/>
        </w:rPr>
        <w:t>特此公告。</w:t>
      </w:r>
    </w:p>
    <w:p>
      <w:pPr>
        <w:pStyle w:val="BodyText"/>
        <w:spacing w:line="267" w:lineRule="auto"/>
        <w:rPr/>
      </w:pPr>
      <w:r/>
    </w:p>
    <w:p>
      <w:pPr>
        <w:spacing w:before="75" w:line="612" w:lineRule="exact"/>
        <w:jc w:val="right"/>
        <w:rPr>
          <w:rFonts w:ascii="SimHei" w:hAnsi="SimHei" w:eastAsia="SimHei" w:cs="SimHei"/>
          <w:sz w:val="23"/>
          <w:szCs w:val="23"/>
        </w:rPr>
      </w:pPr>
      <w:r>
        <w:rPr>
          <w:rFonts w:ascii="SimHei" w:hAnsi="SimHei" w:eastAsia="SimHei" w:cs="SimHei"/>
          <w:sz w:val="23"/>
          <w:szCs w:val="23"/>
          <w:spacing w:val="-10"/>
          <w:position w:val="29"/>
        </w:rPr>
        <w:t>上海证券交易所</w:t>
      </w:r>
    </w:p>
    <w:p>
      <w:pPr>
        <w:ind w:right="7"/>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134"/>
        <w:spacing w:before="182" w:line="2820" w:lineRule="exact"/>
        <w:rPr/>
      </w:pPr>
      <w:r>
        <w:rPr>
          <w:position w:val="-56"/>
        </w:rPr>
        <w:drawing>
          <wp:inline distT="0" distB="0" distL="0" distR="0">
            <wp:extent cx="1809790" cy="1790716"/>
            <wp:effectExtent l="0" t="0" r="0" b="0"/>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1809790" cy="1790716"/>
                    </a:xfrm>
                    <a:prstGeom prst="rect">
                      <a:avLst/>
                    </a:prstGeom>
                  </pic:spPr>
                </pic:pic>
              </a:graphicData>
            </a:graphic>
          </wp:inline>
        </w:drawing>
      </w:r>
    </w:p>
    <w:p>
      <w:pPr>
        <w:pStyle w:val="BodyText"/>
        <w:spacing w:line="248" w:lineRule="auto"/>
        <w:rPr/>
      </w:pPr>
      <w:r/>
    </w:p>
    <w:p>
      <w:pPr>
        <w:ind w:left="1138"/>
        <w:spacing w:before="75" w:line="222" w:lineRule="auto"/>
        <w:rPr>
          <w:rFonts w:ascii="SimHei" w:hAnsi="SimHei" w:eastAsia="SimHei" w:cs="SimHei"/>
          <w:sz w:val="23"/>
          <w:szCs w:val="23"/>
        </w:rPr>
      </w:pPr>
      <w:r>
        <w:rPr>
          <w:rFonts w:ascii="SimHei" w:hAnsi="SimHei" w:eastAsia="SimHei" w:cs="SimHei"/>
          <w:sz w:val="23"/>
          <w:szCs w:val="23"/>
          <w:b/>
          <w:bCs/>
          <w:spacing w:val="15"/>
        </w:rPr>
        <w:t>上海证券交易所上市公司自律监管指南第1号——公告格式(2023年12月第二次</w:t>
      </w:r>
      <w:r>
        <w:rPr>
          <w:rFonts w:ascii="SimHei" w:hAnsi="SimHei" w:eastAsia="SimHei" w:cs="SimHei"/>
          <w:sz w:val="23"/>
          <w:szCs w:val="23"/>
          <w:b/>
          <w:bCs/>
          <w:spacing w:val="14"/>
        </w:rPr>
        <w:t>修订)</w:t>
      </w:r>
    </w:p>
    <w:p>
      <w:pPr>
        <w:spacing w:line="222" w:lineRule="auto"/>
        <w:sectPr>
          <w:pgSz w:w="11910" w:h="16840"/>
          <w:pgMar w:top="400" w:right="445" w:bottom="0" w:left="424" w:header="0" w:footer="0" w:gutter="0"/>
        </w:sectPr>
        <w:rPr>
          <w:rFonts w:ascii="SimHei" w:hAnsi="SimHei" w:eastAsia="SimHei" w:cs="SimHei"/>
          <w:sz w:val="23"/>
          <w:szCs w:val="23"/>
        </w:rPr>
      </w:pPr>
    </w:p>
    <w:p>
      <w:pPr>
        <w:ind w:left="518"/>
        <w:spacing w:before="94" w:line="222" w:lineRule="auto"/>
        <w:outlineLvl w:val="0"/>
        <w:rPr>
          <w:rFonts w:ascii="SimHei" w:hAnsi="SimHei" w:eastAsia="SimHei" w:cs="SimHei"/>
          <w:sz w:val="23"/>
          <w:szCs w:val="23"/>
        </w:rPr>
      </w:pPr>
      <w:r>
        <w:rPr>
          <w:rFonts w:ascii="SimHei" w:hAnsi="SimHei" w:eastAsia="SimHei" w:cs="SimHei"/>
          <w:sz w:val="23"/>
          <w:szCs w:val="23"/>
          <w:b/>
          <w:bCs/>
          <w:spacing w:val="7"/>
        </w:rPr>
        <w:t>3、</w:t>
      </w:r>
      <w:r>
        <w:rPr>
          <w:rFonts w:ascii="SimHei" w:hAnsi="SimHei" w:eastAsia="SimHei" w:cs="SimHei"/>
          <w:sz w:val="23"/>
          <w:szCs w:val="23"/>
          <w:spacing w:val="82"/>
        </w:rPr>
        <w:t xml:space="preserve"> </w:t>
      </w:r>
      <w:r>
        <w:rPr>
          <w:rFonts w:ascii="SimHei" w:hAnsi="SimHei" w:eastAsia="SimHei" w:cs="SimHei"/>
          <w:sz w:val="23"/>
          <w:szCs w:val="23"/>
          <w:b/>
          <w:bCs/>
          <w:spacing w:val="7"/>
        </w:rPr>
        <w:t>上海证券交易所上市公司自律监管指南第十</w:t>
      </w:r>
      <w:r>
        <w:rPr>
          <w:rFonts w:ascii="SimHei" w:hAnsi="SimHei" w:eastAsia="SimHei" w:cs="SimHei"/>
          <w:sz w:val="23"/>
          <w:szCs w:val="23"/>
          <w:b/>
          <w:bCs/>
          <w:spacing w:val="6"/>
        </w:rPr>
        <w:t>三号——退市风险公司信息披露</w:t>
      </w:r>
    </w:p>
    <w:p>
      <w:pPr>
        <w:pStyle w:val="BodyText"/>
        <w:spacing w:line="289" w:lineRule="auto"/>
        <w:rPr/>
      </w:pPr>
      <w:r/>
    </w:p>
    <w:p>
      <w:pPr>
        <w:ind w:right="25" w:firstLine="485"/>
        <w:spacing w:before="75" w:line="276" w:lineRule="auto"/>
        <w:jc w:val="both"/>
        <w:rPr>
          <w:rFonts w:ascii="SimHei" w:hAnsi="SimHei" w:eastAsia="SimHei" w:cs="SimHei"/>
          <w:sz w:val="23"/>
          <w:szCs w:val="23"/>
        </w:rPr>
      </w:pPr>
      <w:r>
        <w:rPr>
          <w:rFonts w:ascii="SimHei" w:hAnsi="SimHei" w:eastAsia="SimHei" w:cs="SimHei"/>
          <w:sz w:val="23"/>
          <w:szCs w:val="23"/>
          <w:spacing w:val="-8"/>
        </w:rPr>
        <w:t>为严格执行退市制度，推动“应退尽退”常态化退市机制形成，引导股票具</w:t>
      </w:r>
      <w:r>
        <w:rPr>
          <w:rFonts w:ascii="SimHei" w:hAnsi="SimHei" w:eastAsia="SimHei" w:cs="SimHei"/>
          <w:sz w:val="23"/>
          <w:szCs w:val="23"/>
          <w:spacing w:val="-9"/>
        </w:rPr>
        <w:t>有退市风险的上市公司(以下简称</w:t>
      </w:r>
      <w:r>
        <w:rPr>
          <w:rFonts w:ascii="SimHei" w:hAnsi="SimHei" w:eastAsia="SimHei" w:cs="SimHei"/>
          <w:sz w:val="23"/>
          <w:szCs w:val="23"/>
        </w:rPr>
        <w:t xml:space="preserve"> </w:t>
      </w:r>
      <w:r>
        <w:rPr>
          <w:rFonts w:ascii="SimHei" w:hAnsi="SimHei" w:eastAsia="SimHei" w:cs="SimHei"/>
          <w:sz w:val="23"/>
          <w:szCs w:val="23"/>
        </w:rPr>
        <w:t>退市风险公司)及其董事、监事、高级管理人员(以下简</w:t>
      </w:r>
      <w:r>
        <w:rPr>
          <w:rFonts w:ascii="SimHei" w:hAnsi="SimHei" w:eastAsia="SimHei" w:cs="SimHei"/>
          <w:sz w:val="23"/>
          <w:szCs w:val="23"/>
          <w:spacing w:val="-1"/>
        </w:rPr>
        <w:t>称董监高)和负责审计的会计师事务所(以下简称会计师</w:t>
      </w:r>
      <w:r>
        <w:rPr>
          <w:rFonts w:ascii="SimHei" w:hAnsi="SimHei" w:eastAsia="SimHei" w:cs="SimHei"/>
          <w:sz w:val="23"/>
          <w:szCs w:val="23"/>
        </w:rPr>
        <w:t xml:space="preserve"> </w:t>
      </w:r>
      <w:r>
        <w:rPr>
          <w:rFonts w:ascii="SimHei" w:hAnsi="SimHei" w:eastAsia="SimHei" w:cs="SimHei"/>
          <w:sz w:val="23"/>
          <w:szCs w:val="23"/>
          <w:spacing w:val="-9"/>
        </w:rPr>
        <w:t>事务所)归位尽责，充分揭示退市风险、保护投资者合法权益，根据《上海证券交</w:t>
      </w:r>
      <w:r>
        <w:rPr>
          <w:rFonts w:ascii="SimHei" w:hAnsi="SimHei" w:eastAsia="SimHei" w:cs="SimHei"/>
          <w:sz w:val="23"/>
          <w:szCs w:val="23"/>
          <w:spacing w:val="-10"/>
        </w:rPr>
        <w:t>易所股票上市规则》</w:t>
      </w:r>
      <w:r>
        <w:rPr>
          <w:rFonts w:ascii="SimHei" w:hAnsi="SimHei" w:eastAsia="SimHei" w:cs="SimHei"/>
          <w:sz w:val="23"/>
          <w:szCs w:val="23"/>
          <w:spacing w:val="85"/>
        </w:rPr>
        <w:t xml:space="preserve"> </w:t>
      </w:r>
      <w:r>
        <w:rPr>
          <w:rFonts w:ascii="SimHei" w:hAnsi="SimHei" w:eastAsia="SimHei" w:cs="SimHei"/>
          <w:sz w:val="23"/>
          <w:szCs w:val="23"/>
          <w:spacing w:val="-10"/>
        </w:rPr>
        <w:t>(以下简称</w:t>
      </w:r>
      <w:r>
        <w:rPr>
          <w:rFonts w:ascii="SimHei" w:hAnsi="SimHei" w:eastAsia="SimHei" w:cs="SimHei"/>
          <w:sz w:val="23"/>
          <w:szCs w:val="23"/>
        </w:rPr>
        <w:t xml:space="preserve"> </w:t>
      </w:r>
      <w:r>
        <w:rPr>
          <w:rFonts w:ascii="SimHei" w:hAnsi="SimHei" w:eastAsia="SimHei" w:cs="SimHei"/>
          <w:sz w:val="23"/>
          <w:szCs w:val="23"/>
          <w:spacing w:val="-7"/>
        </w:rPr>
        <w:t>《股票上市规则》)等相关业务规则，制定本指南。</w:t>
      </w:r>
    </w:p>
    <w:p>
      <w:pPr>
        <w:pStyle w:val="BodyText"/>
        <w:spacing w:line="298" w:lineRule="auto"/>
        <w:rPr/>
      </w:pPr>
      <w:r/>
    </w:p>
    <w:p>
      <w:pPr>
        <w:ind w:left="465"/>
        <w:spacing w:before="75" w:line="222" w:lineRule="auto"/>
        <w:rPr>
          <w:rFonts w:ascii="SimHei" w:hAnsi="SimHei" w:eastAsia="SimHei" w:cs="SimHei"/>
          <w:sz w:val="23"/>
          <w:szCs w:val="23"/>
        </w:rPr>
      </w:pPr>
      <w:r>
        <w:rPr>
          <w:rFonts w:ascii="SimHei" w:hAnsi="SimHei" w:eastAsia="SimHei" w:cs="SimHei"/>
          <w:sz w:val="23"/>
          <w:szCs w:val="23"/>
          <w:spacing w:val="-14"/>
        </w:rPr>
        <w:t>特此公告。</w:t>
      </w:r>
    </w:p>
    <w:p>
      <w:pPr>
        <w:pStyle w:val="BodyText"/>
        <w:spacing w:line="247" w:lineRule="auto"/>
        <w:rPr/>
      </w:pPr>
      <w:r/>
    </w:p>
    <w:p>
      <w:pPr>
        <w:ind w:right="10"/>
        <w:spacing w:before="75" w:line="622" w:lineRule="exact"/>
        <w:jc w:val="right"/>
        <w:rPr>
          <w:rFonts w:ascii="SimHei" w:hAnsi="SimHei" w:eastAsia="SimHei" w:cs="SimHei"/>
          <w:sz w:val="23"/>
          <w:szCs w:val="23"/>
        </w:rPr>
      </w:pPr>
      <w:r>
        <w:rPr>
          <w:rFonts w:ascii="SimHei" w:hAnsi="SimHei" w:eastAsia="SimHei" w:cs="SimHei"/>
          <w:sz w:val="23"/>
          <w:szCs w:val="23"/>
          <w:spacing w:val="-11"/>
          <w:position w:val="30"/>
        </w:rPr>
        <w:t>上海证券交易所</w:t>
      </w:r>
    </w:p>
    <w:p>
      <w:pPr>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324"/>
        <w:spacing w:before="191" w:line="2811" w:lineRule="exact"/>
        <w:rPr/>
      </w:pPr>
      <w:r>
        <w:rPr>
          <w:position w:val="-56"/>
        </w:rPr>
        <w:drawing>
          <wp:inline distT="0" distB="0" distL="0" distR="0">
            <wp:extent cx="1803437" cy="1784407"/>
            <wp:effectExtent l="0" t="0" r="0" b="0"/>
            <wp:docPr id="10" name="IM 10"/>
            <wp:cNvGraphicFramePr/>
            <a:graphic>
              <a:graphicData uri="http://schemas.openxmlformats.org/drawingml/2006/picture">
                <pic:pic>
                  <pic:nvPicPr>
                    <pic:cNvPr id="10" name="IM 10"/>
                    <pic:cNvPicPr/>
                  </pic:nvPicPr>
                  <pic:blipFill>
                    <a:blip r:embed="rId7"/>
                    <a:stretch>
                      <a:fillRect/>
                    </a:stretch>
                  </pic:blipFill>
                  <pic:spPr>
                    <a:xfrm rot="0">
                      <a:off x="0" y="0"/>
                      <a:ext cx="1803437" cy="1784407"/>
                    </a:xfrm>
                    <a:prstGeom prst="rect">
                      <a:avLst/>
                    </a:prstGeom>
                  </pic:spPr>
                </pic:pic>
              </a:graphicData>
            </a:graphic>
          </wp:inline>
        </w:drawing>
      </w:r>
    </w:p>
    <w:p>
      <w:pPr>
        <w:ind w:left="1688"/>
        <w:spacing w:before="294" w:line="222" w:lineRule="auto"/>
        <w:rPr>
          <w:rFonts w:ascii="SimHei" w:hAnsi="SimHei" w:eastAsia="SimHei" w:cs="SimHei"/>
          <w:sz w:val="23"/>
          <w:szCs w:val="23"/>
        </w:rPr>
      </w:pPr>
      <w:r>
        <w:rPr>
          <w:rFonts w:ascii="SimHei" w:hAnsi="SimHei" w:eastAsia="SimHei" w:cs="SimHei"/>
          <w:sz w:val="23"/>
          <w:szCs w:val="23"/>
          <w:b/>
          <w:bCs/>
          <w:spacing w:val="8"/>
        </w:rPr>
        <w:t>上海证券交易所上市公司自律监管指南第十三号——退市风险公司信息披露</w:t>
      </w:r>
    </w:p>
    <w:p>
      <w:pPr>
        <w:spacing w:line="222" w:lineRule="auto"/>
        <w:sectPr>
          <w:pgSz w:w="11910" w:h="16840"/>
          <w:pgMar w:top="400" w:right="453" w:bottom="0" w:left="414" w:header="0" w:footer="0" w:gutter="0"/>
        </w:sectPr>
        <w:rPr>
          <w:rFonts w:ascii="SimHei" w:hAnsi="SimHei" w:eastAsia="SimHei" w:cs="SimHei"/>
          <w:sz w:val="23"/>
          <w:szCs w:val="23"/>
        </w:rPr>
      </w:pPr>
    </w:p>
    <w:p>
      <w:pPr>
        <w:ind w:left="490"/>
        <w:spacing w:before="117" w:line="221" w:lineRule="auto"/>
        <w:rPr>
          <w:rFonts w:ascii="SimHei" w:hAnsi="SimHei" w:eastAsia="SimHei" w:cs="SimHei"/>
          <w:sz w:val="23"/>
          <w:szCs w:val="23"/>
        </w:rPr>
      </w:pPr>
      <w:r>
        <w:rPr>
          <w:rFonts w:ascii="SimHei" w:hAnsi="SimHei" w:eastAsia="SimHei" w:cs="SimHei"/>
          <w:sz w:val="23"/>
          <w:szCs w:val="23"/>
          <w:spacing w:val="14"/>
        </w:rPr>
        <w:t>4、</w:t>
      </w:r>
      <w:r>
        <w:rPr>
          <w:rFonts w:ascii="SimHei" w:hAnsi="SimHei" w:eastAsia="SimHei" w:cs="SimHei"/>
          <w:sz w:val="23"/>
          <w:szCs w:val="23"/>
          <w:spacing w:val="-50"/>
        </w:rPr>
        <w:t xml:space="preserve"> </w:t>
      </w:r>
      <w:r>
        <w:rPr>
          <w:rFonts w:ascii="SimHei" w:hAnsi="SimHei" w:eastAsia="SimHei" w:cs="SimHei"/>
          <w:sz w:val="23"/>
          <w:szCs w:val="23"/>
          <w:spacing w:val="14"/>
        </w:rPr>
        <w:t>深圳证券交易所公司债券存续期业务指南第3号——</w:t>
      </w:r>
      <w:r>
        <w:rPr>
          <w:rFonts w:ascii="SimHei" w:hAnsi="SimHei" w:eastAsia="SimHei" w:cs="SimHei"/>
          <w:sz w:val="23"/>
          <w:szCs w:val="23"/>
          <w:spacing w:val="13"/>
        </w:rPr>
        <w:t>募集资金管理重点关注事项(试行)</w:t>
      </w:r>
    </w:p>
    <w:p>
      <w:pPr>
        <w:pStyle w:val="BodyText"/>
        <w:spacing w:line="259" w:lineRule="auto"/>
        <w:rPr/>
      </w:pPr>
      <w:r/>
    </w:p>
    <w:p>
      <w:pPr>
        <w:ind w:left="10" w:right="27" w:firstLine="470"/>
        <w:spacing w:before="75" w:line="313" w:lineRule="auto"/>
        <w:jc w:val="both"/>
        <w:rPr>
          <w:rFonts w:ascii="SimHei" w:hAnsi="SimHei" w:eastAsia="SimHei" w:cs="SimHei"/>
          <w:sz w:val="23"/>
          <w:szCs w:val="23"/>
        </w:rPr>
      </w:pPr>
      <w:r>
        <w:rPr>
          <w:rFonts w:ascii="SimHei" w:hAnsi="SimHei" w:eastAsia="SimHei" w:cs="SimHei"/>
          <w:sz w:val="23"/>
          <w:szCs w:val="23"/>
          <w:spacing w:val="-1"/>
        </w:rPr>
        <w:t>为了进一步规范公司债券(含企业债券)募集资金管理，深圳证券交易所(以下简称本所)制定</w:t>
      </w:r>
      <w:r>
        <w:rPr>
          <w:rFonts w:ascii="SimHei" w:hAnsi="SimHei" w:eastAsia="SimHei" w:cs="SimHei"/>
          <w:sz w:val="23"/>
          <w:szCs w:val="23"/>
          <w:spacing w:val="-2"/>
        </w:rPr>
        <w:t>了《深圳证券</w:t>
      </w:r>
      <w:r>
        <w:rPr>
          <w:rFonts w:ascii="SimHei" w:hAnsi="SimHei" w:eastAsia="SimHei" w:cs="SimHei"/>
          <w:sz w:val="23"/>
          <w:szCs w:val="23"/>
        </w:rPr>
        <w:t xml:space="preserve"> </w:t>
      </w:r>
      <w:r>
        <w:rPr>
          <w:rFonts w:ascii="SimHei" w:hAnsi="SimHei" w:eastAsia="SimHei" w:cs="SimHei"/>
          <w:sz w:val="23"/>
          <w:szCs w:val="23"/>
          <w:spacing w:val="-1"/>
        </w:rPr>
        <w:t>交易所公司债券存续期业务指南第3号——募集资金管理重点关注事项(试行)》,现予以发布，并自发布之日起</w:t>
      </w:r>
    </w:p>
    <w:p>
      <w:pPr>
        <w:spacing w:line="221" w:lineRule="auto"/>
        <w:rPr>
          <w:rFonts w:ascii="SimHei" w:hAnsi="SimHei" w:eastAsia="SimHei" w:cs="SimHei"/>
          <w:sz w:val="23"/>
          <w:szCs w:val="23"/>
        </w:rPr>
      </w:pPr>
      <w:r>
        <w:rPr>
          <w:rFonts w:ascii="SimHei" w:hAnsi="SimHei" w:eastAsia="SimHei" w:cs="SimHei"/>
          <w:sz w:val="23"/>
          <w:szCs w:val="23"/>
          <w:spacing w:val="-9"/>
        </w:rPr>
        <w:t>施行。</w:t>
      </w:r>
    </w:p>
    <w:p>
      <w:pPr>
        <w:ind w:left="10" w:right="16" w:firstLine="460"/>
        <w:spacing w:before="314" w:line="278" w:lineRule="auto"/>
        <w:jc w:val="both"/>
        <w:rPr>
          <w:rFonts w:ascii="SimHei" w:hAnsi="SimHei" w:eastAsia="SimHei" w:cs="SimHei"/>
          <w:sz w:val="23"/>
          <w:szCs w:val="23"/>
        </w:rPr>
      </w:pPr>
      <w:r>
        <w:rPr>
          <w:rFonts w:ascii="SimHei" w:hAnsi="SimHei" w:eastAsia="SimHei" w:cs="SimHei"/>
          <w:sz w:val="23"/>
          <w:szCs w:val="23"/>
          <w:spacing w:val="-10"/>
        </w:rPr>
        <w:t>发行人应当严格按照规定和约定使用募集资金并履行信息披露义务；受托管理</w:t>
      </w:r>
      <w:r>
        <w:rPr>
          <w:rFonts w:ascii="SimHei" w:hAnsi="SimHei" w:eastAsia="SimHei" w:cs="SimHei"/>
          <w:sz w:val="23"/>
          <w:szCs w:val="23"/>
          <w:spacing w:val="-11"/>
        </w:rPr>
        <w:t>人应当严格履行募集资金使用监</w:t>
      </w:r>
      <w:r>
        <w:rPr>
          <w:rFonts w:ascii="SimHei" w:hAnsi="SimHei" w:eastAsia="SimHei" w:cs="SimHei"/>
          <w:sz w:val="23"/>
          <w:szCs w:val="23"/>
        </w:rPr>
        <w:t xml:space="preserve"> </w:t>
      </w:r>
      <w:r>
        <w:rPr>
          <w:rFonts w:ascii="SimHei" w:hAnsi="SimHei" w:eastAsia="SimHei" w:cs="SimHei"/>
          <w:sz w:val="23"/>
          <w:szCs w:val="23"/>
          <w:spacing w:val="-10"/>
        </w:rPr>
        <w:t>督义务，在受托管理事务年度报告中，按照规定和约定的各项要求，披露发行人募集资金使用及专项账户运</w:t>
      </w:r>
      <w:r>
        <w:rPr>
          <w:rFonts w:ascii="SimHei" w:hAnsi="SimHei" w:eastAsia="SimHei" w:cs="SimHei"/>
          <w:sz w:val="23"/>
          <w:szCs w:val="23"/>
          <w:spacing w:val="-11"/>
        </w:rPr>
        <w:t>作情况</w:t>
      </w:r>
      <w:r>
        <w:rPr>
          <w:rFonts w:ascii="SimHei" w:hAnsi="SimHei" w:eastAsia="SimHei" w:cs="SimHei"/>
          <w:sz w:val="23"/>
          <w:szCs w:val="23"/>
        </w:rPr>
        <w:t xml:space="preserve"> </w:t>
      </w:r>
      <w:r>
        <w:rPr>
          <w:rFonts w:ascii="SimHei" w:hAnsi="SimHei" w:eastAsia="SimHei" w:cs="SimHei"/>
          <w:sz w:val="23"/>
          <w:szCs w:val="23"/>
          <w:spacing w:val="-12"/>
        </w:rPr>
        <w:t>与核查情况。</w:t>
      </w:r>
    </w:p>
    <w:p>
      <w:pPr>
        <w:pStyle w:val="BodyText"/>
        <w:spacing w:line="254" w:lineRule="auto"/>
        <w:rPr/>
      </w:pPr>
      <w:r/>
    </w:p>
    <w:p>
      <w:pPr>
        <w:spacing w:before="75" w:line="621" w:lineRule="exact"/>
        <w:jc w:val="right"/>
        <w:rPr>
          <w:rFonts w:ascii="SimHei" w:hAnsi="SimHei" w:eastAsia="SimHei" w:cs="SimHei"/>
          <w:sz w:val="23"/>
          <w:szCs w:val="23"/>
        </w:rPr>
      </w:pPr>
      <w:r>
        <w:rPr>
          <w:rFonts w:ascii="SimHei" w:hAnsi="SimHei" w:eastAsia="SimHei" w:cs="SimHei"/>
          <w:sz w:val="23"/>
          <w:szCs w:val="23"/>
          <w:spacing w:val="-10"/>
          <w:position w:val="30"/>
        </w:rPr>
        <w:t>深圳证券交易所</w:t>
      </w:r>
    </w:p>
    <w:p>
      <w:pPr>
        <w:ind w:right="7"/>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319"/>
        <w:spacing w:before="182" w:line="2810" w:lineRule="exact"/>
        <w:rPr/>
      </w:pPr>
      <w:r>
        <w:rPr>
          <w:position w:val="-56"/>
        </w:rPr>
        <w:drawing>
          <wp:inline distT="0" distB="0" distL="0" distR="0">
            <wp:extent cx="1803437" cy="1784406"/>
            <wp:effectExtent l="0" t="0" r="0" b="0"/>
            <wp:docPr id="12" name="IM 12"/>
            <wp:cNvGraphicFramePr/>
            <a:graphic>
              <a:graphicData uri="http://schemas.openxmlformats.org/drawingml/2006/picture">
                <pic:pic>
                  <pic:nvPicPr>
                    <pic:cNvPr id="12" name="IM 12"/>
                    <pic:cNvPicPr/>
                  </pic:nvPicPr>
                  <pic:blipFill>
                    <a:blip r:embed="rId8"/>
                    <a:stretch>
                      <a:fillRect/>
                    </a:stretch>
                  </pic:blipFill>
                  <pic:spPr>
                    <a:xfrm rot="0">
                      <a:off x="0" y="0"/>
                      <a:ext cx="1803437" cy="1784406"/>
                    </a:xfrm>
                    <a:prstGeom prst="rect">
                      <a:avLst/>
                    </a:prstGeom>
                  </pic:spPr>
                </pic:pic>
              </a:graphicData>
            </a:graphic>
          </wp:inline>
        </w:drawing>
      </w:r>
    </w:p>
    <w:p>
      <w:pPr>
        <w:pStyle w:val="BodyText"/>
        <w:spacing w:line="271" w:lineRule="auto"/>
        <w:rPr/>
      </w:pPr>
      <w:r/>
    </w:p>
    <w:p>
      <w:pPr>
        <w:ind w:left="1010"/>
        <w:spacing w:before="75" w:line="221" w:lineRule="auto"/>
        <w:rPr>
          <w:rFonts w:ascii="SimHei" w:hAnsi="SimHei" w:eastAsia="SimHei" w:cs="SimHei"/>
          <w:sz w:val="23"/>
          <w:szCs w:val="23"/>
        </w:rPr>
      </w:pPr>
      <w:r>
        <w:rPr>
          <w:rFonts w:ascii="SimHei" w:hAnsi="SimHei" w:eastAsia="SimHei" w:cs="SimHei"/>
          <w:sz w:val="23"/>
          <w:szCs w:val="23"/>
          <w:spacing w:val="14"/>
        </w:rPr>
        <w:t>深圳证券交易所公司债券存续期业务指南第3号——募集资金管理重点关注事项(试行)</w:t>
      </w:r>
    </w:p>
    <w:p>
      <w:pPr>
        <w:spacing w:line="221" w:lineRule="auto"/>
        <w:sectPr>
          <w:pgSz w:w="11910" w:h="16840"/>
          <w:pgMar w:top="400" w:right="455" w:bottom="0" w:left="419" w:header="0" w:footer="0" w:gutter="0"/>
        </w:sectPr>
        <w:rPr>
          <w:rFonts w:ascii="SimHei" w:hAnsi="SimHei" w:eastAsia="SimHei" w:cs="SimHei"/>
          <w:sz w:val="23"/>
          <w:szCs w:val="23"/>
        </w:rPr>
      </w:pPr>
    </w:p>
    <w:p>
      <w:pPr>
        <w:ind w:left="473"/>
        <w:spacing w:before="104" w:line="221" w:lineRule="auto"/>
        <w:rPr>
          <w:rFonts w:ascii="SimHei" w:hAnsi="SimHei" w:eastAsia="SimHei" w:cs="SimHei"/>
          <w:sz w:val="23"/>
          <w:szCs w:val="23"/>
        </w:rPr>
      </w:pPr>
      <w:r>
        <w:rPr>
          <w:rFonts w:ascii="SimHei" w:hAnsi="SimHei" w:eastAsia="SimHei" w:cs="SimHei"/>
          <w:sz w:val="23"/>
          <w:szCs w:val="23"/>
          <w:b/>
          <w:bCs/>
          <w:spacing w:val="10"/>
        </w:rPr>
        <w:t>5、</w:t>
      </w:r>
      <w:r>
        <w:rPr>
          <w:rFonts w:ascii="SimHei" w:hAnsi="SimHei" w:eastAsia="SimHei" w:cs="SimHei"/>
          <w:sz w:val="23"/>
          <w:szCs w:val="23"/>
          <w:spacing w:val="-32"/>
        </w:rPr>
        <w:t xml:space="preserve"> </w:t>
      </w:r>
      <w:r>
        <w:rPr>
          <w:rFonts w:ascii="SimHei" w:hAnsi="SimHei" w:eastAsia="SimHei" w:cs="SimHei"/>
          <w:sz w:val="23"/>
          <w:szCs w:val="23"/>
          <w:b/>
          <w:bCs/>
          <w:spacing w:val="10"/>
        </w:rPr>
        <w:t>上海证券交易所债券存续期业务指南第3号——募集资金管理重点关注事项(试行</w:t>
      </w:r>
      <w:r>
        <w:rPr>
          <w:rFonts w:ascii="SimHei" w:hAnsi="SimHei" w:eastAsia="SimHei" w:cs="SimHei"/>
          <w:sz w:val="23"/>
          <w:szCs w:val="23"/>
          <w:spacing w:val="10"/>
        </w:rPr>
        <w:t>)</w:t>
      </w:r>
    </w:p>
    <w:p>
      <w:pPr>
        <w:pStyle w:val="BodyText"/>
        <w:spacing w:line="261" w:lineRule="auto"/>
        <w:rPr/>
      </w:pPr>
      <w:r/>
    </w:p>
    <w:p>
      <w:pPr>
        <w:ind w:right="67" w:firstLine="470"/>
        <w:spacing w:before="75" w:line="255" w:lineRule="auto"/>
        <w:rPr>
          <w:rFonts w:ascii="SimHei" w:hAnsi="SimHei" w:eastAsia="SimHei" w:cs="SimHei"/>
          <w:sz w:val="23"/>
          <w:szCs w:val="23"/>
        </w:rPr>
      </w:pPr>
      <w:r>
        <w:rPr>
          <w:rFonts w:ascii="SimHei" w:hAnsi="SimHei" w:eastAsia="SimHei" w:cs="SimHei"/>
          <w:sz w:val="23"/>
          <w:szCs w:val="23"/>
          <w:spacing w:val="-1"/>
        </w:rPr>
        <w:t>为了进一步规范公司债券(含企业债券)募集资金管理，上海证券交易所</w:t>
      </w:r>
      <w:r>
        <w:rPr>
          <w:rFonts w:ascii="SimHei" w:hAnsi="SimHei" w:eastAsia="SimHei" w:cs="SimHei"/>
          <w:sz w:val="23"/>
          <w:szCs w:val="23"/>
          <w:spacing w:val="-2"/>
        </w:rPr>
        <w:t>(以下简称本所)制定了《上海证券</w:t>
      </w:r>
      <w:r>
        <w:rPr>
          <w:rFonts w:ascii="SimHei" w:hAnsi="SimHei" w:eastAsia="SimHei" w:cs="SimHei"/>
          <w:sz w:val="23"/>
          <w:szCs w:val="23"/>
        </w:rPr>
        <w:t xml:space="preserve"> </w:t>
      </w:r>
      <w:r>
        <w:rPr>
          <w:rFonts w:ascii="SimHei" w:hAnsi="SimHei" w:eastAsia="SimHei" w:cs="SimHei"/>
          <w:sz w:val="23"/>
          <w:szCs w:val="23"/>
          <w:spacing w:val="-1"/>
        </w:rPr>
        <w:t>交易所债券存续期业务指南第3号——募集</w:t>
      </w:r>
      <w:r>
        <w:rPr>
          <w:rFonts w:ascii="SimHei" w:hAnsi="SimHei" w:eastAsia="SimHei" w:cs="SimHei"/>
          <w:sz w:val="23"/>
          <w:szCs w:val="23"/>
          <w:spacing w:val="-2"/>
        </w:rPr>
        <w:t>资金管理重点关注事项(试行)》,现予以发布，并自发布之日起施</w:t>
      </w:r>
    </w:p>
    <w:p>
      <w:pPr>
        <w:spacing w:before="114" w:line="222" w:lineRule="auto"/>
        <w:rPr>
          <w:rFonts w:ascii="SimHei" w:hAnsi="SimHei" w:eastAsia="SimHei" w:cs="SimHei"/>
          <w:sz w:val="23"/>
          <w:szCs w:val="23"/>
        </w:rPr>
      </w:pPr>
      <w:r>
        <w:rPr>
          <w:rFonts w:ascii="SimHei" w:hAnsi="SimHei" w:eastAsia="SimHei" w:cs="SimHei"/>
          <w:sz w:val="23"/>
          <w:szCs w:val="23"/>
          <w:spacing w:val="-10"/>
        </w:rPr>
        <w:t>行。</w:t>
      </w:r>
    </w:p>
    <w:p>
      <w:pPr>
        <w:pStyle w:val="BodyText"/>
        <w:spacing w:line="277" w:lineRule="auto"/>
        <w:rPr/>
      </w:pPr>
      <w:r/>
    </w:p>
    <w:p>
      <w:pPr>
        <w:ind w:right="66" w:firstLine="470"/>
        <w:spacing w:before="75" w:line="270" w:lineRule="auto"/>
        <w:rPr>
          <w:rFonts w:ascii="SimHei" w:hAnsi="SimHei" w:eastAsia="SimHei" w:cs="SimHei"/>
          <w:sz w:val="23"/>
          <w:szCs w:val="23"/>
        </w:rPr>
      </w:pPr>
      <w:r>
        <w:rPr>
          <w:rFonts w:ascii="SimHei" w:hAnsi="SimHei" w:eastAsia="SimHei" w:cs="SimHei"/>
          <w:sz w:val="23"/>
          <w:szCs w:val="23"/>
          <w:spacing w:val="-11"/>
        </w:rPr>
        <w:t>发行人应当严格按照规定和约定履行募集资金使用和披露义务。受</w:t>
      </w:r>
      <w:r>
        <w:rPr>
          <w:rFonts w:ascii="SimHei" w:hAnsi="SimHei" w:eastAsia="SimHei" w:cs="SimHei"/>
          <w:sz w:val="23"/>
          <w:szCs w:val="23"/>
          <w:spacing w:val="-12"/>
        </w:rPr>
        <w:t>托管理人应当严格履行募集资金监督义务，</w:t>
      </w:r>
      <w:r>
        <w:rPr>
          <w:rFonts w:ascii="SimHei" w:hAnsi="SimHei" w:eastAsia="SimHei" w:cs="SimHei"/>
          <w:sz w:val="23"/>
          <w:szCs w:val="23"/>
        </w:rPr>
        <w:t xml:space="preserve"> </w:t>
      </w:r>
      <w:r>
        <w:rPr>
          <w:rFonts w:ascii="SimHei" w:hAnsi="SimHei" w:eastAsia="SimHei" w:cs="SimHei"/>
          <w:sz w:val="23"/>
          <w:szCs w:val="23"/>
          <w:spacing w:val="-10"/>
        </w:rPr>
        <w:t>在年度受托管理事务报告中，对照规定和约定的各项内容，披露发行人募集资金使用</w:t>
      </w:r>
      <w:r>
        <w:rPr>
          <w:rFonts w:ascii="SimHei" w:hAnsi="SimHei" w:eastAsia="SimHei" w:cs="SimHei"/>
          <w:sz w:val="23"/>
          <w:szCs w:val="23"/>
          <w:spacing w:val="-11"/>
        </w:rPr>
        <w:t>及专项账户运作情况与核查情</w:t>
      </w:r>
      <w:r>
        <w:rPr>
          <w:rFonts w:ascii="SimHei" w:hAnsi="SimHei" w:eastAsia="SimHei" w:cs="SimHei"/>
          <w:sz w:val="23"/>
          <w:szCs w:val="23"/>
        </w:rPr>
        <w:t xml:space="preserve"> </w:t>
      </w:r>
      <w:r>
        <w:rPr>
          <w:rFonts w:ascii="SimHei" w:hAnsi="SimHei" w:eastAsia="SimHei" w:cs="SimHei"/>
          <w:sz w:val="23"/>
          <w:szCs w:val="23"/>
          <w:spacing w:val="-11"/>
        </w:rPr>
        <w:t>况。</w:t>
      </w:r>
    </w:p>
    <w:p>
      <w:pPr>
        <w:pStyle w:val="BodyText"/>
        <w:spacing w:line="293" w:lineRule="auto"/>
        <w:rPr/>
      </w:pPr>
      <w:r/>
    </w:p>
    <w:p>
      <w:pPr>
        <w:ind w:left="470"/>
        <w:spacing w:before="75" w:line="222" w:lineRule="auto"/>
        <w:rPr>
          <w:rFonts w:ascii="SimHei" w:hAnsi="SimHei" w:eastAsia="SimHei" w:cs="SimHei"/>
          <w:sz w:val="23"/>
          <w:szCs w:val="23"/>
        </w:rPr>
      </w:pPr>
      <w:r>
        <w:rPr>
          <w:rFonts w:ascii="SimHei" w:hAnsi="SimHei" w:eastAsia="SimHei" w:cs="SimHei"/>
          <w:sz w:val="23"/>
          <w:szCs w:val="23"/>
          <w:spacing w:val="-14"/>
        </w:rPr>
        <w:t>特此通知。</w:t>
      </w:r>
    </w:p>
    <w:p>
      <w:pPr>
        <w:pStyle w:val="BodyText"/>
        <w:spacing w:line="267" w:lineRule="auto"/>
        <w:rPr/>
      </w:pPr>
      <w:r/>
    </w:p>
    <w:p>
      <w:pPr>
        <w:spacing w:before="75" w:line="612" w:lineRule="exact"/>
        <w:jc w:val="right"/>
        <w:rPr>
          <w:rFonts w:ascii="SimHei" w:hAnsi="SimHei" w:eastAsia="SimHei" w:cs="SimHei"/>
          <w:sz w:val="23"/>
          <w:szCs w:val="23"/>
        </w:rPr>
      </w:pPr>
      <w:r>
        <w:rPr>
          <w:rFonts w:ascii="SimHei" w:hAnsi="SimHei" w:eastAsia="SimHei" w:cs="SimHei"/>
          <w:sz w:val="23"/>
          <w:szCs w:val="23"/>
          <w:spacing w:val="-10"/>
          <w:position w:val="29"/>
        </w:rPr>
        <w:t>上海证券交易所</w:t>
      </w:r>
    </w:p>
    <w:p>
      <w:pPr>
        <w:ind w:right="7"/>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329"/>
        <w:spacing w:before="162" w:line="2830" w:lineRule="exact"/>
        <w:rPr/>
      </w:pPr>
      <w:r>
        <w:rPr>
          <w:position w:val="-56"/>
        </w:rPr>
        <w:drawing>
          <wp:inline distT="0" distB="0" distL="0" distR="0">
            <wp:extent cx="1803437" cy="1797026"/>
            <wp:effectExtent l="0" t="0" r="0" b="0"/>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1803437" cy="1797026"/>
                    </a:xfrm>
                    <a:prstGeom prst="rect">
                      <a:avLst/>
                    </a:prstGeom>
                  </pic:spPr>
                </pic:pic>
              </a:graphicData>
            </a:graphic>
          </wp:inline>
        </w:drawing>
      </w:r>
    </w:p>
    <w:p>
      <w:pPr>
        <w:pStyle w:val="BodyText"/>
        <w:spacing w:line="247" w:lineRule="auto"/>
        <w:rPr/>
      </w:pPr>
      <w:r/>
    </w:p>
    <w:p>
      <w:pPr>
        <w:ind w:left="1263"/>
        <w:spacing w:before="76" w:line="221" w:lineRule="auto"/>
        <w:rPr>
          <w:rFonts w:ascii="SimHei" w:hAnsi="SimHei" w:eastAsia="SimHei" w:cs="SimHei"/>
          <w:sz w:val="23"/>
          <w:szCs w:val="23"/>
        </w:rPr>
      </w:pPr>
      <w:r>
        <w:rPr>
          <w:rFonts w:ascii="SimHei" w:hAnsi="SimHei" w:eastAsia="SimHei" w:cs="SimHei"/>
          <w:sz w:val="23"/>
          <w:szCs w:val="23"/>
          <w:b/>
          <w:bCs/>
          <w:spacing w:val="11"/>
        </w:rPr>
        <w:t>上海证券交易所债券存续期业务指南第3号——募集资金管理重点关注事项(试行)</w:t>
      </w:r>
    </w:p>
    <w:p>
      <w:pPr>
        <w:spacing w:line="221" w:lineRule="auto"/>
        <w:sectPr>
          <w:pgSz w:w="11910" w:h="16840"/>
          <w:pgMar w:top="400" w:right="445" w:bottom="0" w:left="409" w:header="0" w:footer="0" w:gutter="0"/>
        </w:sectPr>
        <w:rPr>
          <w:rFonts w:ascii="SimHei" w:hAnsi="SimHei" w:eastAsia="SimHei" w:cs="SimHei"/>
          <w:sz w:val="23"/>
          <w:szCs w:val="23"/>
        </w:rPr>
      </w:pPr>
    </w:p>
    <w:p>
      <w:pPr>
        <w:ind w:left="490"/>
        <w:spacing w:before="117" w:line="221" w:lineRule="auto"/>
        <w:rPr>
          <w:rFonts w:ascii="SimHei" w:hAnsi="SimHei" w:eastAsia="SimHei" w:cs="SimHei"/>
          <w:sz w:val="23"/>
          <w:szCs w:val="23"/>
        </w:rPr>
      </w:pPr>
      <w:r>
        <w:rPr>
          <w:rFonts w:ascii="SimHei" w:hAnsi="SimHei" w:eastAsia="SimHei" w:cs="SimHei"/>
          <w:sz w:val="23"/>
          <w:szCs w:val="23"/>
          <w:spacing w:val="18"/>
        </w:rPr>
        <w:t>6、深圳证券交易所上市公司自律监管指南第1号——业务办理(2023年12月修订)</w:t>
      </w:r>
    </w:p>
    <w:p>
      <w:pPr>
        <w:pStyle w:val="BodyText"/>
        <w:spacing w:line="258" w:lineRule="auto"/>
        <w:rPr/>
      </w:pPr>
      <w:r/>
    </w:p>
    <w:p>
      <w:pPr>
        <w:ind w:right="25" w:firstLine="460"/>
        <w:spacing w:before="75" w:line="255" w:lineRule="auto"/>
        <w:rPr>
          <w:rFonts w:ascii="SimHei" w:hAnsi="SimHei" w:eastAsia="SimHei" w:cs="SimHei"/>
          <w:sz w:val="23"/>
          <w:szCs w:val="23"/>
        </w:rPr>
      </w:pPr>
      <w:r>
        <w:rPr>
          <w:rFonts w:ascii="SimHei" w:hAnsi="SimHei" w:eastAsia="SimHei" w:cs="SimHei"/>
          <w:sz w:val="23"/>
          <w:szCs w:val="23"/>
          <w:spacing w:val="-11"/>
        </w:rPr>
        <w:t>为进一步强化退市风险相关信息披露要求，保护投资者合法权益，本所对《深圳证券交易所上市公司自律监管</w:t>
      </w:r>
      <w:r>
        <w:rPr>
          <w:rFonts w:ascii="SimHei" w:hAnsi="SimHei" w:eastAsia="SimHei" w:cs="SimHei"/>
          <w:sz w:val="23"/>
          <w:szCs w:val="23"/>
          <w:spacing w:val="16"/>
        </w:rPr>
        <w:t xml:space="preserve"> </w:t>
      </w:r>
      <w:r>
        <w:rPr>
          <w:rFonts w:ascii="SimHei" w:hAnsi="SimHei" w:eastAsia="SimHei" w:cs="SimHei"/>
          <w:sz w:val="23"/>
          <w:szCs w:val="23"/>
          <w:spacing w:val="-10"/>
        </w:rPr>
        <w:t>指南第1号——业务办理》进行了修订，现予以发布，自发布之日起施行。</w:t>
      </w:r>
    </w:p>
    <w:p>
      <w:pPr>
        <w:pStyle w:val="BodyText"/>
        <w:spacing w:line="287" w:lineRule="auto"/>
        <w:rPr/>
      </w:pPr>
      <w:r/>
    </w:p>
    <w:p>
      <w:pPr>
        <w:ind w:right="377" w:firstLine="450"/>
        <w:spacing w:before="75" w:line="263" w:lineRule="auto"/>
        <w:rPr>
          <w:rFonts w:ascii="SimHei" w:hAnsi="SimHei" w:eastAsia="SimHei" w:cs="SimHei"/>
          <w:sz w:val="23"/>
          <w:szCs w:val="23"/>
        </w:rPr>
      </w:pPr>
      <w:r>
        <w:rPr>
          <w:rFonts w:ascii="SimHei" w:hAnsi="SimHei" w:eastAsia="SimHei" w:cs="SimHei"/>
          <w:sz w:val="23"/>
          <w:szCs w:val="23"/>
          <w:spacing w:val="-1"/>
        </w:rPr>
        <w:t>本所2023年11月8日发布的《深圳证券交易所上市公司自律监管指南第1号——业务办理(2023年11月修</w:t>
      </w:r>
      <w:r>
        <w:rPr>
          <w:rFonts w:ascii="SimHei" w:hAnsi="SimHei" w:eastAsia="SimHei" w:cs="SimHei"/>
          <w:sz w:val="23"/>
          <w:szCs w:val="23"/>
          <w:spacing w:val="3"/>
        </w:rPr>
        <w:t xml:space="preserve"> </w:t>
      </w:r>
      <w:r>
        <w:rPr>
          <w:rFonts w:ascii="SimHei" w:hAnsi="SimHei" w:eastAsia="SimHei" w:cs="SimHei"/>
          <w:sz w:val="23"/>
          <w:szCs w:val="23"/>
        </w:rPr>
        <w:t>订</w:t>
      </w:r>
      <w:r>
        <w:rPr>
          <w:rFonts w:ascii="SimHei" w:hAnsi="SimHei" w:eastAsia="SimHei" w:cs="SimHei"/>
          <w:sz w:val="23"/>
          <w:szCs w:val="23"/>
          <w:spacing w:val="-42"/>
        </w:rPr>
        <w:t xml:space="preserve"> </w:t>
      </w:r>
      <w:r>
        <w:rPr>
          <w:rFonts w:ascii="SimHei" w:hAnsi="SimHei" w:eastAsia="SimHei" w:cs="SimHei"/>
          <w:sz w:val="23"/>
          <w:szCs w:val="23"/>
        </w:rPr>
        <w:t>)</w:t>
      </w:r>
      <w:r>
        <w:rPr>
          <w:rFonts w:ascii="SimHei" w:hAnsi="SimHei" w:eastAsia="SimHei" w:cs="SimHei"/>
          <w:sz w:val="23"/>
          <w:szCs w:val="23"/>
          <w:spacing w:val="-44"/>
        </w:rPr>
        <w:t xml:space="preserve"> </w:t>
      </w:r>
      <w:r>
        <w:rPr>
          <w:rFonts w:ascii="SimHei" w:hAnsi="SimHei" w:eastAsia="SimHei" w:cs="SimHei"/>
          <w:sz w:val="23"/>
          <w:szCs w:val="23"/>
        </w:rPr>
        <w:t>》</w:t>
      </w:r>
      <w:r>
        <w:rPr>
          <w:rFonts w:ascii="SimHei" w:hAnsi="SimHei" w:eastAsia="SimHei" w:cs="SimHei"/>
          <w:sz w:val="23"/>
          <w:szCs w:val="23"/>
          <w:spacing w:val="-30"/>
        </w:rPr>
        <w:t xml:space="preserve"> </w:t>
      </w:r>
      <w:r>
        <w:rPr>
          <w:rFonts w:ascii="SimHei" w:hAnsi="SimHei" w:eastAsia="SimHei" w:cs="SimHei"/>
          <w:sz w:val="23"/>
          <w:szCs w:val="23"/>
        </w:rPr>
        <w:t>(深证上〔2023〕1035号)同时废止。</w:t>
      </w:r>
    </w:p>
    <w:p>
      <w:pPr>
        <w:pStyle w:val="BodyText"/>
        <w:spacing w:line="268" w:lineRule="auto"/>
        <w:rPr/>
      </w:pPr>
      <w:r/>
    </w:p>
    <w:p>
      <w:pPr>
        <w:ind w:left="440"/>
        <w:spacing w:before="75" w:line="222" w:lineRule="auto"/>
        <w:rPr>
          <w:rFonts w:ascii="SimHei" w:hAnsi="SimHei" w:eastAsia="SimHei" w:cs="SimHei"/>
          <w:sz w:val="23"/>
          <w:szCs w:val="23"/>
        </w:rPr>
      </w:pPr>
      <w:r>
        <w:rPr>
          <w:rFonts w:ascii="SimHei" w:hAnsi="SimHei" w:eastAsia="SimHei" w:cs="SimHei"/>
          <w:sz w:val="23"/>
          <w:szCs w:val="23"/>
          <w:spacing w:val="-13"/>
        </w:rPr>
        <w:t>特此通知。</w:t>
      </w:r>
    </w:p>
    <w:p>
      <w:pPr>
        <w:pStyle w:val="BodyText"/>
        <w:spacing w:line="258" w:lineRule="auto"/>
        <w:rPr/>
      </w:pPr>
      <w:r/>
    </w:p>
    <w:p>
      <w:pPr>
        <w:spacing w:before="75" w:line="611" w:lineRule="exact"/>
        <w:jc w:val="right"/>
        <w:rPr>
          <w:rFonts w:ascii="SimHei" w:hAnsi="SimHei" w:eastAsia="SimHei" w:cs="SimHei"/>
          <w:sz w:val="23"/>
          <w:szCs w:val="23"/>
        </w:rPr>
      </w:pPr>
      <w:r>
        <w:rPr>
          <w:rFonts w:ascii="SimHei" w:hAnsi="SimHei" w:eastAsia="SimHei" w:cs="SimHei"/>
          <w:sz w:val="23"/>
          <w:szCs w:val="23"/>
          <w:spacing w:val="-8"/>
          <w:position w:val="29"/>
        </w:rPr>
        <w:t>深圳证券交易所</w:t>
      </w:r>
    </w:p>
    <w:p>
      <w:pPr>
        <w:ind w:right="7"/>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299"/>
        <w:spacing w:before="191" w:line="2820" w:lineRule="exact"/>
        <w:rPr/>
      </w:pPr>
      <w:r>
        <w:rPr>
          <w:position w:val="-56"/>
        </w:rPr>
        <w:drawing>
          <wp:inline distT="0" distB="0" distL="0" distR="0">
            <wp:extent cx="1809790" cy="1790716"/>
            <wp:effectExtent l="0" t="0" r="0" b="0"/>
            <wp:docPr id="16" name="IM 16"/>
            <wp:cNvGraphicFramePr/>
            <a:graphic>
              <a:graphicData uri="http://schemas.openxmlformats.org/drawingml/2006/picture">
                <pic:pic>
                  <pic:nvPicPr>
                    <pic:cNvPr id="16" name="IM 16"/>
                    <pic:cNvPicPr/>
                  </pic:nvPicPr>
                  <pic:blipFill>
                    <a:blip r:embed="rId10"/>
                    <a:stretch>
                      <a:fillRect/>
                    </a:stretch>
                  </pic:blipFill>
                  <pic:spPr>
                    <a:xfrm rot="0">
                      <a:off x="0" y="0"/>
                      <a:ext cx="1809790" cy="1790716"/>
                    </a:xfrm>
                    <a:prstGeom prst="rect">
                      <a:avLst/>
                    </a:prstGeom>
                  </pic:spPr>
                </pic:pic>
              </a:graphicData>
            </a:graphic>
          </wp:inline>
        </w:drawing>
      </w:r>
    </w:p>
    <w:p>
      <w:pPr>
        <w:pStyle w:val="BodyText"/>
        <w:spacing w:line="251" w:lineRule="auto"/>
        <w:rPr/>
      </w:pPr>
      <w:r/>
    </w:p>
    <w:p>
      <w:pPr>
        <w:ind w:left="1380"/>
        <w:spacing w:before="75" w:line="221" w:lineRule="auto"/>
        <w:rPr>
          <w:rFonts w:ascii="SimHei" w:hAnsi="SimHei" w:eastAsia="SimHei" w:cs="SimHei"/>
          <w:sz w:val="23"/>
          <w:szCs w:val="23"/>
        </w:rPr>
      </w:pPr>
      <w:r>
        <w:rPr>
          <w:rFonts w:ascii="SimHei" w:hAnsi="SimHei" w:eastAsia="SimHei" w:cs="SimHei"/>
          <w:sz w:val="23"/>
          <w:szCs w:val="23"/>
          <w:spacing w:val="18"/>
        </w:rPr>
        <w:t>深圳证券交易所上市公司自律监管指南第1号——业务办理(2023年12月修订)</w:t>
      </w:r>
    </w:p>
    <w:p>
      <w:pPr>
        <w:spacing w:line="221" w:lineRule="auto"/>
        <w:sectPr>
          <w:pgSz w:w="11910" w:h="16840"/>
          <w:pgMar w:top="400" w:right="455" w:bottom="0" w:left="439" w:header="0" w:footer="0" w:gutter="0"/>
        </w:sectPr>
        <w:rPr>
          <w:rFonts w:ascii="SimHei" w:hAnsi="SimHei" w:eastAsia="SimHei" w:cs="SimHei"/>
          <w:sz w:val="23"/>
          <w:szCs w:val="23"/>
        </w:rPr>
      </w:pPr>
    </w:p>
    <w:p>
      <w:pPr>
        <w:pStyle w:val="BodyText"/>
        <w:spacing w:line="280" w:lineRule="auto"/>
        <w:rPr/>
      </w:pPr>
      <w:r/>
    </w:p>
    <w:p>
      <w:pPr>
        <w:ind w:left="529"/>
        <w:spacing w:before="75" w:line="221" w:lineRule="auto"/>
        <w:rPr>
          <w:rFonts w:ascii="SimHei" w:hAnsi="SimHei" w:eastAsia="SimHei" w:cs="SimHei"/>
          <w:sz w:val="23"/>
          <w:szCs w:val="23"/>
        </w:rPr>
      </w:pPr>
      <w:r>
        <w:rPr>
          <w:rFonts w:ascii="SimHei" w:hAnsi="SimHei" w:eastAsia="SimHei" w:cs="SimHei"/>
          <w:sz w:val="23"/>
          <w:szCs w:val="23"/>
          <w:spacing w:val="18"/>
        </w:rPr>
        <w:t>7、深圳证券交易所创业板上市公司自律监管指南第</w:t>
      </w:r>
      <w:r>
        <w:rPr>
          <w:rFonts w:ascii="SimHei" w:hAnsi="SimHei" w:eastAsia="SimHei" w:cs="SimHei"/>
          <w:sz w:val="23"/>
          <w:szCs w:val="23"/>
          <w:spacing w:val="17"/>
        </w:rPr>
        <w:t>1号——业务办理(2023年12月修订)</w:t>
      </w:r>
    </w:p>
    <w:p>
      <w:pPr>
        <w:pStyle w:val="BodyText"/>
        <w:spacing w:line="258" w:lineRule="auto"/>
        <w:rPr/>
      </w:pPr>
      <w:r/>
    </w:p>
    <w:p>
      <w:pPr>
        <w:ind w:right="20" w:firstLine="460"/>
        <w:spacing w:before="75" w:line="255" w:lineRule="auto"/>
        <w:rPr>
          <w:rFonts w:ascii="SimHei" w:hAnsi="SimHei" w:eastAsia="SimHei" w:cs="SimHei"/>
          <w:sz w:val="23"/>
          <w:szCs w:val="23"/>
        </w:rPr>
      </w:pPr>
      <w:r>
        <w:rPr>
          <w:rFonts w:ascii="SimHei" w:hAnsi="SimHei" w:eastAsia="SimHei" w:cs="SimHei"/>
          <w:sz w:val="23"/>
          <w:szCs w:val="23"/>
          <w:spacing w:val="-10"/>
        </w:rPr>
        <w:t>为进一步强化退市风险相关信息披露要求，保护</w:t>
      </w:r>
      <w:r>
        <w:rPr>
          <w:rFonts w:ascii="SimHei" w:hAnsi="SimHei" w:eastAsia="SimHei" w:cs="SimHei"/>
          <w:sz w:val="23"/>
          <w:szCs w:val="23"/>
          <w:spacing w:val="-11"/>
        </w:rPr>
        <w:t>投资者合法权益，本所对《深圳证券交易所创业板上市公司自</w:t>
      </w:r>
      <w:r>
        <w:rPr>
          <w:rFonts w:ascii="SimHei" w:hAnsi="SimHei" w:eastAsia="SimHei" w:cs="SimHei"/>
          <w:sz w:val="23"/>
          <w:szCs w:val="23"/>
        </w:rPr>
        <w:t xml:space="preserve"> </w:t>
      </w:r>
      <w:r>
        <w:rPr>
          <w:rFonts w:ascii="SimHei" w:hAnsi="SimHei" w:eastAsia="SimHei" w:cs="SimHei"/>
          <w:sz w:val="23"/>
          <w:szCs w:val="23"/>
          <w:spacing w:val="-10"/>
        </w:rPr>
        <w:t>律监管指南第1号——业务办理》进行了修订，现予以发布，自发布之日起施行。</w:t>
      </w:r>
    </w:p>
    <w:p>
      <w:pPr>
        <w:pStyle w:val="BodyText"/>
        <w:spacing w:line="288" w:lineRule="auto"/>
        <w:rPr/>
      </w:pPr>
      <w:r/>
    </w:p>
    <w:p>
      <w:pPr>
        <w:ind w:right="158" w:firstLine="450"/>
        <w:spacing w:before="74" w:line="263" w:lineRule="auto"/>
        <w:rPr>
          <w:rFonts w:ascii="SimHei" w:hAnsi="SimHei" w:eastAsia="SimHei" w:cs="SimHei"/>
          <w:sz w:val="23"/>
          <w:szCs w:val="23"/>
        </w:rPr>
      </w:pPr>
      <w:r>
        <w:rPr>
          <w:rFonts w:ascii="SimHei" w:hAnsi="SimHei" w:eastAsia="SimHei" w:cs="SimHei"/>
          <w:sz w:val="23"/>
          <w:szCs w:val="23"/>
          <w:spacing w:val="-1"/>
        </w:rPr>
        <w:t>本所2023年11月8日发布的《深圳证券交易所创业板上市公司自律监管指南第1号——业务办理(</w:t>
      </w:r>
      <w:r>
        <w:rPr>
          <w:rFonts w:ascii="SimHei" w:hAnsi="SimHei" w:eastAsia="SimHei" w:cs="SimHei"/>
          <w:sz w:val="23"/>
          <w:szCs w:val="23"/>
          <w:spacing w:val="-2"/>
        </w:rPr>
        <w:t>2023年11</w:t>
      </w:r>
      <w:r>
        <w:rPr>
          <w:rFonts w:ascii="SimHei" w:hAnsi="SimHei" w:eastAsia="SimHei" w:cs="SimHei"/>
          <w:sz w:val="23"/>
          <w:szCs w:val="23"/>
        </w:rPr>
        <w:t xml:space="preserve"> </w:t>
      </w:r>
      <w:r>
        <w:rPr>
          <w:rFonts w:ascii="SimHei" w:hAnsi="SimHei" w:eastAsia="SimHei" w:cs="SimHei"/>
          <w:sz w:val="23"/>
          <w:szCs w:val="23"/>
        </w:rPr>
        <w:t>月修订)》</w:t>
      </w:r>
      <w:r>
        <w:rPr>
          <w:rFonts w:ascii="SimHei" w:hAnsi="SimHei" w:eastAsia="SimHei" w:cs="SimHei"/>
          <w:sz w:val="23"/>
          <w:szCs w:val="23"/>
          <w:spacing w:val="104"/>
        </w:rPr>
        <w:t xml:space="preserve"> </w:t>
      </w:r>
      <w:r>
        <w:rPr>
          <w:rFonts w:ascii="SimHei" w:hAnsi="SimHei" w:eastAsia="SimHei" w:cs="SimHei"/>
          <w:sz w:val="23"/>
          <w:szCs w:val="23"/>
        </w:rPr>
        <w:t>(深证上〔2023〕1036号)同时废止。</w:t>
      </w:r>
    </w:p>
    <w:p>
      <w:pPr>
        <w:pStyle w:val="BodyText"/>
        <w:spacing w:line="268" w:lineRule="auto"/>
        <w:rPr/>
      </w:pPr>
      <w:r/>
    </w:p>
    <w:p>
      <w:pPr>
        <w:ind w:left="440"/>
        <w:spacing w:before="75" w:line="222" w:lineRule="auto"/>
        <w:rPr>
          <w:rFonts w:ascii="SimHei" w:hAnsi="SimHei" w:eastAsia="SimHei" w:cs="SimHei"/>
          <w:sz w:val="23"/>
          <w:szCs w:val="23"/>
        </w:rPr>
      </w:pPr>
      <w:r>
        <w:rPr>
          <w:rFonts w:ascii="SimHei" w:hAnsi="SimHei" w:eastAsia="SimHei" w:cs="SimHei"/>
          <w:sz w:val="23"/>
          <w:szCs w:val="23"/>
          <w:spacing w:val="-13"/>
        </w:rPr>
        <w:t>特此通知。</w:t>
      </w:r>
    </w:p>
    <w:p>
      <w:pPr>
        <w:pStyle w:val="BodyText"/>
        <w:spacing w:line="258" w:lineRule="auto"/>
        <w:rPr/>
      </w:pPr>
      <w:r/>
    </w:p>
    <w:p>
      <w:pPr>
        <w:spacing w:before="75" w:line="611" w:lineRule="exact"/>
        <w:jc w:val="right"/>
        <w:rPr>
          <w:rFonts w:ascii="SimHei" w:hAnsi="SimHei" w:eastAsia="SimHei" w:cs="SimHei"/>
          <w:sz w:val="23"/>
          <w:szCs w:val="23"/>
        </w:rPr>
      </w:pPr>
      <w:r>
        <w:rPr>
          <w:rFonts w:ascii="SimHei" w:hAnsi="SimHei" w:eastAsia="SimHei" w:cs="SimHei"/>
          <w:sz w:val="23"/>
          <w:szCs w:val="23"/>
          <w:spacing w:val="-10"/>
          <w:position w:val="29"/>
        </w:rPr>
        <w:t>深圳证券交易所</w:t>
      </w:r>
    </w:p>
    <w:p>
      <w:pPr>
        <w:ind w:right="7"/>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299"/>
        <w:spacing w:before="182" w:line="2830" w:lineRule="exact"/>
        <w:rPr/>
      </w:pPr>
      <w:r>
        <w:rPr>
          <w:position w:val="-56"/>
        </w:rPr>
        <w:drawing>
          <wp:inline distT="0" distB="0" distL="0" distR="0">
            <wp:extent cx="1809790" cy="1797025"/>
            <wp:effectExtent l="0" t="0" r="0" b="0"/>
            <wp:docPr id="18" name="IM 18"/>
            <wp:cNvGraphicFramePr/>
            <a:graphic>
              <a:graphicData uri="http://schemas.openxmlformats.org/drawingml/2006/picture">
                <pic:pic>
                  <pic:nvPicPr>
                    <pic:cNvPr id="18" name="IM 18"/>
                    <pic:cNvPicPr/>
                  </pic:nvPicPr>
                  <pic:blipFill>
                    <a:blip r:embed="rId11"/>
                    <a:stretch>
                      <a:fillRect/>
                    </a:stretch>
                  </pic:blipFill>
                  <pic:spPr>
                    <a:xfrm rot="0">
                      <a:off x="0" y="0"/>
                      <a:ext cx="1809790" cy="1797025"/>
                    </a:xfrm>
                    <a:prstGeom prst="rect">
                      <a:avLst/>
                    </a:prstGeom>
                  </pic:spPr>
                </pic:pic>
              </a:graphicData>
            </a:graphic>
          </wp:inline>
        </w:drawing>
      </w:r>
    </w:p>
    <w:p>
      <w:pPr>
        <w:pStyle w:val="BodyText"/>
        <w:spacing w:line="251" w:lineRule="auto"/>
        <w:rPr/>
      </w:pPr>
      <w:r/>
    </w:p>
    <w:p>
      <w:pPr>
        <w:ind w:left="1020"/>
        <w:spacing w:before="75" w:line="221" w:lineRule="auto"/>
        <w:rPr>
          <w:rFonts w:ascii="SimHei" w:hAnsi="SimHei" w:eastAsia="SimHei" w:cs="SimHei"/>
          <w:sz w:val="23"/>
          <w:szCs w:val="23"/>
        </w:rPr>
      </w:pPr>
      <w:r>
        <w:rPr>
          <w:rFonts w:ascii="SimHei" w:hAnsi="SimHei" w:eastAsia="SimHei" w:cs="SimHei"/>
          <w:sz w:val="23"/>
          <w:szCs w:val="23"/>
          <w:spacing w:val="18"/>
        </w:rPr>
        <w:t>深圳证券交易所创业板上市公司自律监管指南第</w:t>
      </w:r>
      <w:r>
        <w:rPr>
          <w:rFonts w:ascii="SimHei" w:hAnsi="SimHei" w:eastAsia="SimHei" w:cs="SimHei"/>
          <w:sz w:val="23"/>
          <w:szCs w:val="23"/>
          <w:spacing w:val="17"/>
        </w:rPr>
        <w:t>1号——业务办理(2023年12月修订)</w:t>
      </w:r>
    </w:p>
    <w:p>
      <w:pPr>
        <w:spacing w:line="221" w:lineRule="auto"/>
        <w:sectPr>
          <w:pgSz w:w="11910" w:h="16840"/>
          <w:pgMar w:top="400" w:right="455" w:bottom="0" w:left="439" w:header="0" w:footer="0" w:gutter="0"/>
        </w:sectPr>
        <w:rPr>
          <w:rFonts w:ascii="SimHei" w:hAnsi="SimHei" w:eastAsia="SimHei" w:cs="SimHei"/>
          <w:sz w:val="23"/>
          <w:szCs w:val="23"/>
        </w:rPr>
      </w:pPr>
    </w:p>
    <w:p>
      <w:pPr>
        <w:ind w:left="423"/>
        <w:spacing w:before="114" w:line="221" w:lineRule="auto"/>
        <w:rPr>
          <w:rFonts w:ascii="SimHei" w:hAnsi="SimHei" w:eastAsia="SimHei" w:cs="SimHei"/>
          <w:sz w:val="23"/>
          <w:szCs w:val="23"/>
        </w:rPr>
      </w:pPr>
      <w:r>
        <w:rPr>
          <w:rFonts w:ascii="SimHei" w:hAnsi="SimHei" w:eastAsia="SimHei" w:cs="SimHei"/>
          <w:sz w:val="23"/>
          <w:szCs w:val="23"/>
          <w:b/>
          <w:bCs/>
          <w:spacing w:val="15"/>
        </w:rPr>
        <w:t>8、上海证券交易所上市公司自律监管指南第2号——业务办理(2023年12月修订</w:t>
      </w:r>
      <w:r>
        <w:rPr>
          <w:rFonts w:ascii="SimHei" w:hAnsi="SimHei" w:eastAsia="SimHei" w:cs="SimHei"/>
          <w:sz w:val="23"/>
          <w:szCs w:val="23"/>
          <w:spacing w:val="15"/>
        </w:rPr>
        <w:t>)</w:t>
      </w:r>
    </w:p>
    <w:p>
      <w:pPr>
        <w:pStyle w:val="BodyText"/>
        <w:spacing w:line="271" w:lineRule="auto"/>
        <w:rPr/>
      </w:pPr>
      <w:r/>
    </w:p>
    <w:p>
      <w:pPr>
        <w:ind w:right="39" w:firstLine="480"/>
        <w:spacing w:before="75" w:line="269" w:lineRule="auto"/>
        <w:rPr>
          <w:rFonts w:ascii="SimHei" w:hAnsi="SimHei" w:eastAsia="SimHei" w:cs="SimHei"/>
          <w:sz w:val="23"/>
          <w:szCs w:val="23"/>
        </w:rPr>
      </w:pPr>
      <w:r>
        <w:rPr>
          <w:rFonts w:ascii="SimHei" w:hAnsi="SimHei" w:eastAsia="SimHei" w:cs="SimHei"/>
          <w:sz w:val="23"/>
          <w:szCs w:val="23"/>
          <w:spacing w:val="-8"/>
        </w:rPr>
        <w:t>为引导上市公司充分揭示退市风险，增强退市风险相关信息披露的针对</w:t>
      </w:r>
      <w:r>
        <w:rPr>
          <w:rFonts w:ascii="SimHei" w:hAnsi="SimHei" w:eastAsia="SimHei" w:cs="SimHei"/>
          <w:sz w:val="23"/>
          <w:szCs w:val="23"/>
          <w:spacing w:val="-9"/>
        </w:rPr>
        <w:t>性和有效性，上海证券交易所(以下简</w:t>
      </w:r>
      <w:r>
        <w:rPr>
          <w:rFonts w:ascii="SimHei" w:hAnsi="SimHei" w:eastAsia="SimHei" w:cs="SimHei"/>
          <w:sz w:val="23"/>
          <w:szCs w:val="23"/>
        </w:rPr>
        <w:t xml:space="preserve"> </w:t>
      </w:r>
      <w:r>
        <w:rPr>
          <w:rFonts w:ascii="SimHei" w:hAnsi="SimHei" w:eastAsia="SimHei" w:cs="SimHei"/>
          <w:sz w:val="23"/>
          <w:szCs w:val="23"/>
          <w:spacing w:val="-6"/>
        </w:rPr>
        <w:t>称本所)对《上海证券交易所上市公司自律监管指南第2号——业务办理》进行了修订，新增《第十三号——退市</w:t>
      </w:r>
      <w:r>
        <w:rPr>
          <w:rFonts w:ascii="SimHei" w:hAnsi="SimHei" w:eastAsia="SimHei" w:cs="SimHei"/>
          <w:sz w:val="23"/>
          <w:szCs w:val="23"/>
          <w:spacing w:val="1"/>
        </w:rPr>
        <w:t xml:space="preserve"> </w:t>
      </w:r>
      <w:r>
        <w:rPr>
          <w:rFonts w:ascii="SimHei" w:hAnsi="SimHei" w:eastAsia="SimHei" w:cs="SimHei"/>
          <w:sz w:val="23"/>
          <w:szCs w:val="23"/>
          <w:spacing w:val="-5"/>
        </w:rPr>
        <w:t>风险公司信息披露》,现予以发布，并自发布之日起施行。本所于2023年11月8日发布的《关于发布〈上海证券</w:t>
      </w:r>
    </w:p>
    <w:p>
      <w:pPr>
        <w:ind w:right="63"/>
        <w:spacing w:before="113" w:line="260" w:lineRule="auto"/>
        <w:rPr>
          <w:rFonts w:ascii="SimHei" w:hAnsi="SimHei" w:eastAsia="SimHei" w:cs="SimHei"/>
          <w:sz w:val="23"/>
          <w:szCs w:val="23"/>
        </w:rPr>
      </w:pPr>
      <w:r>
        <w:rPr>
          <w:rFonts w:ascii="SimHei" w:hAnsi="SimHei" w:eastAsia="SimHei" w:cs="SimHei"/>
          <w:sz w:val="23"/>
          <w:szCs w:val="23"/>
          <w:spacing w:val="2"/>
        </w:rPr>
        <w:t>交易所上市公司自律监管指南第2号——业务办理(2023年</w:t>
      </w:r>
      <w:r>
        <w:rPr>
          <w:rFonts w:ascii="SimHei" w:hAnsi="SimHei" w:eastAsia="SimHei" w:cs="SimHei"/>
          <w:sz w:val="23"/>
          <w:szCs w:val="23"/>
          <w:spacing w:val="1"/>
        </w:rPr>
        <w:t>11月修订)〉的通知》</w:t>
      </w:r>
      <w:r>
        <w:rPr>
          <w:rFonts w:ascii="SimHei" w:hAnsi="SimHei" w:eastAsia="SimHei" w:cs="SimHei"/>
          <w:sz w:val="23"/>
          <w:szCs w:val="23"/>
          <w:spacing w:val="85"/>
        </w:rPr>
        <w:t xml:space="preserve"> </w:t>
      </w:r>
      <w:r>
        <w:rPr>
          <w:rFonts w:ascii="SimHei" w:hAnsi="SimHei" w:eastAsia="SimHei" w:cs="SimHei"/>
          <w:sz w:val="23"/>
          <w:szCs w:val="23"/>
          <w:spacing w:val="1"/>
        </w:rPr>
        <w:t>(上证函〔2023〕3233号)同</w:t>
      </w:r>
      <w:r>
        <w:rPr>
          <w:rFonts w:ascii="SimHei" w:hAnsi="SimHei" w:eastAsia="SimHei" w:cs="SimHei"/>
          <w:sz w:val="23"/>
          <w:szCs w:val="23"/>
        </w:rPr>
        <w:t xml:space="preserve"> </w:t>
      </w:r>
      <w:r>
        <w:rPr>
          <w:rFonts w:ascii="SimHei" w:hAnsi="SimHei" w:eastAsia="SimHei" w:cs="SimHei"/>
          <w:sz w:val="23"/>
          <w:szCs w:val="23"/>
          <w:spacing w:val="-15"/>
        </w:rPr>
        <w:t>时废止。</w:t>
      </w:r>
    </w:p>
    <w:p>
      <w:pPr>
        <w:pStyle w:val="BodyText"/>
        <w:spacing w:line="276" w:lineRule="auto"/>
        <w:rPr/>
      </w:pPr>
      <w:r/>
    </w:p>
    <w:p>
      <w:pPr>
        <w:ind w:left="460"/>
        <w:spacing w:before="75" w:line="222" w:lineRule="auto"/>
        <w:rPr>
          <w:rFonts w:ascii="SimHei" w:hAnsi="SimHei" w:eastAsia="SimHei" w:cs="SimHei"/>
          <w:sz w:val="23"/>
          <w:szCs w:val="23"/>
        </w:rPr>
      </w:pPr>
      <w:r>
        <w:rPr>
          <w:rFonts w:ascii="SimHei" w:hAnsi="SimHei" w:eastAsia="SimHei" w:cs="SimHei"/>
          <w:sz w:val="23"/>
          <w:szCs w:val="23"/>
          <w:spacing w:val="-14"/>
        </w:rPr>
        <w:t>特此通知。</w:t>
      </w:r>
    </w:p>
    <w:p>
      <w:pPr>
        <w:pStyle w:val="BodyText"/>
        <w:spacing w:line="267" w:lineRule="auto"/>
        <w:rPr/>
      </w:pPr>
      <w:r/>
    </w:p>
    <w:p>
      <w:pPr>
        <w:spacing w:before="75" w:line="611" w:lineRule="exact"/>
        <w:jc w:val="right"/>
        <w:rPr>
          <w:rFonts w:ascii="SimHei" w:hAnsi="SimHei" w:eastAsia="SimHei" w:cs="SimHei"/>
          <w:sz w:val="23"/>
          <w:szCs w:val="23"/>
        </w:rPr>
      </w:pPr>
      <w:r>
        <w:rPr>
          <w:rFonts w:ascii="SimHei" w:hAnsi="SimHei" w:eastAsia="SimHei" w:cs="SimHei"/>
          <w:sz w:val="23"/>
          <w:szCs w:val="23"/>
          <w:spacing w:val="-10"/>
          <w:position w:val="29"/>
        </w:rPr>
        <w:t>上海证券交易所</w:t>
      </w:r>
    </w:p>
    <w:p>
      <w:pPr>
        <w:ind w:right="17"/>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310"/>
        <w:spacing w:before="182" w:line="2821" w:lineRule="exact"/>
        <w:rPr/>
      </w:pPr>
      <w:r>
        <w:rPr>
          <w:position w:val="-56"/>
        </w:rPr>
        <w:drawing>
          <wp:inline distT="0" distB="0" distL="0" distR="0">
            <wp:extent cx="1803361" cy="1790716"/>
            <wp:effectExtent l="0" t="0" r="0" b="0"/>
            <wp:docPr id="20" name="IM 20"/>
            <wp:cNvGraphicFramePr/>
            <a:graphic>
              <a:graphicData uri="http://schemas.openxmlformats.org/drawingml/2006/picture">
                <pic:pic>
                  <pic:nvPicPr>
                    <pic:cNvPr id="20" name="IM 20"/>
                    <pic:cNvPicPr/>
                  </pic:nvPicPr>
                  <pic:blipFill>
                    <a:blip r:embed="rId12"/>
                    <a:stretch>
                      <a:fillRect/>
                    </a:stretch>
                  </pic:blipFill>
                  <pic:spPr>
                    <a:xfrm rot="0">
                      <a:off x="0" y="0"/>
                      <a:ext cx="1803361" cy="1790716"/>
                    </a:xfrm>
                    <a:prstGeom prst="rect">
                      <a:avLst/>
                    </a:prstGeom>
                  </pic:spPr>
                </pic:pic>
              </a:graphicData>
            </a:graphic>
          </wp:inline>
        </w:drawing>
      </w:r>
    </w:p>
    <w:p>
      <w:pPr>
        <w:ind w:left="1343"/>
        <w:spacing w:before="314" w:line="221" w:lineRule="auto"/>
        <w:rPr>
          <w:rFonts w:ascii="SimHei" w:hAnsi="SimHei" w:eastAsia="SimHei" w:cs="SimHei"/>
          <w:sz w:val="23"/>
          <w:szCs w:val="23"/>
        </w:rPr>
      </w:pPr>
      <w:r>
        <w:rPr>
          <w:rFonts w:ascii="SimHei" w:hAnsi="SimHei" w:eastAsia="SimHei" w:cs="SimHei"/>
          <w:sz w:val="23"/>
          <w:szCs w:val="23"/>
          <w:b/>
          <w:bCs/>
          <w:spacing w:val="23"/>
        </w:rPr>
        <w:t>上海证券交易所上市公司自律监管指南第2号——</w:t>
      </w:r>
      <w:r>
        <w:rPr>
          <w:rFonts w:ascii="SimHei" w:hAnsi="SimHei" w:eastAsia="SimHei" w:cs="SimHei"/>
          <w:sz w:val="23"/>
          <w:szCs w:val="23"/>
          <w:spacing w:val="-76"/>
        </w:rPr>
        <w:t xml:space="preserve"> </w:t>
      </w:r>
      <w:r>
        <w:rPr>
          <w:rFonts w:ascii="SimHei" w:hAnsi="SimHei" w:eastAsia="SimHei" w:cs="SimHei"/>
          <w:sz w:val="23"/>
          <w:szCs w:val="23"/>
          <w:b/>
          <w:bCs/>
          <w:spacing w:val="23"/>
        </w:rPr>
        <w:t>业务办理(2023年12月</w:t>
      </w:r>
      <w:r>
        <w:rPr>
          <w:rFonts w:ascii="SimHei" w:hAnsi="SimHei" w:eastAsia="SimHei" w:cs="SimHei"/>
          <w:sz w:val="23"/>
          <w:szCs w:val="23"/>
          <w:b/>
          <w:bCs/>
          <w:spacing w:val="22"/>
        </w:rPr>
        <w:t>修订)</w:t>
      </w:r>
    </w:p>
    <w:p>
      <w:pPr>
        <w:spacing w:line="221" w:lineRule="auto"/>
        <w:sectPr>
          <w:pgSz w:w="11910" w:h="16840"/>
          <w:pgMar w:top="400" w:right="445" w:bottom="0" w:left="419" w:header="0" w:footer="0" w:gutter="0"/>
        </w:sectPr>
        <w:rPr>
          <w:rFonts w:ascii="SimHei" w:hAnsi="SimHei" w:eastAsia="SimHei" w:cs="SimHei"/>
          <w:sz w:val="23"/>
          <w:szCs w:val="23"/>
        </w:rPr>
      </w:pPr>
    </w:p>
    <w:p>
      <w:pPr>
        <w:ind w:left="533"/>
        <w:spacing w:before="94" w:line="221" w:lineRule="auto"/>
        <w:outlineLvl w:val="0"/>
        <w:rPr>
          <w:rFonts w:ascii="SimHei" w:hAnsi="SimHei" w:eastAsia="SimHei" w:cs="SimHei"/>
          <w:sz w:val="23"/>
          <w:szCs w:val="23"/>
        </w:rPr>
      </w:pPr>
      <w:r>
        <w:rPr>
          <w:rFonts w:ascii="SimHei" w:hAnsi="SimHei" w:eastAsia="SimHei" w:cs="SimHei"/>
          <w:sz w:val="23"/>
          <w:szCs w:val="23"/>
          <w:b/>
          <w:bCs/>
          <w:spacing w:val="2"/>
        </w:rPr>
        <w:t>9、</w:t>
      </w:r>
      <w:r>
        <w:rPr>
          <w:rFonts w:ascii="SimHei" w:hAnsi="SimHei" w:eastAsia="SimHei" w:cs="SimHei"/>
          <w:sz w:val="23"/>
          <w:szCs w:val="23"/>
          <w:spacing w:val="-47"/>
        </w:rPr>
        <w:t xml:space="preserve"> </w:t>
      </w:r>
      <w:r>
        <w:rPr>
          <w:rFonts w:ascii="SimHei" w:hAnsi="SimHei" w:eastAsia="SimHei" w:cs="SimHei"/>
          <w:sz w:val="23"/>
          <w:szCs w:val="23"/>
          <w:b/>
          <w:bCs/>
          <w:spacing w:val="2"/>
        </w:rPr>
        <w:t>上市公司独立董事职业道德规范</w:t>
      </w:r>
    </w:p>
    <w:p>
      <w:pPr>
        <w:pStyle w:val="BodyText"/>
        <w:spacing w:line="272" w:lineRule="auto"/>
        <w:rPr/>
      </w:pPr>
      <w:r/>
    </w:p>
    <w:p>
      <w:pPr>
        <w:ind w:right="38" w:firstLine="460"/>
        <w:spacing w:before="75" w:line="274" w:lineRule="auto"/>
        <w:jc w:val="both"/>
        <w:rPr>
          <w:rFonts w:ascii="SimHei" w:hAnsi="SimHei" w:eastAsia="SimHei" w:cs="SimHei"/>
          <w:sz w:val="23"/>
          <w:szCs w:val="23"/>
        </w:rPr>
      </w:pPr>
      <w:r>
        <w:rPr>
          <w:rFonts w:ascii="SimHei" w:hAnsi="SimHei" w:eastAsia="SimHei" w:cs="SimHei"/>
          <w:sz w:val="23"/>
          <w:szCs w:val="23"/>
          <w:spacing w:val="-11"/>
        </w:rPr>
        <w:t>为规范上市公司独立董事职业行为，塑造独立董事正直诚信、公正独立、专业可靠、积极履职的良好形象，根</w:t>
      </w:r>
      <w:r>
        <w:rPr>
          <w:rFonts w:ascii="SimHei" w:hAnsi="SimHei" w:eastAsia="SimHei" w:cs="SimHei"/>
          <w:sz w:val="23"/>
          <w:szCs w:val="23"/>
          <w:spacing w:val="7"/>
        </w:rPr>
        <w:t xml:space="preserve"> </w:t>
      </w:r>
      <w:r>
        <w:rPr>
          <w:rFonts w:ascii="SimHei" w:hAnsi="SimHei" w:eastAsia="SimHei" w:cs="SimHei"/>
          <w:sz w:val="23"/>
          <w:szCs w:val="23"/>
          <w:spacing w:val="-10"/>
        </w:rPr>
        <w:t>据国务院办公厅《关于上市公司独立董事制度改革的意见》和中国证</w:t>
      </w:r>
      <w:r>
        <w:rPr>
          <w:rFonts w:ascii="SimHei" w:hAnsi="SimHei" w:eastAsia="SimHei" w:cs="SimHei"/>
          <w:sz w:val="23"/>
          <w:szCs w:val="23"/>
          <w:spacing w:val="-11"/>
        </w:rPr>
        <w:t>监会《上市公司独立董事管理办法》及有关法</w:t>
      </w:r>
      <w:r>
        <w:rPr>
          <w:rFonts w:ascii="SimHei" w:hAnsi="SimHei" w:eastAsia="SimHei" w:cs="SimHei"/>
          <w:sz w:val="23"/>
          <w:szCs w:val="23"/>
        </w:rPr>
        <w:t xml:space="preserve"> </w:t>
      </w:r>
      <w:r>
        <w:rPr>
          <w:rFonts w:ascii="SimHei" w:hAnsi="SimHei" w:eastAsia="SimHei" w:cs="SimHei"/>
          <w:sz w:val="23"/>
          <w:szCs w:val="23"/>
          <w:spacing w:val="-13"/>
        </w:rPr>
        <w:t>律法规，制定本规范。</w:t>
      </w:r>
    </w:p>
    <w:p>
      <w:pPr>
        <w:pStyle w:val="BodyText"/>
        <w:spacing w:line="288" w:lineRule="auto"/>
        <w:rPr/>
      </w:pPr>
      <w:r/>
    </w:p>
    <w:p>
      <w:pPr>
        <w:ind w:left="440"/>
        <w:spacing w:before="75" w:line="222" w:lineRule="auto"/>
        <w:rPr>
          <w:rFonts w:ascii="SimHei" w:hAnsi="SimHei" w:eastAsia="SimHei" w:cs="SimHei"/>
          <w:sz w:val="23"/>
          <w:szCs w:val="23"/>
        </w:rPr>
      </w:pPr>
      <w:r>
        <w:rPr>
          <w:rFonts w:ascii="SimHei" w:hAnsi="SimHei" w:eastAsia="SimHei" w:cs="SimHei"/>
          <w:sz w:val="23"/>
          <w:szCs w:val="23"/>
          <w:spacing w:val="-16"/>
        </w:rPr>
        <w:t>特此通知。</w:t>
      </w:r>
    </w:p>
    <w:p>
      <w:pPr>
        <w:pStyle w:val="BodyText"/>
        <w:spacing w:line="268" w:lineRule="auto"/>
        <w:rPr/>
      </w:pPr>
      <w:r/>
    </w:p>
    <w:p>
      <w:pPr>
        <w:spacing w:before="75" w:line="600" w:lineRule="exact"/>
        <w:jc w:val="right"/>
        <w:rPr>
          <w:rFonts w:ascii="SimHei" w:hAnsi="SimHei" w:eastAsia="SimHei" w:cs="SimHei"/>
          <w:sz w:val="23"/>
          <w:szCs w:val="23"/>
        </w:rPr>
      </w:pPr>
      <w:r>
        <w:rPr>
          <w:rFonts w:ascii="SimHei" w:hAnsi="SimHei" w:eastAsia="SimHei" w:cs="SimHei"/>
          <w:sz w:val="23"/>
          <w:szCs w:val="23"/>
          <w:spacing w:val="-14"/>
          <w:position w:val="28"/>
        </w:rPr>
        <w:t>中国上</w:t>
      </w:r>
      <w:r>
        <w:rPr>
          <w:rFonts w:ascii="SimHei" w:hAnsi="SimHei" w:eastAsia="SimHei" w:cs="SimHei"/>
          <w:sz w:val="23"/>
          <w:szCs w:val="23"/>
          <w:spacing w:val="-13"/>
          <w:position w:val="28"/>
        </w:rPr>
        <w:t>市公司协</w:t>
      </w:r>
      <w:r>
        <w:rPr>
          <w:rFonts w:ascii="SimHei" w:hAnsi="SimHei" w:eastAsia="SimHei" w:cs="SimHei"/>
          <w:sz w:val="23"/>
          <w:szCs w:val="23"/>
          <w:spacing w:val="-10"/>
          <w:position w:val="28"/>
        </w:rPr>
        <w:t>会</w:t>
      </w:r>
    </w:p>
    <w:p>
      <w:pPr>
        <w:ind w:right="12"/>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300"/>
        <w:spacing w:before="172" w:line="2830" w:lineRule="exact"/>
        <w:rPr/>
      </w:pPr>
      <w:r>
        <w:rPr>
          <w:position w:val="-56"/>
        </w:rPr>
        <w:drawing>
          <wp:inline distT="0" distB="0" distL="0" distR="0">
            <wp:extent cx="1803361" cy="1797025"/>
            <wp:effectExtent l="0" t="0" r="0" b="0"/>
            <wp:docPr id="22" name="IM 22"/>
            <wp:cNvGraphicFramePr/>
            <a:graphic>
              <a:graphicData uri="http://schemas.openxmlformats.org/drawingml/2006/picture">
                <pic:pic>
                  <pic:nvPicPr>
                    <pic:cNvPr id="22" name="IM 22"/>
                    <pic:cNvPicPr/>
                  </pic:nvPicPr>
                  <pic:blipFill>
                    <a:blip r:embed="rId13"/>
                    <a:stretch>
                      <a:fillRect/>
                    </a:stretch>
                  </pic:blipFill>
                  <pic:spPr>
                    <a:xfrm rot="0">
                      <a:off x="0" y="0"/>
                      <a:ext cx="1803361" cy="1797025"/>
                    </a:xfrm>
                    <a:prstGeom prst="rect">
                      <a:avLst/>
                    </a:prstGeom>
                  </pic:spPr>
                </pic:pic>
              </a:graphicData>
            </a:graphic>
          </wp:inline>
        </w:drawing>
      </w:r>
    </w:p>
    <w:p>
      <w:pPr>
        <w:ind w:left="4083"/>
        <w:spacing w:before="304" w:line="221" w:lineRule="auto"/>
        <w:rPr>
          <w:rFonts w:ascii="SimHei" w:hAnsi="SimHei" w:eastAsia="SimHei" w:cs="SimHei"/>
          <w:sz w:val="23"/>
          <w:szCs w:val="23"/>
        </w:rPr>
      </w:pPr>
      <w:r>
        <w:rPr>
          <w:rFonts w:ascii="SimHei" w:hAnsi="SimHei" w:eastAsia="SimHei" w:cs="SimHei"/>
          <w:sz w:val="23"/>
          <w:szCs w:val="23"/>
          <w:b/>
          <w:bCs/>
          <w:spacing w:val="5"/>
        </w:rPr>
        <w:t>上市公司独立董事职业道德规范</w:t>
      </w:r>
    </w:p>
    <w:p>
      <w:pPr>
        <w:spacing w:line="221" w:lineRule="auto"/>
        <w:sectPr>
          <w:pgSz w:w="11910" w:h="16840"/>
          <w:pgMar w:top="400" w:right="460" w:bottom="0" w:left="429" w:header="0" w:footer="0" w:gutter="0"/>
        </w:sectPr>
        <w:rPr>
          <w:rFonts w:ascii="SimHei" w:hAnsi="SimHei" w:eastAsia="SimHei" w:cs="SimHei"/>
          <w:sz w:val="23"/>
          <w:szCs w:val="23"/>
        </w:rPr>
      </w:pPr>
    </w:p>
    <w:p>
      <w:pPr>
        <w:ind w:left="423"/>
        <w:spacing w:before="94" w:line="221" w:lineRule="auto"/>
        <w:outlineLvl w:val="0"/>
        <w:rPr>
          <w:rFonts w:ascii="SimHei" w:hAnsi="SimHei" w:eastAsia="SimHei" w:cs="SimHei"/>
          <w:sz w:val="23"/>
          <w:szCs w:val="23"/>
        </w:rPr>
      </w:pPr>
      <w:r>
        <w:rPr>
          <w:rFonts w:ascii="SimHei" w:hAnsi="SimHei" w:eastAsia="SimHei" w:cs="SimHei"/>
          <w:sz w:val="23"/>
          <w:szCs w:val="23"/>
          <w:b/>
          <w:bCs/>
          <w:spacing w:val="6"/>
        </w:rPr>
        <w:t>10、</w:t>
      </w:r>
      <w:r>
        <w:rPr>
          <w:rFonts w:ascii="SimHei" w:hAnsi="SimHei" w:eastAsia="SimHei" w:cs="SimHei"/>
          <w:sz w:val="23"/>
          <w:szCs w:val="23"/>
          <w:spacing w:val="6"/>
        </w:rPr>
        <w:t xml:space="preserve"> </w:t>
      </w:r>
      <w:r>
        <w:rPr>
          <w:rFonts w:ascii="SimHei" w:hAnsi="SimHei" w:eastAsia="SimHei" w:cs="SimHei"/>
          <w:sz w:val="23"/>
          <w:szCs w:val="23"/>
          <w:b/>
          <w:bCs/>
          <w:spacing w:val="6"/>
        </w:rPr>
        <w:t>科创板上市公司自律监管指南第12号——退市风险公司信息披露</w:t>
      </w:r>
    </w:p>
    <w:p>
      <w:pPr>
        <w:pStyle w:val="BodyText"/>
        <w:spacing w:line="291" w:lineRule="auto"/>
        <w:rPr/>
      </w:pPr>
      <w:r/>
    </w:p>
    <w:p>
      <w:pPr>
        <w:ind w:left="420"/>
        <w:spacing w:before="75" w:line="213" w:lineRule="auto"/>
        <w:rPr>
          <w:rFonts w:ascii="SimHei" w:hAnsi="SimHei" w:eastAsia="SimHei" w:cs="SimHei"/>
          <w:sz w:val="23"/>
          <w:szCs w:val="23"/>
        </w:rPr>
      </w:pPr>
      <w:r>
        <w:rPr>
          <w:rFonts w:ascii="SimHei" w:hAnsi="SimHei" w:eastAsia="SimHei" w:cs="SimHei"/>
          <w:sz w:val="23"/>
          <w:szCs w:val="23"/>
          <w:spacing w:val="-10"/>
        </w:rPr>
        <w:t>为引导科创板上市公司充分揭示退市风险，增强退市风险相关信息披露</w:t>
      </w:r>
      <w:r>
        <w:rPr>
          <w:rFonts w:ascii="SimHei" w:hAnsi="SimHei" w:eastAsia="SimHei" w:cs="SimHei"/>
          <w:sz w:val="23"/>
          <w:szCs w:val="23"/>
          <w:spacing w:val="-11"/>
        </w:rPr>
        <w:t>的针对性和有效性，上海证券交易所</w:t>
      </w:r>
    </w:p>
    <w:p>
      <w:pPr>
        <w:ind w:right="29" w:firstLine="140"/>
        <w:spacing w:before="105" w:line="274" w:lineRule="auto"/>
        <w:rPr>
          <w:rFonts w:ascii="SimHei" w:hAnsi="SimHei" w:eastAsia="SimHei" w:cs="SimHei"/>
          <w:sz w:val="23"/>
          <w:szCs w:val="23"/>
        </w:rPr>
      </w:pPr>
      <w:r>
        <w:rPr>
          <w:rFonts w:ascii="SimHei" w:hAnsi="SimHei" w:eastAsia="SimHei" w:cs="SimHei"/>
          <w:sz w:val="23"/>
          <w:szCs w:val="23"/>
          <w:spacing w:val="-8"/>
        </w:rPr>
        <w:t>(以下简称本所)对《上海证券交易所科创板上市公司自律监管指南》进行了修</w:t>
      </w:r>
      <w:r>
        <w:rPr>
          <w:rFonts w:ascii="SimHei" w:hAnsi="SimHei" w:eastAsia="SimHei" w:cs="SimHei"/>
          <w:sz w:val="23"/>
          <w:szCs w:val="23"/>
          <w:spacing w:val="-9"/>
        </w:rPr>
        <w:t>订。现予以发布，并自发布之日起</w:t>
      </w:r>
      <w:r>
        <w:rPr>
          <w:rFonts w:ascii="SimHei" w:hAnsi="SimHei" w:eastAsia="SimHei" w:cs="SimHei"/>
          <w:sz w:val="23"/>
          <w:szCs w:val="23"/>
        </w:rPr>
        <w:t xml:space="preserve"> </w:t>
      </w:r>
      <w:r>
        <w:rPr>
          <w:rFonts w:ascii="SimHei" w:hAnsi="SimHei" w:eastAsia="SimHei" w:cs="SimHei"/>
          <w:sz w:val="23"/>
          <w:szCs w:val="23"/>
          <w:spacing w:val="-2"/>
        </w:rPr>
        <w:t>施行。本所于2023年12月15日发布的《关于发布〈上海证券交</w:t>
      </w:r>
      <w:r>
        <w:rPr>
          <w:rFonts w:ascii="SimHei" w:hAnsi="SimHei" w:eastAsia="SimHei" w:cs="SimHei"/>
          <w:sz w:val="23"/>
          <w:szCs w:val="23"/>
          <w:spacing w:val="-3"/>
        </w:rPr>
        <w:t>易所科创板上市公司自律监管指南(2023年12月</w:t>
      </w:r>
      <w:r>
        <w:rPr>
          <w:rFonts w:ascii="SimHei" w:hAnsi="SimHei" w:eastAsia="SimHei" w:cs="SimHei"/>
          <w:sz w:val="23"/>
          <w:szCs w:val="23"/>
          <w:spacing w:val="-3"/>
        </w:rPr>
        <w:t xml:space="preserve">  </w:t>
      </w:r>
      <w:r>
        <w:rPr>
          <w:rFonts w:ascii="SimHei" w:hAnsi="SimHei" w:eastAsia="SimHei" w:cs="SimHei"/>
          <w:sz w:val="23"/>
          <w:szCs w:val="23"/>
          <w:spacing w:val="-1"/>
        </w:rPr>
        <w:t>修订)〉的通知》</w:t>
      </w:r>
      <w:r>
        <w:rPr>
          <w:rFonts w:ascii="SimHei" w:hAnsi="SimHei" w:eastAsia="SimHei" w:cs="SimHei"/>
          <w:sz w:val="23"/>
          <w:szCs w:val="23"/>
          <w:spacing w:val="106"/>
        </w:rPr>
        <w:t xml:space="preserve"> </w:t>
      </w:r>
      <w:r>
        <w:rPr>
          <w:rFonts w:ascii="SimHei" w:hAnsi="SimHei" w:eastAsia="SimHei" w:cs="SimHei"/>
          <w:sz w:val="23"/>
          <w:szCs w:val="23"/>
          <w:spacing w:val="-1"/>
        </w:rPr>
        <w:t>(上证函〔2023〕3489号)同时</w:t>
      </w:r>
      <w:r>
        <w:rPr>
          <w:rFonts w:ascii="SimHei" w:hAnsi="SimHei" w:eastAsia="SimHei" w:cs="SimHei"/>
          <w:sz w:val="23"/>
          <w:szCs w:val="23"/>
          <w:spacing w:val="-2"/>
        </w:rPr>
        <w:t>废止。</w:t>
      </w:r>
    </w:p>
    <w:p>
      <w:pPr>
        <w:pStyle w:val="BodyText"/>
        <w:spacing w:line="278" w:lineRule="auto"/>
        <w:rPr/>
      </w:pPr>
      <w:r/>
    </w:p>
    <w:p>
      <w:pPr>
        <w:ind w:left="420"/>
        <w:spacing w:before="75" w:line="222" w:lineRule="auto"/>
        <w:rPr>
          <w:rFonts w:ascii="SimHei" w:hAnsi="SimHei" w:eastAsia="SimHei" w:cs="SimHei"/>
          <w:sz w:val="23"/>
          <w:szCs w:val="23"/>
        </w:rPr>
      </w:pPr>
      <w:r>
        <w:rPr>
          <w:rFonts w:ascii="SimHei" w:hAnsi="SimHei" w:eastAsia="SimHei" w:cs="SimHei"/>
          <w:sz w:val="23"/>
          <w:szCs w:val="23"/>
          <w:spacing w:val="-14"/>
        </w:rPr>
        <w:t>特此通知。</w:t>
      </w:r>
    </w:p>
    <w:p>
      <w:pPr>
        <w:pStyle w:val="BodyText"/>
        <w:spacing w:line="247" w:lineRule="auto"/>
        <w:rPr/>
      </w:pPr>
      <w:r/>
    </w:p>
    <w:p>
      <w:pPr>
        <w:ind w:right="10"/>
        <w:spacing w:before="75" w:line="622" w:lineRule="exact"/>
        <w:jc w:val="right"/>
        <w:rPr>
          <w:rFonts w:ascii="SimHei" w:hAnsi="SimHei" w:eastAsia="SimHei" w:cs="SimHei"/>
          <w:sz w:val="23"/>
          <w:szCs w:val="23"/>
        </w:rPr>
      </w:pPr>
      <w:r>
        <w:rPr>
          <w:rFonts w:ascii="SimHei" w:hAnsi="SimHei" w:eastAsia="SimHei" w:cs="SimHei"/>
          <w:sz w:val="23"/>
          <w:szCs w:val="23"/>
          <w:spacing w:val="-11"/>
          <w:position w:val="30"/>
        </w:rPr>
        <w:t>上海证券交易所</w:t>
      </w:r>
    </w:p>
    <w:p>
      <w:pPr>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309"/>
        <w:spacing w:before="191" w:line="2811" w:lineRule="exact"/>
        <w:rPr/>
      </w:pPr>
      <w:r>
        <w:rPr>
          <w:position w:val="-56"/>
        </w:rPr>
        <w:drawing>
          <wp:inline distT="0" distB="0" distL="0" distR="0">
            <wp:extent cx="1803437" cy="1784407"/>
            <wp:effectExtent l="0" t="0" r="0" b="0"/>
            <wp:docPr id="24" name="IM 24"/>
            <wp:cNvGraphicFramePr/>
            <a:graphic>
              <a:graphicData uri="http://schemas.openxmlformats.org/drawingml/2006/picture">
                <pic:pic>
                  <pic:nvPicPr>
                    <pic:cNvPr id="24" name="IM 24"/>
                    <pic:cNvPicPr/>
                  </pic:nvPicPr>
                  <pic:blipFill>
                    <a:blip r:embed="rId14"/>
                    <a:stretch>
                      <a:fillRect/>
                    </a:stretch>
                  </pic:blipFill>
                  <pic:spPr>
                    <a:xfrm rot="0">
                      <a:off x="0" y="0"/>
                      <a:ext cx="1803437" cy="1784407"/>
                    </a:xfrm>
                    <a:prstGeom prst="rect">
                      <a:avLst/>
                    </a:prstGeom>
                  </pic:spPr>
                </pic:pic>
              </a:graphicData>
            </a:graphic>
          </wp:inline>
        </w:drawing>
      </w:r>
    </w:p>
    <w:p>
      <w:pPr>
        <w:ind w:left="2283"/>
        <w:spacing w:before="304" w:line="221" w:lineRule="auto"/>
        <w:rPr>
          <w:rFonts w:ascii="SimHei" w:hAnsi="SimHei" w:eastAsia="SimHei" w:cs="SimHei"/>
          <w:sz w:val="23"/>
          <w:szCs w:val="23"/>
        </w:rPr>
      </w:pPr>
      <w:r>
        <w:rPr>
          <w:rFonts w:ascii="SimHei" w:hAnsi="SimHei" w:eastAsia="SimHei" w:cs="SimHei"/>
          <w:sz w:val="23"/>
          <w:szCs w:val="23"/>
          <w:b/>
          <w:bCs/>
          <w:spacing w:val="14"/>
        </w:rPr>
        <w:t>科创板上市公司自律监管指南第12号——退市风险公司信息披露</w:t>
      </w:r>
    </w:p>
    <w:p>
      <w:pPr>
        <w:spacing w:line="221" w:lineRule="auto"/>
        <w:sectPr>
          <w:pgSz w:w="11910" w:h="16840"/>
          <w:pgMar w:top="400" w:right="453" w:bottom="0" w:left="429" w:header="0" w:footer="0" w:gutter="0"/>
        </w:sectPr>
        <w:rPr>
          <w:rFonts w:ascii="SimHei" w:hAnsi="SimHei" w:eastAsia="SimHei" w:cs="SimHei"/>
          <w:sz w:val="23"/>
          <w:szCs w:val="23"/>
        </w:rPr>
      </w:pPr>
    </w:p>
    <w:p>
      <w:pPr>
        <w:ind w:left="543"/>
        <w:spacing w:before="114" w:line="221" w:lineRule="auto"/>
        <w:outlineLvl w:val="0"/>
        <w:rPr>
          <w:rFonts w:ascii="SimHei" w:hAnsi="SimHei" w:eastAsia="SimHei" w:cs="SimHei"/>
          <w:sz w:val="23"/>
          <w:szCs w:val="23"/>
        </w:rPr>
      </w:pPr>
      <w:r>
        <w:rPr>
          <w:rFonts w:ascii="SimHei" w:hAnsi="SimHei" w:eastAsia="SimHei" w:cs="SimHei"/>
          <w:sz w:val="23"/>
          <w:szCs w:val="23"/>
          <w:b/>
          <w:bCs/>
          <w:spacing w:val="14"/>
        </w:rPr>
        <w:t>11、</w:t>
      </w:r>
      <w:r>
        <w:rPr>
          <w:rFonts w:ascii="SimHei" w:hAnsi="SimHei" w:eastAsia="SimHei" w:cs="SimHei"/>
          <w:sz w:val="23"/>
          <w:szCs w:val="23"/>
          <w:spacing w:val="14"/>
        </w:rPr>
        <w:t xml:space="preserve"> </w:t>
      </w:r>
      <w:r>
        <w:rPr>
          <w:rFonts w:ascii="SimHei" w:hAnsi="SimHei" w:eastAsia="SimHei" w:cs="SimHei"/>
          <w:sz w:val="23"/>
          <w:szCs w:val="23"/>
          <w:b/>
          <w:bCs/>
          <w:spacing w:val="14"/>
        </w:rPr>
        <w:t>科创板上市公司自律监管指南第5号——退市信息</w:t>
      </w:r>
      <w:r>
        <w:rPr>
          <w:rFonts w:ascii="SimHei" w:hAnsi="SimHei" w:eastAsia="SimHei" w:cs="SimHei"/>
          <w:sz w:val="23"/>
          <w:szCs w:val="23"/>
          <w:b/>
          <w:bCs/>
          <w:spacing w:val="13"/>
        </w:rPr>
        <w:t>披露(2023年12月29日修订)</w:t>
      </w:r>
    </w:p>
    <w:p>
      <w:pPr>
        <w:pStyle w:val="BodyText"/>
        <w:spacing w:line="271" w:lineRule="auto"/>
        <w:rPr/>
      </w:pPr>
      <w:r/>
    </w:p>
    <w:p>
      <w:pPr>
        <w:ind w:left="460"/>
        <w:spacing w:before="75" w:line="213" w:lineRule="auto"/>
        <w:rPr>
          <w:rFonts w:ascii="SimHei" w:hAnsi="SimHei" w:eastAsia="SimHei" w:cs="SimHei"/>
          <w:sz w:val="23"/>
          <w:szCs w:val="23"/>
        </w:rPr>
      </w:pPr>
      <w:r>
        <w:rPr>
          <w:rFonts w:ascii="SimHei" w:hAnsi="SimHei" w:eastAsia="SimHei" w:cs="SimHei"/>
          <w:sz w:val="23"/>
          <w:szCs w:val="23"/>
          <w:spacing w:val="-10"/>
        </w:rPr>
        <w:t>为引导科创板上市公司充分揭示退市风险，增强退市风险相关信息披露</w:t>
      </w:r>
      <w:r>
        <w:rPr>
          <w:rFonts w:ascii="SimHei" w:hAnsi="SimHei" w:eastAsia="SimHei" w:cs="SimHei"/>
          <w:sz w:val="23"/>
          <w:szCs w:val="23"/>
          <w:spacing w:val="-11"/>
        </w:rPr>
        <w:t>的针对性和有效性，上海证券交易所</w:t>
      </w:r>
    </w:p>
    <w:p>
      <w:pPr>
        <w:ind w:right="29" w:firstLine="150"/>
        <w:spacing w:before="105" w:line="274" w:lineRule="auto"/>
        <w:rPr>
          <w:rFonts w:ascii="SimHei" w:hAnsi="SimHei" w:eastAsia="SimHei" w:cs="SimHei"/>
          <w:sz w:val="23"/>
          <w:szCs w:val="23"/>
        </w:rPr>
      </w:pPr>
      <w:r>
        <w:rPr>
          <w:rFonts w:ascii="SimHei" w:hAnsi="SimHei" w:eastAsia="SimHei" w:cs="SimHei"/>
          <w:sz w:val="23"/>
          <w:szCs w:val="23"/>
          <w:spacing w:val="-8"/>
        </w:rPr>
        <w:t>(以下简称本所)对《上海证券交易所科创板上市公司自</w:t>
      </w:r>
      <w:r>
        <w:rPr>
          <w:rFonts w:ascii="SimHei" w:hAnsi="SimHei" w:eastAsia="SimHei" w:cs="SimHei"/>
          <w:sz w:val="23"/>
          <w:szCs w:val="23"/>
          <w:spacing w:val="-9"/>
        </w:rPr>
        <w:t>律监管指南》进行了修订。现予以发布，并自发布之日起</w:t>
      </w:r>
      <w:r>
        <w:rPr>
          <w:rFonts w:ascii="SimHei" w:hAnsi="SimHei" w:eastAsia="SimHei" w:cs="SimHei"/>
          <w:sz w:val="23"/>
          <w:szCs w:val="23"/>
        </w:rPr>
        <w:t xml:space="preserve"> </w:t>
      </w:r>
      <w:r>
        <w:rPr>
          <w:rFonts w:ascii="SimHei" w:hAnsi="SimHei" w:eastAsia="SimHei" w:cs="SimHei"/>
          <w:sz w:val="23"/>
          <w:szCs w:val="23"/>
          <w:spacing w:val="-2"/>
        </w:rPr>
        <w:t>施行。本所于2023年12月15日发布的《关于发布〈上海证券交</w:t>
      </w:r>
      <w:r>
        <w:rPr>
          <w:rFonts w:ascii="SimHei" w:hAnsi="SimHei" w:eastAsia="SimHei" w:cs="SimHei"/>
          <w:sz w:val="23"/>
          <w:szCs w:val="23"/>
          <w:spacing w:val="-3"/>
        </w:rPr>
        <w:t>易所科创板上市公司自律监管指南(2023年12月</w:t>
      </w:r>
      <w:r>
        <w:rPr>
          <w:rFonts w:ascii="SimHei" w:hAnsi="SimHei" w:eastAsia="SimHei" w:cs="SimHei"/>
          <w:sz w:val="23"/>
          <w:szCs w:val="23"/>
          <w:spacing w:val="-3"/>
        </w:rPr>
        <w:t xml:space="preserve">  </w:t>
      </w:r>
      <w:r>
        <w:rPr>
          <w:rFonts w:ascii="SimHei" w:hAnsi="SimHei" w:eastAsia="SimHei" w:cs="SimHei"/>
          <w:sz w:val="23"/>
          <w:szCs w:val="23"/>
          <w:spacing w:val="-1"/>
        </w:rPr>
        <w:t>修订)〉的通知》</w:t>
      </w:r>
      <w:r>
        <w:rPr>
          <w:rFonts w:ascii="SimHei" w:hAnsi="SimHei" w:eastAsia="SimHei" w:cs="SimHei"/>
          <w:sz w:val="23"/>
          <w:szCs w:val="23"/>
          <w:spacing w:val="106"/>
        </w:rPr>
        <w:t xml:space="preserve"> </w:t>
      </w:r>
      <w:r>
        <w:rPr>
          <w:rFonts w:ascii="SimHei" w:hAnsi="SimHei" w:eastAsia="SimHei" w:cs="SimHei"/>
          <w:sz w:val="23"/>
          <w:szCs w:val="23"/>
          <w:spacing w:val="-1"/>
        </w:rPr>
        <w:t>(上证函〔2023〕3489号)同时</w:t>
      </w:r>
      <w:r>
        <w:rPr>
          <w:rFonts w:ascii="SimHei" w:hAnsi="SimHei" w:eastAsia="SimHei" w:cs="SimHei"/>
          <w:sz w:val="23"/>
          <w:szCs w:val="23"/>
          <w:spacing w:val="-2"/>
        </w:rPr>
        <w:t>废止。</w:t>
      </w:r>
    </w:p>
    <w:p>
      <w:pPr>
        <w:pStyle w:val="BodyText"/>
        <w:spacing w:line="278" w:lineRule="auto"/>
        <w:rPr/>
      </w:pPr>
      <w:r/>
    </w:p>
    <w:p>
      <w:pPr>
        <w:ind w:left="450"/>
        <w:spacing w:before="75" w:line="222" w:lineRule="auto"/>
        <w:rPr>
          <w:rFonts w:ascii="SimHei" w:hAnsi="SimHei" w:eastAsia="SimHei" w:cs="SimHei"/>
          <w:sz w:val="23"/>
          <w:szCs w:val="23"/>
        </w:rPr>
      </w:pPr>
      <w:r>
        <w:rPr>
          <w:rFonts w:ascii="SimHei" w:hAnsi="SimHei" w:eastAsia="SimHei" w:cs="SimHei"/>
          <w:sz w:val="23"/>
          <w:szCs w:val="23"/>
          <w:spacing w:val="-14"/>
        </w:rPr>
        <w:t>特此通知。</w:t>
      </w:r>
    </w:p>
    <w:p>
      <w:pPr>
        <w:pStyle w:val="BodyText"/>
        <w:spacing w:line="247" w:lineRule="auto"/>
        <w:rPr/>
      </w:pPr>
      <w:r/>
    </w:p>
    <w:p>
      <w:pPr>
        <w:ind w:right="10"/>
        <w:spacing w:before="75" w:line="622" w:lineRule="exact"/>
        <w:jc w:val="right"/>
        <w:rPr>
          <w:rFonts w:ascii="SimHei" w:hAnsi="SimHei" w:eastAsia="SimHei" w:cs="SimHei"/>
          <w:sz w:val="23"/>
          <w:szCs w:val="23"/>
        </w:rPr>
      </w:pPr>
      <w:r>
        <w:rPr>
          <w:rFonts w:ascii="SimHei" w:hAnsi="SimHei" w:eastAsia="SimHei" w:cs="SimHei"/>
          <w:sz w:val="23"/>
          <w:szCs w:val="23"/>
          <w:spacing w:val="-11"/>
          <w:position w:val="30"/>
        </w:rPr>
        <w:t>上海证券交易所</w:t>
      </w:r>
    </w:p>
    <w:p>
      <w:pPr>
        <w:spacing w:line="223" w:lineRule="auto"/>
        <w:jc w:val="right"/>
        <w:rPr>
          <w:rFonts w:ascii="SimHei" w:hAnsi="SimHei" w:eastAsia="SimHei" w:cs="SimHei"/>
          <w:sz w:val="23"/>
          <w:szCs w:val="23"/>
        </w:rPr>
      </w:pPr>
      <w:r>
        <w:rPr>
          <w:rFonts w:ascii="SimHei" w:hAnsi="SimHei" w:eastAsia="SimHei" w:cs="SimHei"/>
          <w:sz w:val="23"/>
          <w:szCs w:val="23"/>
          <w:spacing w:val="6"/>
        </w:rPr>
        <w:t>2023年12月29日</w:t>
      </w:r>
    </w:p>
    <w:p>
      <w:pPr>
        <w:ind w:firstLine="4300"/>
        <w:spacing w:before="191" w:line="2811" w:lineRule="exact"/>
        <w:rPr/>
      </w:pPr>
      <w:r>
        <w:rPr>
          <w:position w:val="-56"/>
        </w:rPr>
        <w:drawing>
          <wp:inline distT="0" distB="0" distL="0" distR="0">
            <wp:extent cx="1803361" cy="1784407"/>
            <wp:effectExtent l="0" t="0" r="0" b="0"/>
            <wp:docPr id="26" name="IM 26"/>
            <wp:cNvGraphicFramePr/>
            <a:graphic>
              <a:graphicData uri="http://schemas.openxmlformats.org/drawingml/2006/picture">
                <pic:pic>
                  <pic:nvPicPr>
                    <pic:cNvPr id="26" name="IM 26"/>
                    <pic:cNvPicPr/>
                  </pic:nvPicPr>
                  <pic:blipFill>
                    <a:blip r:embed="rId15"/>
                    <a:stretch>
                      <a:fillRect/>
                    </a:stretch>
                  </pic:blipFill>
                  <pic:spPr>
                    <a:xfrm rot="0">
                      <a:off x="0" y="0"/>
                      <a:ext cx="1803361" cy="1784407"/>
                    </a:xfrm>
                    <a:prstGeom prst="rect">
                      <a:avLst/>
                    </a:prstGeom>
                  </pic:spPr>
                </pic:pic>
              </a:graphicData>
            </a:graphic>
          </wp:inline>
        </w:drawing>
      </w:r>
    </w:p>
    <w:p>
      <w:pPr>
        <w:pStyle w:val="BodyText"/>
        <w:spacing w:line="247" w:lineRule="auto"/>
        <w:rPr/>
      </w:pPr>
      <w:r/>
    </w:p>
    <w:p>
      <w:pPr>
        <w:ind w:left="1263"/>
        <w:spacing w:before="75" w:line="221" w:lineRule="auto"/>
        <w:rPr>
          <w:rFonts w:ascii="SimHei" w:hAnsi="SimHei" w:eastAsia="SimHei" w:cs="SimHei"/>
          <w:sz w:val="23"/>
          <w:szCs w:val="23"/>
        </w:rPr>
      </w:pPr>
      <w:r>
        <w:rPr>
          <w:rFonts w:ascii="SimHei" w:hAnsi="SimHei" w:eastAsia="SimHei" w:cs="SimHei"/>
          <w:sz w:val="23"/>
          <w:szCs w:val="23"/>
          <w:b/>
          <w:bCs/>
          <w:spacing w:val="25"/>
        </w:rPr>
        <w:t>科创板上市公司自律监管指南第5号</w:t>
      </w:r>
      <w:r>
        <w:rPr>
          <w:rFonts w:ascii="SimHei" w:hAnsi="SimHei" w:eastAsia="SimHei" w:cs="SimHei"/>
          <w:sz w:val="23"/>
          <w:szCs w:val="23"/>
          <w:spacing w:val="-84"/>
        </w:rPr>
        <w:t xml:space="preserve"> </w:t>
      </w:r>
      <w:r>
        <w:rPr>
          <w:rFonts w:ascii="SimHei" w:hAnsi="SimHei" w:eastAsia="SimHei" w:cs="SimHei"/>
          <w:sz w:val="23"/>
          <w:szCs w:val="23"/>
          <w:b/>
          <w:bCs/>
          <w:spacing w:val="25"/>
        </w:rPr>
        <w:t>—</w:t>
      </w:r>
      <w:r>
        <w:rPr>
          <w:rFonts w:ascii="SimHei" w:hAnsi="SimHei" w:eastAsia="SimHei" w:cs="SimHei"/>
          <w:sz w:val="23"/>
          <w:szCs w:val="23"/>
          <w:spacing w:val="-84"/>
        </w:rPr>
        <w:t xml:space="preserve"> </w:t>
      </w:r>
      <w:r>
        <w:rPr>
          <w:rFonts w:ascii="SimHei" w:hAnsi="SimHei" w:eastAsia="SimHei" w:cs="SimHei"/>
          <w:sz w:val="23"/>
          <w:szCs w:val="23"/>
          <w:b/>
          <w:bCs/>
          <w:spacing w:val="25"/>
        </w:rPr>
        <w:t>—</w:t>
      </w:r>
      <w:r>
        <w:rPr>
          <w:rFonts w:ascii="SimHei" w:hAnsi="SimHei" w:eastAsia="SimHei" w:cs="SimHei"/>
          <w:sz w:val="23"/>
          <w:szCs w:val="23"/>
          <w:spacing w:val="-77"/>
        </w:rPr>
        <w:t xml:space="preserve"> </w:t>
      </w:r>
      <w:r>
        <w:rPr>
          <w:rFonts w:ascii="SimHei" w:hAnsi="SimHei" w:eastAsia="SimHei" w:cs="SimHei"/>
          <w:sz w:val="23"/>
          <w:szCs w:val="23"/>
          <w:b/>
          <w:bCs/>
          <w:spacing w:val="25"/>
        </w:rPr>
        <w:t>退市信</w:t>
      </w:r>
      <w:r>
        <w:rPr>
          <w:rFonts w:ascii="SimHei" w:hAnsi="SimHei" w:eastAsia="SimHei" w:cs="SimHei"/>
          <w:sz w:val="23"/>
          <w:szCs w:val="23"/>
          <w:b/>
          <w:bCs/>
          <w:spacing w:val="24"/>
        </w:rPr>
        <w:t>息披露(2023年12月29日修订)</w:t>
      </w:r>
    </w:p>
    <w:p>
      <w:pPr>
        <w:spacing w:line="221" w:lineRule="auto"/>
        <w:sectPr>
          <w:pgSz w:w="11910" w:h="16840"/>
          <w:pgMar w:top="400" w:right="453" w:bottom="0" w:left="429" w:header="0" w:footer="0" w:gutter="0"/>
        </w:sectPr>
        <w:rPr>
          <w:rFonts w:ascii="SimHei" w:hAnsi="SimHei" w:eastAsia="SimHei" w:cs="SimHei"/>
          <w:sz w:val="23"/>
          <w:szCs w:val="23"/>
        </w:rPr>
      </w:pPr>
    </w:p>
    <w:p>
      <w:pPr>
        <w:ind w:left="543"/>
        <w:spacing w:before="114" w:line="221" w:lineRule="auto"/>
        <w:outlineLvl w:val="0"/>
        <w:rPr>
          <w:rFonts w:ascii="SimHei" w:hAnsi="SimHei" w:eastAsia="SimHei" w:cs="SimHei"/>
          <w:sz w:val="23"/>
          <w:szCs w:val="23"/>
        </w:rPr>
      </w:pPr>
      <w:r>
        <w:rPr>
          <w:rFonts w:ascii="SimHei" w:hAnsi="SimHei" w:eastAsia="SimHei" w:cs="SimHei"/>
          <w:sz w:val="23"/>
          <w:szCs w:val="23"/>
          <w:b/>
          <w:bCs/>
          <w:spacing w:val="12"/>
        </w:rPr>
        <w:t>12、</w:t>
      </w:r>
      <w:r>
        <w:rPr>
          <w:rFonts w:ascii="SimHei" w:hAnsi="SimHei" w:eastAsia="SimHei" w:cs="SimHei"/>
          <w:sz w:val="23"/>
          <w:szCs w:val="23"/>
          <w:spacing w:val="12"/>
        </w:rPr>
        <w:t xml:space="preserve"> </w:t>
      </w:r>
      <w:r>
        <w:rPr>
          <w:rFonts w:ascii="SimHei" w:hAnsi="SimHei" w:eastAsia="SimHei" w:cs="SimHei"/>
          <w:sz w:val="23"/>
          <w:szCs w:val="23"/>
          <w:b/>
          <w:bCs/>
          <w:spacing w:val="12"/>
        </w:rPr>
        <w:t>深圳证券交易所债券交易业务指南第4号——债券交易及配套安排(2023年12月修订)</w:t>
      </w:r>
    </w:p>
    <w:p>
      <w:pPr>
        <w:pStyle w:val="BodyText"/>
        <w:spacing w:line="261" w:lineRule="auto"/>
        <w:rPr/>
      </w:pPr>
      <w:r/>
    </w:p>
    <w:p>
      <w:pPr>
        <w:ind w:right="53" w:firstLine="450"/>
        <w:spacing w:before="75" w:line="269" w:lineRule="auto"/>
        <w:jc w:val="both"/>
        <w:rPr>
          <w:rFonts w:ascii="SimHei" w:hAnsi="SimHei" w:eastAsia="SimHei" w:cs="SimHei"/>
          <w:sz w:val="23"/>
          <w:szCs w:val="23"/>
        </w:rPr>
      </w:pPr>
      <w:r>
        <w:rPr>
          <w:rFonts w:ascii="SimHei" w:hAnsi="SimHei" w:eastAsia="SimHei" w:cs="SimHei"/>
          <w:sz w:val="23"/>
          <w:szCs w:val="23"/>
          <w:spacing w:val="-11"/>
        </w:rPr>
        <w:t>为了规范债券交易业务操作流程，明确全面支持交易解除、设置交易对手范围、点击成交报价方设置申报数量</w:t>
      </w:r>
      <w:r>
        <w:rPr>
          <w:rFonts w:ascii="SimHei" w:hAnsi="SimHei" w:eastAsia="SimHei" w:cs="SimHei"/>
          <w:sz w:val="23"/>
          <w:szCs w:val="23"/>
          <w:spacing w:val="10"/>
        </w:rPr>
        <w:t xml:space="preserve"> </w:t>
      </w:r>
      <w:r>
        <w:rPr>
          <w:rFonts w:ascii="SimHei" w:hAnsi="SimHei" w:eastAsia="SimHei" w:cs="SimHei"/>
          <w:sz w:val="23"/>
          <w:szCs w:val="23"/>
          <w:spacing w:val="-9"/>
        </w:rPr>
        <w:t>全额成交以及全面支持合并申报相关业务安排，本所对《深圳证券交易所债券交易业务指南第4</w:t>
      </w:r>
      <w:r>
        <w:rPr>
          <w:rFonts w:ascii="SimHei" w:hAnsi="SimHei" w:eastAsia="SimHei" w:cs="SimHei"/>
          <w:sz w:val="23"/>
          <w:szCs w:val="23"/>
          <w:spacing w:val="-10"/>
        </w:rPr>
        <w:t>号——债券交易及</w:t>
      </w:r>
      <w:r>
        <w:rPr>
          <w:rFonts w:ascii="SimHei" w:hAnsi="SimHei" w:eastAsia="SimHei" w:cs="SimHei"/>
          <w:sz w:val="23"/>
          <w:szCs w:val="23"/>
        </w:rPr>
        <w:t xml:space="preserve"> </w:t>
      </w:r>
      <w:r>
        <w:rPr>
          <w:rFonts w:ascii="SimHei" w:hAnsi="SimHei" w:eastAsia="SimHei" w:cs="SimHei"/>
          <w:sz w:val="23"/>
          <w:szCs w:val="23"/>
          <w:spacing w:val="-6"/>
        </w:rPr>
        <w:t>配套安排》进行了修订，现予以发布，自2024年1月8日起施行。</w:t>
      </w:r>
    </w:p>
    <w:p>
      <w:pPr>
        <w:pStyle w:val="BodyText"/>
        <w:spacing w:line="297" w:lineRule="auto"/>
        <w:rPr/>
      </w:pPr>
      <w:r/>
    </w:p>
    <w:p>
      <w:pPr>
        <w:ind w:left="15" w:right="214" w:firstLine="435"/>
        <w:spacing w:before="75" w:line="263" w:lineRule="auto"/>
        <w:rPr>
          <w:rFonts w:ascii="SimHei" w:hAnsi="SimHei" w:eastAsia="SimHei" w:cs="SimHei"/>
          <w:sz w:val="23"/>
          <w:szCs w:val="23"/>
        </w:rPr>
      </w:pPr>
      <w:r>
        <w:rPr>
          <w:rFonts w:ascii="SimHei" w:hAnsi="SimHei" w:eastAsia="SimHei" w:cs="SimHei"/>
          <w:sz w:val="23"/>
          <w:szCs w:val="23"/>
          <w:spacing w:val="-8"/>
        </w:rPr>
        <w:t>本所于2023年1月6日发布的《深圳证券交易所债券交易业务指南</w:t>
      </w:r>
      <w:r>
        <w:rPr>
          <w:rFonts w:ascii="SimHei" w:hAnsi="SimHei" w:eastAsia="SimHei" w:cs="SimHei"/>
          <w:sz w:val="23"/>
          <w:szCs w:val="23"/>
          <w:spacing w:val="-9"/>
        </w:rPr>
        <w:t>第4号——债券交易及配套安排》</w:t>
      </w:r>
      <w:r>
        <w:rPr>
          <w:rFonts w:ascii="SimHei" w:hAnsi="SimHei" w:eastAsia="SimHei" w:cs="SimHei"/>
          <w:sz w:val="23"/>
          <w:szCs w:val="23"/>
          <w:spacing w:val="85"/>
        </w:rPr>
        <w:t xml:space="preserve"> </w:t>
      </w:r>
      <w:r>
        <w:rPr>
          <w:rFonts w:ascii="SimHei" w:hAnsi="SimHei" w:eastAsia="SimHei" w:cs="SimHei"/>
          <w:sz w:val="23"/>
          <w:szCs w:val="23"/>
          <w:spacing w:val="-9"/>
        </w:rPr>
        <w:t>(深证上</w:t>
      </w:r>
      <w:r>
        <w:rPr>
          <w:rFonts w:ascii="SimHei" w:hAnsi="SimHei" w:eastAsia="SimHei" w:cs="SimHei"/>
          <w:sz w:val="23"/>
          <w:szCs w:val="23"/>
        </w:rPr>
        <w:t xml:space="preserve"> </w:t>
      </w:r>
      <w:r>
        <w:rPr>
          <w:rFonts w:ascii="SimHei" w:hAnsi="SimHei" w:eastAsia="SimHei" w:cs="SimHei"/>
          <w:sz w:val="23"/>
          <w:szCs w:val="23"/>
          <w:spacing w:val="2"/>
        </w:rPr>
        <w:t>〔2023〕9号)同时废止。</w:t>
      </w:r>
    </w:p>
    <w:p>
      <w:pPr>
        <w:pStyle w:val="BodyText"/>
        <w:spacing w:line="248" w:lineRule="auto"/>
        <w:rPr/>
      </w:pPr>
      <w:r/>
    </w:p>
    <w:p>
      <w:pPr>
        <w:ind w:left="450"/>
        <w:spacing w:before="75" w:line="222" w:lineRule="auto"/>
        <w:rPr>
          <w:rFonts w:ascii="SimHei" w:hAnsi="SimHei" w:eastAsia="SimHei" w:cs="SimHei"/>
          <w:sz w:val="23"/>
          <w:szCs w:val="23"/>
        </w:rPr>
      </w:pPr>
      <w:r>
        <w:rPr>
          <w:rFonts w:ascii="SimHei" w:hAnsi="SimHei" w:eastAsia="SimHei" w:cs="SimHei"/>
          <w:sz w:val="23"/>
          <w:szCs w:val="23"/>
          <w:spacing w:val="-17"/>
        </w:rPr>
        <w:t>特此通知。</w:t>
      </w:r>
    </w:p>
    <w:p>
      <w:pPr>
        <w:pStyle w:val="BodyText"/>
        <w:spacing w:line="268" w:lineRule="auto"/>
        <w:rPr/>
      </w:pPr>
      <w:r/>
    </w:p>
    <w:p>
      <w:pPr>
        <w:ind w:right="12"/>
        <w:spacing w:before="75" w:line="620" w:lineRule="exact"/>
        <w:jc w:val="right"/>
        <w:rPr>
          <w:rFonts w:ascii="SimHei" w:hAnsi="SimHei" w:eastAsia="SimHei" w:cs="SimHei"/>
          <w:sz w:val="23"/>
          <w:szCs w:val="23"/>
        </w:rPr>
      </w:pPr>
      <w:r>
        <w:rPr>
          <w:rFonts w:ascii="SimHei" w:hAnsi="SimHei" w:eastAsia="SimHei" w:cs="SimHei"/>
          <w:sz w:val="23"/>
          <w:szCs w:val="23"/>
          <w:spacing w:val="-8"/>
          <w:position w:val="30"/>
        </w:rPr>
        <w:t>深圳证券交易所</w:t>
      </w:r>
    </w:p>
    <w:p>
      <w:pPr>
        <w:spacing w:line="223" w:lineRule="auto"/>
        <w:jc w:val="right"/>
        <w:rPr>
          <w:rFonts w:ascii="SimHei" w:hAnsi="SimHei" w:eastAsia="SimHei" w:cs="SimHei"/>
          <w:sz w:val="23"/>
          <w:szCs w:val="23"/>
        </w:rPr>
      </w:pPr>
      <w:r>
        <w:rPr>
          <w:rFonts w:ascii="SimHei" w:hAnsi="SimHei" w:eastAsia="SimHei" w:cs="SimHei"/>
          <w:sz w:val="23"/>
          <w:szCs w:val="23"/>
          <w:spacing w:val="6"/>
        </w:rPr>
        <w:t>2023年12月26日</w:t>
      </w:r>
    </w:p>
    <w:p>
      <w:pPr>
        <w:ind w:firstLine="4309"/>
        <w:spacing w:before="182" w:line="2810" w:lineRule="exact"/>
        <w:rPr/>
      </w:pPr>
      <w:r>
        <w:rPr>
          <w:position w:val="-56"/>
        </w:rPr>
        <w:drawing>
          <wp:inline distT="0" distB="0" distL="0" distR="0">
            <wp:extent cx="1803437" cy="1784407"/>
            <wp:effectExtent l="0" t="0" r="0" b="0"/>
            <wp:docPr id="28" name="IM 28"/>
            <wp:cNvGraphicFramePr/>
            <a:graphic>
              <a:graphicData uri="http://schemas.openxmlformats.org/drawingml/2006/picture">
                <pic:pic>
                  <pic:nvPicPr>
                    <pic:cNvPr id="28" name="IM 28"/>
                    <pic:cNvPicPr/>
                  </pic:nvPicPr>
                  <pic:blipFill>
                    <a:blip r:embed="rId16"/>
                    <a:stretch>
                      <a:fillRect/>
                    </a:stretch>
                  </pic:blipFill>
                  <pic:spPr>
                    <a:xfrm rot="0">
                      <a:off x="0" y="0"/>
                      <a:ext cx="1803437" cy="1784407"/>
                    </a:xfrm>
                    <a:prstGeom prst="rect">
                      <a:avLst/>
                    </a:prstGeom>
                  </pic:spPr>
                </pic:pic>
              </a:graphicData>
            </a:graphic>
          </wp:inline>
        </w:drawing>
      </w:r>
    </w:p>
    <w:p>
      <w:pPr>
        <w:pStyle w:val="BodyText"/>
        <w:spacing w:line="257" w:lineRule="auto"/>
        <w:rPr/>
      </w:pPr>
      <w:r/>
    </w:p>
    <w:p>
      <w:pPr>
        <w:ind w:left="983"/>
        <w:spacing w:before="76" w:line="221" w:lineRule="auto"/>
        <w:rPr>
          <w:rFonts w:ascii="SimHei" w:hAnsi="SimHei" w:eastAsia="SimHei" w:cs="SimHei"/>
          <w:sz w:val="23"/>
          <w:szCs w:val="23"/>
        </w:rPr>
      </w:pPr>
      <w:r>
        <w:rPr>
          <w:rFonts w:ascii="SimHei" w:hAnsi="SimHei" w:eastAsia="SimHei" w:cs="SimHei"/>
          <w:sz w:val="23"/>
          <w:szCs w:val="23"/>
          <w:b/>
          <w:bCs/>
          <w:spacing w:val="21"/>
        </w:rPr>
        <w:t>深圳证券交易所债券交易业务指南第4号——</w:t>
      </w:r>
      <w:r>
        <w:rPr>
          <w:rFonts w:ascii="SimHei" w:hAnsi="SimHei" w:eastAsia="SimHei" w:cs="SimHei"/>
          <w:sz w:val="23"/>
          <w:szCs w:val="23"/>
          <w:spacing w:val="-63"/>
        </w:rPr>
        <w:t xml:space="preserve"> </w:t>
      </w:r>
      <w:r>
        <w:rPr>
          <w:rFonts w:ascii="SimHei" w:hAnsi="SimHei" w:eastAsia="SimHei" w:cs="SimHei"/>
          <w:sz w:val="23"/>
          <w:szCs w:val="23"/>
          <w:b/>
          <w:bCs/>
          <w:spacing w:val="21"/>
        </w:rPr>
        <w:t>债券交易及配套安排(2023年12月修订)</w:t>
      </w:r>
    </w:p>
    <w:p>
      <w:pPr>
        <w:spacing w:line="221" w:lineRule="auto"/>
        <w:sectPr>
          <w:pgSz w:w="11910" w:h="16840"/>
          <w:pgMar w:top="400" w:right="453" w:bottom="0" w:left="429" w:header="0" w:footer="0" w:gutter="0"/>
        </w:sectPr>
        <w:rPr>
          <w:rFonts w:ascii="SimHei" w:hAnsi="SimHei" w:eastAsia="SimHei" w:cs="SimHei"/>
          <w:sz w:val="23"/>
          <w:szCs w:val="23"/>
        </w:rPr>
      </w:pPr>
    </w:p>
    <w:p>
      <w:pPr>
        <w:ind w:left="543"/>
        <w:spacing w:before="114" w:line="221" w:lineRule="auto"/>
        <w:outlineLvl w:val="0"/>
        <w:rPr>
          <w:rFonts w:ascii="SimHei" w:hAnsi="SimHei" w:eastAsia="SimHei" w:cs="SimHei"/>
          <w:sz w:val="23"/>
          <w:szCs w:val="23"/>
        </w:rPr>
      </w:pPr>
      <w:r>
        <w:rPr>
          <w:rFonts w:ascii="SimHei" w:hAnsi="SimHei" w:eastAsia="SimHei" w:cs="SimHei"/>
          <w:sz w:val="23"/>
          <w:szCs w:val="23"/>
          <w:b/>
          <w:bCs/>
          <w:spacing w:val="12"/>
        </w:rPr>
        <w:t>13、</w:t>
      </w:r>
      <w:r>
        <w:rPr>
          <w:rFonts w:ascii="SimHei" w:hAnsi="SimHei" w:eastAsia="SimHei" w:cs="SimHei"/>
          <w:sz w:val="23"/>
          <w:szCs w:val="23"/>
          <w:spacing w:val="12"/>
        </w:rPr>
        <w:t xml:space="preserve"> </w:t>
      </w:r>
      <w:r>
        <w:rPr>
          <w:rFonts w:ascii="SimHei" w:hAnsi="SimHei" w:eastAsia="SimHei" w:cs="SimHei"/>
          <w:sz w:val="23"/>
          <w:szCs w:val="23"/>
          <w:b/>
          <w:bCs/>
          <w:spacing w:val="12"/>
        </w:rPr>
        <w:t>上海证券交易所证券交易业务指南第4号——证券代码段分配</w:t>
      </w:r>
      <w:r>
        <w:rPr>
          <w:rFonts w:ascii="SimHei" w:hAnsi="SimHei" w:eastAsia="SimHei" w:cs="SimHei"/>
          <w:sz w:val="23"/>
          <w:szCs w:val="23"/>
          <w:b/>
          <w:bCs/>
          <w:spacing w:val="11"/>
        </w:rPr>
        <w:t>指南(2023年第8次修订)</w:t>
      </w:r>
    </w:p>
    <w:p>
      <w:pPr>
        <w:pStyle w:val="BodyText"/>
        <w:spacing w:line="261" w:lineRule="auto"/>
        <w:rPr/>
      </w:pPr>
      <w:r/>
    </w:p>
    <w:p>
      <w:pPr>
        <w:ind w:left="450"/>
        <w:spacing w:before="75" w:line="213" w:lineRule="auto"/>
        <w:rPr>
          <w:rFonts w:ascii="SimHei" w:hAnsi="SimHei" w:eastAsia="SimHei" w:cs="SimHei"/>
          <w:sz w:val="23"/>
          <w:szCs w:val="23"/>
        </w:rPr>
      </w:pPr>
      <w:r>
        <w:rPr>
          <w:rFonts w:ascii="SimHei" w:hAnsi="SimHei" w:eastAsia="SimHei" w:cs="SimHei"/>
          <w:sz w:val="23"/>
          <w:szCs w:val="23"/>
          <w:spacing w:val="-3"/>
        </w:rPr>
        <w:t>为满足市场发展需要，上海证券交易所(以下简称本所)决定为地方政府债券扩</w:t>
      </w:r>
      <w:r>
        <w:rPr>
          <w:rFonts w:ascii="SimHei" w:hAnsi="SimHei" w:eastAsia="SimHei" w:cs="SimHei"/>
          <w:sz w:val="23"/>
          <w:szCs w:val="23"/>
          <w:spacing w:val="-4"/>
        </w:rPr>
        <w:t>展分配并启用232000-</w:t>
      </w:r>
    </w:p>
    <w:p>
      <w:pPr>
        <w:spacing w:before="104" w:line="400" w:lineRule="exact"/>
        <w:jc w:val="right"/>
        <w:rPr>
          <w:rFonts w:ascii="SimHei" w:hAnsi="SimHei" w:eastAsia="SimHei" w:cs="SimHei"/>
          <w:sz w:val="23"/>
          <w:szCs w:val="23"/>
        </w:rPr>
      </w:pPr>
      <w:r>
        <w:rPr>
          <w:rFonts w:ascii="SimHei" w:hAnsi="SimHei" w:eastAsia="SimHei" w:cs="SimHei"/>
          <w:sz w:val="23"/>
          <w:szCs w:val="23"/>
          <w:spacing w:val="-3"/>
          <w:position w:val="12"/>
        </w:rPr>
        <w:t>233999代码段，为资产支持证券扩展分配并启用262000-263999代码段，并同步对《上海证券交易所证券交易业</w:t>
      </w:r>
    </w:p>
    <w:p>
      <w:pPr>
        <w:spacing w:before="1" w:line="220" w:lineRule="auto"/>
        <w:rPr>
          <w:rFonts w:ascii="SimHei" w:hAnsi="SimHei" w:eastAsia="SimHei" w:cs="SimHei"/>
          <w:sz w:val="23"/>
          <w:szCs w:val="23"/>
        </w:rPr>
      </w:pPr>
      <w:r>
        <w:rPr>
          <w:rFonts w:ascii="SimHei" w:hAnsi="SimHei" w:eastAsia="SimHei" w:cs="SimHei"/>
          <w:sz w:val="23"/>
          <w:szCs w:val="23"/>
          <w:spacing w:val="1"/>
        </w:rPr>
        <w:t>务指南第4号——证券代码段分配指南》进行修订(2023年第8次)。</w:t>
      </w:r>
    </w:p>
    <w:p>
      <w:pPr>
        <w:pStyle w:val="BodyText"/>
        <w:spacing w:line="248" w:lineRule="auto"/>
        <w:rPr/>
      </w:pPr>
      <w:r/>
    </w:p>
    <w:p>
      <w:pPr>
        <w:ind w:left="430"/>
        <w:spacing w:before="75" w:line="222" w:lineRule="auto"/>
        <w:rPr>
          <w:rFonts w:ascii="SimHei" w:hAnsi="SimHei" w:eastAsia="SimHei" w:cs="SimHei"/>
          <w:sz w:val="23"/>
          <w:szCs w:val="23"/>
        </w:rPr>
      </w:pPr>
      <w:r>
        <w:rPr>
          <w:rFonts w:ascii="SimHei" w:hAnsi="SimHei" w:eastAsia="SimHei" w:cs="SimHei"/>
          <w:sz w:val="23"/>
          <w:szCs w:val="23"/>
          <w:spacing w:val="-16"/>
        </w:rPr>
        <w:t>特此通知。</w:t>
      </w:r>
    </w:p>
    <w:p>
      <w:pPr>
        <w:pStyle w:val="BodyText"/>
        <w:spacing w:line="267" w:lineRule="auto"/>
        <w:rPr/>
      </w:pPr>
      <w:r/>
    </w:p>
    <w:p>
      <w:pPr>
        <w:spacing w:before="75" w:line="611" w:lineRule="exact"/>
        <w:jc w:val="right"/>
        <w:rPr>
          <w:rFonts w:ascii="SimHei" w:hAnsi="SimHei" w:eastAsia="SimHei" w:cs="SimHei"/>
          <w:sz w:val="23"/>
          <w:szCs w:val="23"/>
        </w:rPr>
      </w:pPr>
      <w:r>
        <w:rPr>
          <w:rFonts w:ascii="SimHei" w:hAnsi="SimHei" w:eastAsia="SimHei" w:cs="SimHei"/>
          <w:sz w:val="23"/>
          <w:szCs w:val="23"/>
          <w:spacing w:val="-11"/>
          <w:position w:val="29"/>
        </w:rPr>
        <w:t>上海证券交易所</w:t>
      </w:r>
    </w:p>
    <w:p>
      <w:pPr>
        <w:ind w:right="7"/>
        <w:spacing w:line="223" w:lineRule="auto"/>
        <w:jc w:val="right"/>
        <w:rPr>
          <w:rFonts w:ascii="SimHei" w:hAnsi="SimHei" w:eastAsia="SimHei" w:cs="SimHei"/>
          <w:sz w:val="23"/>
          <w:szCs w:val="23"/>
        </w:rPr>
      </w:pPr>
      <w:r>
        <w:rPr>
          <w:rFonts w:ascii="SimHei" w:hAnsi="SimHei" w:eastAsia="SimHei" w:cs="SimHei"/>
          <w:sz w:val="23"/>
          <w:szCs w:val="23"/>
          <w:spacing w:val="6"/>
        </w:rPr>
        <w:t>2023年12月28日</w:t>
      </w:r>
    </w:p>
    <w:p>
      <w:pPr>
        <w:ind w:firstLine="4299"/>
        <w:spacing w:before="173" w:line="2820" w:lineRule="exact"/>
        <w:rPr/>
      </w:pPr>
      <w:r>
        <w:rPr>
          <w:position w:val="-56"/>
        </w:rPr>
        <w:drawing>
          <wp:inline distT="0" distB="0" distL="0" distR="0">
            <wp:extent cx="1803437" cy="1790717"/>
            <wp:effectExtent l="0" t="0" r="0" b="0"/>
            <wp:docPr id="30" name="IM 30"/>
            <wp:cNvGraphicFramePr/>
            <a:graphic>
              <a:graphicData uri="http://schemas.openxmlformats.org/drawingml/2006/picture">
                <pic:pic>
                  <pic:nvPicPr>
                    <pic:cNvPr id="30" name="IM 30"/>
                    <pic:cNvPicPr/>
                  </pic:nvPicPr>
                  <pic:blipFill>
                    <a:blip r:embed="rId17"/>
                    <a:stretch>
                      <a:fillRect/>
                    </a:stretch>
                  </pic:blipFill>
                  <pic:spPr>
                    <a:xfrm rot="0">
                      <a:off x="0" y="0"/>
                      <a:ext cx="1803437" cy="1790717"/>
                    </a:xfrm>
                    <a:prstGeom prst="rect">
                      <a:avLst/>
                    </a:prstGeom>
                  </pic:spPr>
                </pic:pic>
              </a:graphicData>
            </a:graphic>
          </wp:inline>
        </w:drawing>
      </w:r>
    </w:p>
    <w:p>
      <w:pPr>
        <w:pStyle w:val="BodyText"/>
        <w:spacing w:line="257" w:lineRule="auto"/>
        <w:rPr/>
      </w:pPr>
      <w:r/>
    </w:p>
    <w:p>
      <w:pPr>
        <w:ind w:left="933"/>
        <w:spacing w:before="75" w:line="221" w:lineRule="auto"/>
        <w:rPr>
          <w:rFonts w:ascii="SimHei" w:hAnsi="SimHei" w:eastAsia="SimHei" w:cs="SimHei"/>
          <w:sz w:val="23"/>
          <w:szCs w:val="23"/>
        </w:rPr>
      </w:pPr>
      <w:r>
        <w:rPr>
          <w:rFonts w:ascii="SimHei" w:hAnsi="SimHei" w:eastAsia="SimHei" w:cs="SimHei"/>
          <w:sz w:val="23"/>
          <w:szCs w:val="23"/>
          <w:b/>
          <w:bCs/>
          <w:spacing w:val="21"/>
        </w:rPr>
        <w:t>上海证券交易所证券交易业务指南第4号——</w:t>
      </w:r>
      <w:r>
        <w:rPr>
          <w:rFonts w:ascii="SimHei" w:hAnsi="SimHei" w:eastAsia="SimHei" w:cs="SimHei"/>
          <w:sz w:val="23"/>
          <w:szCs w:val="23"/>
          <w:spacing w:val="-82"/>
        </w:rPr>
        <w:t xml:space="preserve"> </w:t>
      </w:r>
      <w:r>
        <w:rPr>
          <w:rFonts w:ascii="SimHei" w:hAnsi="SimHei" w:eastAsia="SimHei" w:cs="SimHei"/>
          <w:sz w:val="23"/>
          <w:szCs w:val="23"/>
          <w:b/>
          <w:bCs/>
          <w:spacing w:val="21"/>
        </w:rPr>
        <w:t>证券代码</w:t>
      </w:r>
      <w:r>
        <w:rPr>
          <w:rFonts w:ascii="SimHei" w:hAnsi="SimHei" w:eastAsia="SimHei" w:cs="SimHei"/>
          <w:sz w:val="23"/>
          <w:szCs w:val="23"/>
          <w:b/>
          <w:bCs/>
          <w:spacing w:val="20"/>
        </w:rPr>
        <w:t>段分配指南(2023年第8次修订)</w:t>
      </w:r>
    </w:p>
    <w:p>
      <w:pPr>
        <w:spacing w:line="221" w:lineRule="auto"/>
        <w:sectPr>
          <w:pgSz w:w="11910" w:h="16840"/>
          <w:pgMar w:top="400" w:right="465" w:bottom="0" w:left="439" w:header="0" w:footer="0" w:gutter="0"/>
        </w:sectPr>
        <w:rPr>
          <w:rFonts w:ascii="SimHei" w:hAnsi="SimHei" w:eastAsia="SimHei" w:cs="SimHei"/>
          <w:sz w:val="23"/>
          <w:szCs w:val="23"/>
        </w:rPr>
      </w:pPr>
    </w:p>
    <w:p>
      <w:pPr>
        <w:pStyle w:val="BodyText"/>
        <w:spacing w:line="284" w:lineRule="auto"/>
        <w:rPr/>
      </w:pPr>
      <w:r>
        <w:pict>
          <v:rect id="_x0000_s4" style="position:absolute;margin-left:19.0024pt;margin-top:92.9989pt;mso-position-vertical-relative:page;mso-position-horizontal-relative:page;width:576pt;height:1.05pt;z-index:251686912;" o:allowincell="f" fillcolor="#FF0000" filled="true" stroked="false"/>
        </w:pict>
      </w:r>
      <w:r>
        <w:drawing>
          <wp:anchor distT="0" distB="0" distL="0" distR="0" simplePos="0" relativeHeight="251685888" behindDoc="0" locked="0" layoutInCell="0" allowOverlap="1">
            <wp:simplePos x="0" y="0"/>
            <wp:positionH relativeFrom="page">
              <wp:posOffset>209566</wp:posOffset>
            </wp:positionH>
            <wp:positionV relativeFrom="page">
              <wp:posOffset>444524</wp:posOffset>
            </wp:positionV>
            <wp:extent cx="914348" cy="762011"/>
            <wp:effectExtent l="0" t="0" r="0" b="0"/>
            <wp:wrapNone/>
            <wp:docPr id="32" name="IM 32"/>
            <wp:cNvGraphicFramePr/>
            <a:graphic>
              <a:graphicData uri="http://schemas.openxmlformats.org/drawingml/2006/picture">
                <pic:pic>
                  <pic:nvPicPr>
                    <pic:cNvPr id="32" name="IM 32"/>
                    <pic:cNvPicPr/>
                  </pic:nvPicPr>
                  <pic:blipFill>
                    <a:blip r:embed="rId18"/>
                    <a:stretch>
                      <a:fillRect/>
                    </a:stretch>
                  </pic:blipFill>
                  <pic:spPr>
                    <a:xfrm rot="0">
                      <a:off x="0" y="0"/>
                      <a:ext cx="914348" cy="762011"/>
                    </a:xfrm>
                    <a:prstGeom prst="rect">
                      <a:avLst/>
                    </a:prstGeom>
                  </pic:spPr>
                </pic:pic>
              </a:graphicData>
            </a:graphic>
          </wp:anchor>
        </w:drawing>
      </w:r>
      <w:r/>
    </w:p>
    <w:p>
      <w:pPr>
        <w:pStyle w:val="BodyText"/>
        <w:spacing w:line="284" w:lineRule="auto"/>
        <w:rPr/>
      </w:pPr>
      <w:r/>
    </w:p>
    <w:p>
      <w:pPr>
        <w:ind w:left="1775"/>
        <w:spacing w:before="137" w:line="222" w:lineRule="auto"/>
        <w:rPr>
          <w:rFonts w:ascii="SimHei" w:hAnsi="SimHei" w:eastAsia="SimHei" w:cs="SimHei"/>
          <w:sz w:val="42"/>
          <w:szCs w:val="42"/>
        </w:rPr>
      </w:pPr>
      <w:r>
        <w:rPr>
          <w:rFonts w:ascii="SimHei" w:hAnsi="SimHei" w:eastAsia="SimHei" w:cs="SimHei"/>
          <w:sz w:val="42"/>
          <w:szCs w:val="42"/>
          <w:b/>
          <w:bCs/>
          <w:spacing w:val="7"/>
        </w:rPr>
        <w:t>监管动态</w:t>
      </w:r>
    </w:p>
    <w:p>
      <w:pPr>
        <w:pStyle w:val="BodyText"/>
        <w:spacing w:line="321" w:lineRule="auto"/>
        <w:rPr/>
      </w:pPr>
      <w:r/>
    </w:p>
    <w:p>
      <w:pPr>
        <w:pStyle w:val="BodyText"/>
        <w:spacing w:line="321" w:lineRule="auto"/>
        <w:rPr/>
      </w:pPr>
      <w:r/>
    </w:p>
    <w:p>
      <w:pPr>
        <w:ind w:firstLine="10"/>
        <w:spacing w:line="800" w:lineRule="exact"/>
        <w:rPr/>
      </w:pPr>
      <w:r>
        <w:rPr>
          <w:position w:val="-16"/>
        </w:rPr>
        <w:pict>
          <v:shape id="_x0000_s6" style="mso-position-vertical-relative:line;mso-position-horizontal-relative:char;width:187.5pt;height:40.05pt;" fillcolor="#B51C2C" filled="true" stroked="false" type="#_x0000_t202">
            <v:fill on="true"/>
            <v:stroke on="false"/>
            <v:path/>
            <v:imagedata o:title=""/>
            <o:lock v:ext="edit" aspectratio="false"/>
            <v:textbox inset="0mm,0mm,0mm,0mm">
              <w:txbxContent>
                <w:p>
                  <w:pPr>
                    <w:ind w:left="429"/>
                    <w:spacing w:before="258" w:line="221" w:lineRule="auto"/>
                    <w:rPr>
                      <w:rFonts w:ascii="SimHei" w:hAnsi="SimHei" w:eastAsia="SimHei" w:cs="SimHei"/>
                      <w:sz w:val="27"/>
                      <w:szCs w:val="27"/>
                    </w:rPr>
                  </w:pPr>
                  <w:r>
                    <w:rPr>
                      <w:rFonts w:ascii="SimHei" w:hAnsi="SimHei" w:eastAsia="SimHei" w:cs="SimHei"/>
                      <w:sz w:val="27"/>
                      <w:szCs w:val="27"/>
                      <w:color w:val="FFFFFF"/>
                      <w:spacing w:val="9"/>
                    </w:rPr>
                    <w:t>市场监管概览</w:t>
                  </w:r>
                </w:p>
              </w:txbxContent>
            </v:textbox>
          </v:shape>
        </w:pict>
      </w:r>
    </w:p>
    <w:p>
      <w:pPr>
        <w:pStyle w:val="BodyText"/>
        <w:spacing w:line="390" w:lineRule="auto"/>
        <w:rPr/>
      </w:pPr>
      <w:r/>
    </w:p>
    <w:p>
      <w:pPr>
        <w:ind w:left="570"/>
        <w:spacing w:before="55" w:line="420" w:lineRule="exact"/>
        <w:rPr>
          <w:rFonts w:ascii="SimHei" w:hAnsi="SimHei" w:eastAsia="SimHei" w:cs="SimHei"/>
          <w:sz w:val="17"/>
          <w:szCs w:val="17"/>
        </w:rPr>
      </w:pPr>
      <w:r>
        <w:rPr>
          <w:rFonts w:ascii="SimHei" w:hAnsi="SimHei" w:eastAsia="SimHei" w:cs="SimHei"/>
          <w:sz w:val="17"/>
          <w:szCs w:val="17"/>
          <w:spacing w:val="-9"/>
          <w:position w:val="19"/>
        </w:rPr>
        <w:t>2</w:t>
      </w:r>
      <w:r>
        <w:rPr>
          <w:rFonts w:ascii="SimHei" w:hAnsi="SimHei" w:eastAsia="SimHei" w:cs="SimHei"/>
          <w:sz w:val="17"/>
          <w:szCs w:val="17"/>
          <w:spacing w:val="-30"/>
          <w:position w:val="19"/>
        </w:rPr>
        <w:t xml:space="preserve"> </w:t>
      </w:r>
      <w:r>
        <w:rPr>
          <w:rFonts w:ascii="SimHei" w:hAnsi="SimHei" w:eastAsia="SimHei" w:cs="SimHei"/>
          <w:sz w:val="17"/>
          <w:szCs w:val="17"/>
          <w:spacing w:val="-9"/>
          <w:position w:val="19"/>
        </w:rPr>
        <w:t>0</w:t>
      </w:r>
      <w:r>
        <w:rPr>
          <w:rFonts w:ascii="SimHei" w:hAnsi="SimHei" w:eastAsia="SimHei" w:cs="SimHei"/>
          <w:sz w:val="17"/>
          <w:szCs w:val="17"/>
          <w:spacing w:val="-31"/>
          <w:position w:val="19"/>
        </w:rPr>
        <w:t xml:space="preserve"> </w:t>
      </w:r>
      <w:r>
        <w:rPr>
          <w:rFonts w:ascii="SimHei" w:hAnsi="SimHei" w:eastAsia="SimHei" w:cs="SimHei"/>
          <w:sz w:val="17"/>
          <w:szCs w:val="17"/>
          <w:spacing w:val="-9"/>
          <w:position w:val="19"/>
        </w:rPr>
        <w:t>2</w:t>
      </w:r>
      <w:r>
        <w:rPr>
          <w:rFonts w:ascii="SimHei" w:hAnsi="SimHei" w:eastAsia="SimHei" w:cs="SimHei"/>
          <w:sz w:val="17"/>
          <w:szCs w:val="17"/>
          <w:spacing w:val="-28"/>
          <w:position w:val="19"/>
        </w:rPr>
        <w:t xml:space="preserve"> </w:t>
      </w:r>
      <w:r>
        <w:rPr>
          <w:rFonts w:ascii="SimHei" w:hAnsi="SimHei" w:eastAsia="SimHei" w:cs="SimHei"/>
          <w:sz w:val="17"/>
          <w:szCs w:val="17"/>
          <w:spacing w:val="-9"/>
          <w:position w:val="19"/>
        </w:rPr>
        <w:t>3</w:t>
      </w:r>
      <w:r>
        <w:rPr>
          <w:rFonts w:ascii="SimHei" w:hAnsi="SimHei" w:eastAsia="SimHei" w:cs="SimHei"/>
          <w:sz w:val="17"/>
          <w:szCs w:val="17"/>
          <w:spacing w:val="-29"/>
          <w:position w:val="19"/>
        </w:rPr>
        <w:t xml:space="preserve"> </w:t>
      </w:r>
      <w:r>
        <w:rPr>
          <w:rFonts w:ascii="SimHei" w:hAnsi="SimHei" w:eastAsia="SimHei" w:cs="SimHei"/>
          <w:sz w:val="17"/>
          <w:szCs w:val="17"/>
          <w:spacing w:val="-9"/>
          <w:position w:val="19"/>
        </w:rPr>
        <w:t>年</w:t>
      </w:r>
      <w:r>
        <w:rPr>
          <w:rFonts w:ascii="SimHei" w:hAnsi="SimHei" w:eastAsia="SimHei" w:cs="SimHei"/>
          <w:sz w:val="17"/>
          <w:szCs w:val="17"/>
          <w:spacing w:val="-20"/>
          <w:position w:val="19"/>
        </w:rPr>
        <w:t xml:space="preserve"> </w:t>
      </w:r>
      <w:r>
        <w:rPr>
          <w:rFonts w:ascii="SimHei" w:hAnsi="SimHei" w:eastAsia="SimHei" w:cs="SimHei"/>
          <w:sz w:val="17"/>
          <w:szCs w:val="17"/>
          <w:spacing w:val="-9"/>
          <w:position w:val="19"/>
        </w:rPr>
        <w:t>1</w:t>
      </w:r>
      <w:r>
        <w:rPr>
          <w:rFonts w:ascii="SimHei" w:hAnsi="SimHei" w:eastAsia="SimHei" w:cs="SimHei"/>
          <w:sz w:val="17"/>
          <w:szCs w:val="17"/>
          <w:spacing w:val="-30"/>
          <w:position w:val="19"/>
        </w:rPr>
        <w:t xml:space="preserve"> </w:t>
      </w:r>
      <w:r>
        <w:rPr>
          <w:rFonts w:ascii="SimHei" w:hAnsi="SimHei" w:eastAsia="SimHei" w:cs="SimHei"/>
          <w:sz w:val="17"/>
          <w:szCs w:val="17"/>
          <w:spacing w:val="-9"/>
          <w:position w:val="19"/>
        </w:rPr>
        <w:t>2</w:t>
      </w:r>
      <w:r>
        <w:rPr>
          <w:rFonts w:ascii="SimHei" w:hAnsi="SimHei" w:eastAsia="SimHei" w:cs="SimHei"/>
          <w:sz w:val="17"/>
          <w:szCs w:val="17"/>
          <w:spacing w:val="-25"/>
          <w:position w:val="19"/>
        </w:rPr>
        <w:t xml:space="preserve"> </w:t>
      </w:r>
      <w:r>
        <w:rPr>
          <w:rFonts w:ascii="SimHei" w:hAnsi="SimHei" w:eastAsia="SimHei" w:cs="SimHei"/>
          <w:sz w:val="17"/>
          <w:szCs w:val="17"/>
          <w:spacing w:val="-9"/>
          <w:position w:val="19"/>
        </w:rPr>
        <w:t>月</w:t>
      </w:r>
      <w:r>
        <w:rPr>
          <w:rFonts w:ascii="SimHei" w:hAnsi="SimHei" w:eastAsia="SimHei" w:cs="SimHei"/>
          <w:sz w:val="17"/>
          <w:szCs w:val="17"/>
          <w:spacing w:val="-30"/>
          <w:position w:val="19"/>
        </w:rPr>
        <w:t xml:space="preserve"> </w:t>
      </w:r>
      <w:r>
        <w:rPr>
          <w:rFonts w:ascii="SimHei" w:hAnsi="SimHei" w:eastAsia="SimHei" w:cs="SimHei"/>
          <w:sz w:val="17"/>
          <w:szCs w:val="17"/>
          <w:spacing w:val="-9"/>
          <w:position w:val="19"/>
        </w:rPr>
        <w:t>2</w:t>
      </w:r>
      <w:r>
        <w:rPr>
          <w:rFonts w:ascii="SimHei" w:hAnsi="SimHei" w:eastAsia="SimHei" w:cs="SimHei"/>
          <w:sz w:val="17"/>
          <w:szCs w:val="17"/>
          <w:spacing w:val="-33"/>
          <w:position w:val="19"/>
        </w:rPr>
        <w:t xml:space="preserve"> </w:t>
      </w:r>
      <w:r>
        <w:rPr>
          <w:rFonts w:ascii="SimHei" w:hAnsi="SimHei" w:eastAsia="SimHei" w:cs="SimHei"/>
          <w:sz w:val="17"/>
          <w:szCs w:val="17"/>
          <w:spacing w:val="-9"/>
          <w:position w:val="19"/>
        </w:rPr>
        <w:t>5</w:t>
      </w:r>
      <w:r>
        <w:rPr>
          <w:rFonts w:ascii="SimHei" w:hAnsi="SimHei" w:eastAsia="SimHei" w:cs="SimHei"/>
          <w:sz w:val="17"/>
          <w:szCs w:val="17"/>
          <w:spacing w:val="-9"/>
          <w:position w:val="19"/>
        </w:rPr>
        <w:t xml:space="preserve"> </w:t>
      </w:r>
      <w:r>
        <w:rPr>
          <w:rFonts w:ascii="SimHei" w:hAnsi="SimHei" w:eastAsia="SimHei" w:cs="SimHei"/>
          <w:sz w:val="17"/>
          <w:szCs w:val="17"/>
          <w:spacing w:val="-9"/>
          <w:position w:val="19"/>
        </w:rPr>
        <w:t>日</w:t>
      </w:r>
      <w:r>
        <w:rPr>
          <w:rFonts w:ascii="SimHei" w:hAnsi="SimHei" w:eastAsia="SimHei" w:cs="SimHei"/>
          <w:sz w:val="17"/>
          <w:szCs w:val="17"/>
          <w:spacing w:val="-32"/>
          <w:position w:val="19"/>
        </w:rPr>
        <w:t xml:space="preserve"> </w:t>
      </w:r>
      <w:r>
        <w:rPr>
          <w:rFonts w:ascii="SimHei" w:hAnsi="SimHei" w:eastAsia="SimHei" w:cs="SimHei"/>
          <w:sz w:val="17"/>
          <w:szCs w:val="17"/>
          <w:spacing w:val="-9"/>
          <w:position w:val="19"/>
        </w:rPr>
        <w:t>-</w:t>
      </w:r>
      <w:r>
        <w:rPr>
          <w:rFonts w:ascii="SimHei" w:hAnsi="SimHei" w:eastAsia="SimHei" w:cs="SimHei"/>
          <w:sz w:val="17"/>
          <w:szCs w:val="17"/>
          <w:spacing w:val="-20"/>
          <w:position w:val="19"/>
        </w:rPr>
        <w:t xml:space="preserve"> </w:t>
      </w:r>
      <w:r>
        <w:rPr>
          <w:rFonts w:ascii="SimHei" w:hAnsi="SimHei" w:eastAsia="SimHei" w:cs="SimHei"/>
          <w:sz w:val="17"/>
          <w:szCs w:val="17"/>
          <w:spacing w:val="-9"/>
          <w:position w:val="19"/>
        </w:rPr>
        <w:t>1</w:t>
      </w:r>
      <w:r>
        <w:rPr>
          <w:rFonts w:ascii="SimHei" w:hAnsi="SimHei" w:eastAsia="SimHei" w:cs="SimHei"/>
          <w:sz w:val="17"/>
          <w:szCs w:val="17"/>
          <w:spacing w:val="-30"/>
          <w:position w:val="19"/>
        </w:rPr>
        <w:t xml:space="preserve"> </w:t>
      </w:r>
      <w:r>
        <w:rPr>
          <w:rFonts w:ascii="SimHei" w:hAnsi="SimHei" w:eastAsia="SimHei" w:cs="SimHei"/>
          <w:sz w:val="17"/>
          <w:szCs w:val="17"/>
          <w:spacing w:val="-9"/>
          <w:position w:val="19"/>
        </w:rPr>
        <w:t>2</w:t>
      </w:r>
      <w:r>
        <w:rPr>
          <w:rFonts w:ascii="SimHei" w:hAnsi="SimHei" w:eastAsia="SimHei" w:cs="SimHei"/>
          <w:sz w:val="17"/>
          <w:szCs w:val="17"/>
          <w:spacing w:val="-25"/>
          <w:position w:val="19"/>
        </w:rPr>
        <w:t xml:space="preserve"> </w:t>
      </w:r>
      <w:r>
        <w:rPr>
          <w:rFonts w:ascii="SimHei" w:hAnsi="SimHei" w:eastAsia="SimHei" w:cs="SimHei"/>
          <w:sz w:val="17"/>
          <w:szCs w:val="17"/>
          <w:spacing w:val="-9"/>
          <w:position w:val="19"/>
        </w:rPr>
        <w:t>月</w:t>
      </w:r>
      <w:r>
        <w:rPr>
          <w:rFonts w:ascii="SimHei" w:hAnsi="SimHei" w:eastAsia="SimHei" w:cs="SimHei"/>
          <w:sz w:val="17"/>
          <w:szCs w:val="17"/>
          <w:spacing w:val="-29"/>
          <w:position w:val="19"/>
        </w:rPr>
        <w:t xml:space="preserve"> </w:t>
      </w:r>
      <w:r>
        <w:rPr>
          <w:rFonts w:ascii="SimHei" w:hAnsi="SimHei" w:eastAsia="SimHei" w:cs="SimHei"/>
          <w:sz w:val="17"/>
          <w:szCs w:val="17"/>
          <w:spacing w:val="-9"/>
          <w:position w:val="19"/>
        </w:rPr>
        <w:t>3</w:t>
      </w:r>
      <w:r>
        <w:rPr>
          <w:rFonts w:ascii="SimHei" w:hAnsi="SimHei" w:eastAsia="SimHei" w:cs="SimHei"/>
          <w:sz w:val="17"/>
          <w:szCs w:val="17"/>
          <w:spacing w:val="-20"/>
          <w:position w:val="19"/>
        </w:rPr>
        <w:t xml:space="preserve"> </w:t>
      </w:r>
      <w:r>
        <w:rPr>
          <w:rFonts w:ascii="SimHei" w:hAnsi="SimHei" w:eastAsia="SimHei" w:cs="SimHei"/>
          <w:sz w:val="17"/>
          <w:szCs w:val="17"/>
          <w:spacing w:val="-9"/>
          <w:position w:val="19"/>
        </w:rPr>
        <w:t>1</w:t>
      </w:r>
      <w:r>
        <w:rPr>
          <w:rFonts w:ascii="SimHei" w:hAnsi="SimHei" w:eastAsia="SimHei" w:cs="SimHei"/>
          <w:sz w:val="17"/>
          <w:szCs w:val="17"/>
          <w:spacing w:val="-9"/>
          <w:position w:val="19"/>
        </w:rPr>
        <w:t xml:space="preserve"> </w:t>
      </w:r>
      <w:r>
        <w:rPr>
          <w:rFonts w:ascii="SimHei" w:hAnsi="SimHei" w:eastAsia="SimHei" w:cs="SimHei"/>
          <w:sz w:val="17"/>
          <w:szCs w:val="17"/>
          <w:spacing w:val="-9"/>
          <w:position w:val="19"/>
        </w:rPr>
        <w:t>日</w:t>
      </w:r>
      <w:r>
        <w:rPr>
          <w:rFonts w:ascii="SimHei" w:hAnsi="SimHei" w:eastAsia="SimHei" w:cs="SimHei"/>
          <w:sz w:val="17"/>
          <w:szCs w:val="17"/>
          <w:spacing w:val="-9"/>
          <w:position w:val="19"/>
        </w:rPr>
        <w:t xml:space="preserve"> </w:t>
      </w:r>
      <w:r>
        <w:rPr>
          <w:rFonts w:ascii="SimHei" w:hAnsi="SimHei" w:eastAsia="SimHei" w:cs="SimHei"/>
          <w:sz w:val="17"/>
          <w:szCs w:val="17"/>
          <w:spacing w:val="-9"/>
          <w:position w:val="19"/>
        </w:rPr>
        <w:t>，</w:t>
      </w:r>
      <w:r>
        <w:rPr>
          <w:rFonts w:ascii="SimHei" w:hAnsi="SimHei" w:eastAsia="SimHei" w:cs="SimHei"/>
          <w:sz w:val="17"/>
          <w:szCs w:val="17"/>
          <w:spacing w:val="-30"/>
          <w:position w:val="19"/>
        </w:rPr>
        <w:t xml:space="preserve"> </w:t>
      </w:r>
      <w:r>
        <w:rPr>
          <w:rFonts w:ascii="SimHei" w:hAnsi="SimHei" w:eastAsia="SimHei" w:cs="SimHei"/>
          <w:sz w:val="17"/>
          <w:szCs w:val="17"/>
          <w:spacing w:val="-9"/>
          <w:position w:val="19"/>
        </w:rPr>
        <w:t>证</w:t>
      </w:r>
      <w:r>
        <w:rPr>
          <w:rFonts w:ascii="SimHei" w:hAnsi="SimHei" w:eastAsia="SimHei" w:cs="SimHei"/>
          <w:sz w:val="17"/>
          <w:szCs w:val="17"/>
          <w:spacing w:val="-29"/>
          <w:position w:val="19"/>
        </w:rPr>
        <w:t xml:space="preserve"> </w:t>
      </w:r>
      <w:r>
        <w:rPr>
          <w:rFonts w:ascii="SimHei" w:hAnsi="SimHei" w:eastAsia="SimHei" w:cs="SimHei"/>
          <w:sz w:val="17"/>
          <w:szCs w:val="17"/>
          <w:spacing w:val="-9"/>
          <w:position w:val="19"/>
        </w:rPr>
        <w:t>监</w:t>
      </w:r>
      <w:r>
        <w:rPr>
          <w:rFonts w:ascii="SimHei" w:hAnsi="SimHei" w:eastAsia="SimHei" w:cs="SimHei"/>
          <w:sz w:val="17"/>
          <w:szCs w:val="17"/>
          <w:spacing w:val="-30"/>
          <w:position w:val="19"/>
        </w:rPr>
        <w:t xml:space="preserve"> </w:t>
      </w:r>
      <w:r>
        <w:rPr>
          <w:rFonts w:ascii="SimHei" w:hAnsi="SimHei" w:eastAsia="SimHei" w:cs="SimHei"/>
          <w:sz w:val="17"/>
          <w:szCs w:val="17"/>
          <w:spacing w:val="-9"/>
          <w:position w:val="19"/>
        </w:rPr>
        <w:t>会</w:t>
      </w:r>
      <w:r>
        <w:rPr>
          <w:rFonts w:ascii="SimHei" w:hAnsi="SimHei" w:eastAsia="SimHei" w:cs="SimHei"/>
          <w:sz w:val="17"/>
          <w:szCs w:val="17"/>
          <w:spacing w:val="-31"/>
          <w:position w:val="19"/>
        </w:rPr>
        <w:t xml:space="preserve"> </w:t>
      </w:r>
      <w:r>
        <w:rPr>
          <w:rFonts w:ascii="SimHei" w:hAnsi="SimHei" w:eastAsia="SimHei" w:cs="SimHei"/>
          <w:sz w:val="17"/>
          <w:szCs w:val="17"/>
          <w:spacing w:val="-9"/>
          <w:position w:val="19"/>
        </w:rPr>
        <w:t>作</w:t>
      </w:r>
      <w:r>
        <w:rPr>
          <w:rFonts w:ascii="SimHei" w:hAnsi="SimHei" w:eastAsia="SimHei" w:cs="SimHei"/>
          <w:sz w:val="17"/>
          <w:szCs w:val="17"/>
          <w:spacing w:val="-9"/>
          <w:position w:val="19"/>
        </w:rPr>
        <w:t xml:space="preserve"> </w:t>
      </w:r>
      <w:r>
        <w:rPr>
          <w:rFonts w:ascii="SimHei" w:hAnsi="SimHei" w:eastAsia="SimHei" w:cs="SimHei"/>
          <w:sz w:val="17"/>
          <w:szCs w:val="17"/>
          <w:spacing w:val="-9"/>
          <w:position w:val="19"/>
        </w:rPr>
        <w:t>出</w:t>
      </w:r>
      <w:r>
        <w:rPr>
          <w:rFonts w:ascii="SimHei" w:hAnsi="SimHei" w:eastAsia="SimHei" w:cs="SimHei"/>
          <w:sz w:val="17"/>
          <w:szCs w:val="17"/>
          <w:spacing w:val="-20"/>
          <w:position w:val="19"/>
        </w:rPr>
        <w:t xml:space="preserve"> </w:t>
      </w:r>
      <w:r>
        <w:rPr>
          <w:rFonts w:ascii="SimHei" w:hAnsi="SimHei" w:eastAsia="SimHei" w:cs="SimHei"/>
          <w:sz w:val="17"/>
          <w:szCs w:val="17"/>
          <w:spacing w:val="-9"/>
          <w:position w:val="19"/>
        </w:rPr>
        <w:t>1</w:t>
      </w:r>
      <w:r>
        <w:rPr>
          <w:rFonts w:ascii="SimHei" w:hAnsi="SimHei" w:eastAsia="SimHei" w:cs="SimHei"/>
          <w:sz w:val="17"/>
          <w:szCs w:val="17"/>
          <w:spacing w:val="-30"/>
          <w:position w:val="19"/>
        </w:rPr>
        <w:t xml:space="preserve"> </w:t>
      </w:r>
      <w:r>
        <w:rPr>
          <w:rFonts w:ascii="SimHei" w:hAnsi="SimHei" w:eastAsia="SimHei" w:cs="SimHei"/>
          <w:sz w:val="17"/>
          <w:szCs w:val="17"/>
          <w:spacing w:val="-9"/>
          <w:position w:val="19"/>
        </w:rPr>
        <w:t>0</w:t>
      </w:r>
      <w:r>
        <w:rPr>
          <w:rFonts w:ascii="SimHei" w:hAnsi="SimHei" w:eastAsia="SimHei" w:cs="SimHei"/>
          <w:sz w:val="17"/>
          <w:szCs w:val="17"/>
          <w:spacing w:val="-30"/>
          <w:position w:val="19"/>
        </w:rPr>
        <w:t xml:space="preserve"> </w:t>
      </w:r>
      <w:r>
        <w:rPr>
          <w:rFonts w:ascii="SimHei" w:hAnsi="SimHei" w:eastAsia="SimHei" w:cs="SimHei"/>
          <w:sz w:val="17"/>
          <w:szCs w:val="17"/>
          <w:spacing w:val="-9"/>
          <w:position w:val="19"/>
        </w:rPr>
        <w:t>份</w:t>
      </w:r>
      <w:r>
        <w:rPr>
          <w:rFonts w:ascii="SimHei" w:hAnsi="SimHei" w:eastAsia="SimHei" w:cs="SimHei"/>
          <w:sz w:val="17"/>
          <w:szCs w:val="17"/>
          <w:spacing w:val="-29"/>
          <w:position w:val="19"/>
        </w:rPr>
        <w:t xml:space="preserve"> </w:t>
      </w:r>
      <w:r>
        <w:rPr>
          <w:rFonts w:ascii="SimHei" w:hAnsi="SimHei" w:eastAsia="SimHei" w:cs="SimHei"/>
          <w:sz w:val="17"/>
          <w:szCs w:val="17"/>
          <w:spacing w:val="-9"/>
          <w:position w:val="19"/>
        </w:rPr>
        <w:t>监</w:t>
      </w:r>
      <w:r>
        <w:rPr>
          <w:rFonts w:ascii="SimHei" w:hAnsi="SimHei" w:eastAsia="SimHei" w:cs="SimHei"/>
          <w:sz w:val="17"/>
          <w:szCs w:val="17"/>
          <w:spacing w:val="-28"/>
          <w:position w:val="19"/>
        </w:rPr>
        <w:t xml:space="preserve"> </w:t>
      </w:r>
      <w:r>
        <w:rPr>
          <w:rFonts w:ascii="SimHei" w:hAnsi="SimHei" w:eastAsia="SimHei" w:cs="SimHei"/>
          <w:sz w:val="17"/>
          <w:szCs w:val="17"/>
          <w:spacing w:val="-9"/>
          <w:position w:val="19"/>
        </w:rPr>
        <w:t>管</w:t>
      </w:r>
      <w:r>
        <w:rPr>
          <w:rFonts w:ascii="SimHei" w:hAnsi="SimHei" w:eastAsia="SimHei" w:cs="SimHei"/>
          <w:sz w:val="17"/>
          <w:szCs w:val="17"/>
          <w:spacing w:val="-27"/>
          <w:position w:val="19"/>
        </w:rPr>
        <w:t xml:space="preserve"> </w:t>
      </w:r>
      <w:r>
        <w:rPr>
          <w:rFonts w:ascii="SimHei" w:hAnsi="SimHei" w:eastAsia="SimHei" w:cs="SimHei"/>
          <w:sz w:val="17"/>
          <w:szCs w:val="17"/>
          <w:spacing w:val="-9"/>
          <w:position w:val="19"/>
        </w:rPr>
        <w:t>文</w:t>
      </w:r>
      <w:r>
        <w:rPr>
          <w:rFonts w:ascii="SimHei" w:hAnsi="SimHei" w:eastAsia="SimHei" w:cs="SimHei"/>
          <w:sz w:val="17"/>
          <w:szCs w:val="17"/>
          <w:spacing w:val="-23"/>
          <w:position w:val="19"/>
        </w:rPr>
        <w:t xml:space="preserve"> </w:t>
      </w:r>
      <w:r>
        <w:rPr>
          <w:rFonts w:ascii="SimHei" w:hAnsi="SimHei" w:eastAsia="SimHei" w:cs="SimHei"/>
          <w:sz w:val="17"/>
          <w:szCs w:val="17"/>
          <w:spacing w:val="-9"/>
          <w:position w:val="19"/>
        </w:rPr>
        <w:t>书</w:t>
      </w:r>
      <w:r>
        <w:rPr>
          <w:rFonts w:ascii="SimHei" w:hAnsi="SimHei" w:eastAsia="SimHei" w:cs="SimHei"/>
          <w:sz w:val="17"/>
          <w:szCs w:val="17"/>
          <w:spacing w:val="-36"/>
          <w:position w:val="19"/>
        </w:rPr>
        <w:t xml:space="preserve"> </w:t>
      </w:r>
      <w:r>
        <w:rPr>
          <w:rFonts w:ascii="SimHei" w:hAnsi="SimHei" w:eastAsia="SimHei" w:cs="SimHei"/>
          <w:sz w:val="17"/>
          <w:szCs w:val="17"/>
          <w:spacing w:val="-9"/>
          <w:position w:val="19"/>
        </w:rPr>
        <w:t>；</w:t>
      </w:r>
      <w:r>
        <w:rPr>
          <w:rFonts w:ascii="SimHei" w:hAnsi="SimHei" w:eastAsia="SimHei" w:cs="SimHei"/>
          <w:sz w:val="17"/>
          <w:szCs w:val="17"/>
          <w:spacing w:val="-29"/>
          <w:position w:val="19"/>
        </w:rPr>
        <w:t xml:space="preserve"> </w:t>
      </w:r>
      <w:r>
        <w:rPr>
          <w:rFonts w:ascii="SimHei" w:hAnsi="SimHei" w:eastAsia="SimHei" w:cs="SimHei"/>
          <w:sz w:val="17"/>
          <w:szCs w:val="17"/>
          <w:spacing w:val="-10"/>
          <w:position w:val="19"/>
        </w:rPr>
        <w:t>证</w:t>
      </w:r>
      <w:r>
        <w:rPr>
          <w:rFonts w:ascii="SimHei" w:hAnsi="SimHei" w:eastAsia="SimHei" w:cs="SimHei"/>
          <w:sz w:val="17"/>
          <w:szCs w:val="17"/>
          <w:spacing w:val="-30"/>
          <w:position w:val="19"/>
        </w:rPr>
        <w:t xml:space="preserve"> </w:t>
      </w:r>
      <w:r>
        <w:rPr>
          <w:rFonts w:ascii="SimHei" w:hAnsi="SimHei" w:eastAsia="SimHei" w:cs="SimHei"/>
          <w:sz w:val="17"/>
          <w:szCs w:val="17"/>
          <w:spacing w:val="-10"/>
          <w:position w:val="19"/>
        </w:rPr>
        <w:t>监</w:t>
      </w:r>
      <w:r>
        <w:rPr>
          <w:rFonts w:ascii="SimHei" w:hAnsi="SimHei" w:eastAsia="SimHei" w:cs="SimHei"/>
          <w:sz w:val="17"/>
          <w:szCs w:val="17"/>
          <w:spacing w:val="-29"/>
          <w:position w:val="19"/>
        </w:rPr>
        <w:t xml:space="preserve"> </w:t>
      </w:r>
      <w:r>
        <w:rPr>
          <w:rFonts w:ascii="SimHei" w:hAnsi="SimHei" w:eastAsia="SimHei" w:cs="SimHei"/>
          <w:sz w:val="17"/>
          <w:szCs w:val="17"/>
          <w:spacing w:val="-10"/>
          <w:position w:val="19"/>
        </w:rPr>
        <w:t>局</w:t>
      </w:r>
      <w:r>
        <w:rPr>
          <w:rFonts w:ascii="SimHei" w:hAnsi="SimHei" w:eastAsia="SimHei" w:cs="SimHei"/>
          <w:sz w:val="17"/>
          <w:szCs w:val="17"/>
          <w:spacing w:val="-30"/>
          <w:position w:val="19"/>
        </w:rPr>
        <w:t xml:space="preserve"> </w:t>
      </w:r>
      <w:r>
        <w:rPr>
          <w:rFonts w:ascii="SimHei" w:hAnsi="SimHei" w:eastAsia="SimHei" w:cs="SimHei"/>
          <w:sz w:val="17"/>
          <w:szCs w:val="17"/>
          <w:spacing w:val="-10"/>
          <w:position w:val="19"/>
        </w:rPr>
        <w:t>作</w:t>
      </w:r>
      <w:r>
        <w:rPr>
          <w:rFonts w:ascii="SimHei" w:hAnsi="SimHei" w:eastAsia="SimHei" w:cs="SimHei"/>
          <w:sz w:val="17"/>
          <w:szCs w:val="17"/>
          <w:spacing w:val="-10"/>
          <w:position w:val="19"/>
        </w:rPr>
        <w:t xml:space="preserve"> </w:t>
      </w:r>
      <w:r>
        <w:rPr>
          <w:rFonts w:ascii="SimHei" w:hAnsi="SimHei" w:eastAsia="SimHei" w:cs="SimHei"/>
          <w:sz w:val="17"/>
          <w:szCs w:val="17"/>
          <w:spacing w:val="-10"/>
          <w:position w:val="19"/>
        </w:rPr>
        <w:t>出</w:t>
      </w:r>
      <w:r>
        <w:rPr>
          <w:rFonts w:ascii="SimHei" w:hAnsi="SimHei" w:eastAsia="SimHei" w:cs="SimHei"/>
          <w:sz w:val="17"/>
          <w:szCs w:val="17"/>
          <w:spacing w:val="-20"/>
          <w:position w:val="19"/>
        </w:rPr>
        <w:t xml:space="preserve"> </w:t>
      </w:r>
      <w:r>
        <w:rPr>
          <w:rFonts w:ascii="SimHei" w:hAnsi="SimHei" w:eastAsia="SimHei" w:cs="SimHei"/>
          <w:sz w:val="17"/>
          <w:szCs w:val="17"/>
          <w:spacing w:val="-10"/>
          <w:position w:val="19"/>
        </w:rPr>
        <w:t>1</w:t>
      </w:r>
      <w:r>
        <w:rPr>
          <w:rFonts w:ascii="SimHei" w:hAnsi="SimHei" w:eastAsia="SimHei" w:cs="SimHei"/>
          <w:sz w:val="17"/>
          <w:szCs w:val="17"/>
          <w:spacing w:val="-33"/>
          <w:position w:val="19"/>
        </w:rPr>
        <w:t xml:space="preserve"> </w:t>
      </w:r>
      <w:r>
        <w:rPr>
          <w:rFonts w:ascii="SimHei" w:hAnsi="SimHei" w:eastAsia="SimHei" w:cs="SimHei"/>
          <w:sz w:val="17"/>
          <w:szCs w:val="17"/>
          <w:spacing w:val="-10"/>
          <w:position w:val="19"/>
        </w:rPr>
        <w:t>5</w:t>
      </w:r>
      <w:r>
        <w:rPr>
          <w:rFonts w:ascii="SimHei" w:hAnsi="SimHei" w:eastAsia="SimHei" w:cs="SimHei"/>
          <w:sz w:val="17"/>
          <w:szCs w:val="17"/>
          <w:spacing w:val="-33"/>
          <w:position w:val="19"/>
        </w:rPr>
        <w:t xml:space="preserve"> </w:t>
      </w:r>
      <w:r>
        <w:rPr>
          <w:rFonts w:ascii="SimHei" w:hAnsi="SimHei" w:eastAsia="SimHei" w:cs="SimHei"/>
          <w:sz w:val="17"/>
          <w:szCs w:val="17"/>
          <w:spacing w:val="-10"/>
          <w:position w:val="19"/>
        </w:rPr>
        <w:t>4</w:t>
      </w:r>
      <w:r>
        <w:rPr>
          <w:rFonts w:ascii="SimHei" w:hAnsi="SimHei" w:eastAsia="SimHei" w:cs="SimHei"/>
          <w:sz w:val="17"/>
          <w:szCs w:val="17"/>
          <w:spacing w:val="-30"/>
          <w:position w:val="19"/>
        </w:rPr>
        <w:t xml:space="preserve"> </w:t>
      </w:r>
      <w:r>
        <w:rPr>
          <w:rFonts w:ascii="SimHei" w:hAnsi="SimHei" w:eastAsia="SimHei" w:cs="SimHei"/>
          <w:sz w:val="17"/>
          <w:szCs w:val="17"/>
          <w:spacing w:val="-10"/>
          <w:position w:val="19"/>
        </w:rPr>
        <w:t>份</w:t>
      </w:r>
      <w:r>
        <w:rPr>
          <w:rFonts w:ascii="SimHei" w:hAnsi="SimHei" w:eastAsia="SimHei" w:cs="SimHei"/>
          <w:sz w:val="17"/>
          <w:szCs w:val="17"/>
          <w:spacing w:val="-29"/>
          <w:position w:val="19"/>
        </w:rPr>
        <w:t xml:space="preserve"> </w:t>
      </w:r>
      <w:r>
        <w:rPr>
          <w:rFonts w:ascii="SimHei" w:hAnsi="SimHei" w:eastAsia="SimHei" w:cs="SimHei"/>
          <w:sz w:val="17"/>
          <w:szCs w:val="17"/>
          <w:spacing w:val="-10"/>
          <w:position w:val="19"/>
        </w:rPr>
        <w:t>监</w:t>
      </w:r>
      <w:r>
        <w:rPr>
          <w:rFonts w:ascii="SimHei" w:hAnsi="SimHei" w:eastAsia="SimHei" w:cs="SimHei"/>
          <w:sz w:val="17"/>
          <w:szCs w:val="17"/>
          <w:spacing w:val="-28"/>
          <w:position w:val="19"/>
        </w:rPr>
        <w:t xml:space="preserve"> </w:t>
      </w:r>
      <w:r>
        <w:rPr>
          <w:rFonts w:ascii="SimHei" w:hAnsi="SimHei" w:eastAsia="SimHei" w:cs="SimHei"/>
          <w:sz w:val="17"/>
          <w:szCs w:val="17"/>
          <w:spacing w:val="-10"/>
          <w:position w:val="19"/>
        </w:rPr>
        <w:t>管</w:t>
      </w:r>
      <w:r>
        <w:rPr>
          <w:rFonts w:ascii="SimHei" w:hAnsi="SimHei" w:eastAsia="SimHei" w:cs="SimHei"/>
          <w:sz w:val="17"/>
          <w:szCs w:val="17"/>
          <w:spacing w:val="-27"/>
          <w:position w:val="19"/>
        </w:rPr>
        <w:t xml:space="preserve"> </w:t>
      </w:r>
      <w:r>
        <w:rPr>
          <w:rFonts w:ascii="SimHei" w:hAnsi="SimHei" w:eastAsia="SimHei" w:cs="SimHei"/>
          <w:sz w:val="17"/>
          <w:szCs w:val="17"/>
          <w:spacing w:val="-10"/>
          <w:position w:val="19"/>
        </w:rPr>
        <w:t>文</w:t>
      </w:r>
      <w:r>
        <w:rPr>
          <w:rFonts w:ascii="SimHei" w:hAnsi="SimHei" w:eastAsia="SimHei" w:cs="SimHei"/>
          <w:sz w:val="17"/>
          <w:szCs w:val="17"/>
          <w:spacing w:val="-23"/>
          <w:position w:val="19"/>
        </w:rPr>
        <w:t xml:space="preserve"> </w:t>
      </w:r>
      <w:r>
        <w:rPr>
          <w:rFonts w:ascii="SimHei" w:hAnsi="SimHei" w:eastAsia="SimHei" w:cs="SimHei"/>
          <w:sz w:val="17"/>
          <w:szCs w:val="17"/>
          <w:spacing w:val="-10"/>
          <w:position w:val="19"/>
        </w:rPr>
        <w:t>书</w:t>
      </w:r>
      <w:r>
        <w:rPr>
          <w:rFonts w:ascii="SimHei" w:hAnsi="SimHei" w:eastAsia="SimHei" w:cs="SimHei"/>
          <w:sz w:val="17"/>
          <w:szCs w:val="17"/>
          <w:spacing w:val="-36"/>
          <w:position w:val="19"/>
        </w:rPr>
        <w:t xml:space="preserve"> </w:t>
      </w:r>
      <w:r>
        <w:rPr>
          <w:rFonts w:ascii="SimHei" w:hAnsi="SimHei" w:eastAsia="SimHei" w:cs="SimHei"/>
          <w:sz w:val="17"/>
          <w:szCs w:val="17"/>
          <w:spacing w:val="-10"/>
          <w:position w:val="19"/>
        </w:rPr>
        <w:t>；</w:t>
      </w:r>
      <w:r>
        <w:rPr>
          <w:rFonts w:ascii="SimHei" w:hAnsi="SimHei" w:eastAsia="SimHei" w:cs="SimHei"/>
          <w:sz w:val="17"/>
          <w:szCs w:val="17"/>
          <w:spacing w:val="-26"/>
          <w:position w:val="19"/>
        </w:rPr>
        <w:t xml:space="preserve"> </w:t>
      </w:r>
      <w:r>
        <w:rPr>
          <w:rFonts w:ascii="SimHei" w:hAnsi="SimHei" w:eastAsia="SimHei" w:cs="SimHei"/>
          <w:sz w:val="17"/>
          <w:szCs w:val="17"/>
          <w:spacing w:val="-10"/>
          <w:position w:val="19"/>
        </w:rPr>
        <w:t>上</w:t>
      </w:r>
      <w:r>
        <w:rPr>
          <w:rFonts w:ascii="SimHei" w:hAnsi="SimHei" w:eastAsia="SimHei" w:cs="SimHei"/>
          <w:sz w:val="17"/>
          <w:szCs w:val="17"/>
          <w:spacing w:val="-25"/>
          <w:position w:val="19"/>
        </w:rPr>
        <w:t xml:space="preserve"> </w:t>
      </w:r>
      <w:r>
        <w:rPr>
          <w:rFonts w:ascii="SimHei" w:hAnsi="SimHei" w:eastAsia="SimHei" w:cs="SimHei"/>
          <w:sz w:val="17"/>
          <w:szCs w:val="17"/>
          <w:spacing w:val="-10"/>
          <w:position w:val="19"/>
        </w:rPr>
        <w:t>交</w:t>
      </w:r>
      <w:r>
        <w:rPr>
          <w:rFonts w:ascii="SimHei" w:hAnsi="SimHei" w:eastAsia="SimHei" w:cs="SimHei"/>
          <w:sz w:val="17"/>
          <w:szCs w:val="17"/>
          <w:spacing w:val="-27"/>
          <w:position w:val="19"/>
        </w:rPr>
        <w:t xml:space="preserve"> </w:t>
      </w:r>
      <w:r>
        <w:rPr>
          <w:rFonts w:ascii="SimHei" w:hAnsi="SimHei" w:eastAsia="SimHei" w:cs="SimHei"/>
          <w:sz w:val="17"/>
          <w:szCs w:val="17"/>
          <w:spacing w:val="-10"/>
          <w:position w:val="19"/>
        </w:rPr>
        <w:t>所</w:t>
      </w:r>
      <w:r>
        <w:rPr>
          <w:rFonts w:ascii="SimHei" w:hAnsi="SimHei" w:eastAsia="SimHei" w:cs="SimHei"/>
          <w:sz w:val="17"/>
          <w:szCs w:val="17"/>
          <w:spacing w:val="-30"/>
          <w:position w:val="19"/>
        </w:rPr>
        <w:t xml:space="preserve"> </w:t>
      </w:r>
      <w:r>
        <w:rPr>
          <w:rFonts w:ascii="SimHei" w:hAnsi="SimHei" w:eastAsia="SimHei" w:cs="SimHei"/>
          <w:sz w:val="17"/>
          <w:szCs w:val="17"/>
          <w:spacing w:val="-10"/>
          <w:position w:val="19"/>
        </w:rPr>
        <w:t>作</w:t>
      </w:r>
      <w:r>
        <w:rPr>
          <w:rFonts w:ascii="SimHei" w:hAnsi="SimHei" w:eastAsia="SimHei" w:cs="SimHei"/>
          <w:sz w:val="17"/>
          <w:szCs w:val="17"/>
          <w:spacing w:val="-10"/>
          <w:position w:val="19"/>
        </w:rPr>
        <w:t xml:space="preserve"> </w:t>
      </w:r>
      <w:r>
        <w:rPr>
          <w:rFonts w:ascii="SimHei" w:hAnsi="SimHei" w:eastAsia="SimHei" w:cs="SimHei"/>
          <w:sz w:val="17"/>
          <w:szCs w:val="17"/>
          <w:spacing w:val="-10"/>
          <w:position w:val="19"/>
        </w:rPr>
        <w:t>出</w:t>
      </w:r>
      <w:r>
        <w:rPr>
          <w:rFonts w:ascii="SimHei" w:hAnsi="SimHei" w:eastAsia="SimHei" w:cs="SimHei"/>
          <w:sz w:val="17"/>
          <w:szCs w:val="17"/>
          <w:spacing w:val="-20"/>
          <w:position w:val="19"/>
        </w:rPr>
        <w:t xml:space="preserve"> </w:t>
      </w:r>
      <w:r>
        <w:rPr>
          <w:rFonts w:ascii="SimHei" w:hAnsi="SimHei" w:eastAsia="SimHei" w:cs="SimHei"/>
          <w:sz w:val="17"/>
          <w:szCs w:val="17"/>
          <w:spacing w:val="-10"/>
          <w:position w:val="19"/>
        </w:rPr>
        <w:t>1</w:t>
      </w:r>
      <w:r>
        <w:rPr>
          <w:rFonts w:ascii="SimHei" w:hAnsi="SimHei" w:eastAsia="SimHei" w:cs="SimHei"/>
          <w:sz w:val="17"/>
          <w:szCs w:val="17"/>
          <w:spacing w:val="-21"/>
          <w:position w:val="19"/>
        </w:rPr>
        <w:t xml:space="preserve"> </w:t>
      </w:r>
      <w:r>
        <w:rPr>
          <w:rFonts w:ascii="SimHei" w:hAnsi="SimHei" w:eastAsia="SimHei" w:cs="SimHei"/>
          <w:sz w:val="17"/>
          <w:szCs w:val="17"/>
          <w:spacing w:val="-10"/>
          <w:position w:val="19"/>
        </w:rPr>
        <w:t>1</w:t>
      </w:r>
      <w:r>
        <w:rPr>
          <w:rFonts w:ascii="SimHei" w:hAnsi="SimHei" w:eastAsia="SimHei" w:cs="SimHei"/>
          <w:sz w:val="17"/>
          <w:szCs w:val="17"/>
          <w:spacing w:val="-29"/>
          <w:position w:val="19"/>
        </w:rPr>
        <w:t xml:space="preserve"> </w:t>
      </w:r>
      <w:r>
        <w:rPr>
          <w:rFonts w:ascii="SimHei" w:hAnsi="SimHei" w:eastAsia="SimHei" w:cs="SimHei"/>
          <w:sz w:val="17"/>
          <w:szCs w:val="17"/>
          <w:spacing w:val="-10"/>
          <w:position w:val="19"/>
        </w:rPr>
        <w:t>份</w:t>
      </w:r>
      <w:r>
        <w:rPr>
          <w:rFonts w:ascii="SimHei" w:hAnsi="SimHei" w:eastAsia="SimHei" w:cs="SimHei"/>
          <w:sz w:val="17"/>
          <w:szCs w:val="17"/>
          <w:spacing w:val="-30"/>
          <w:position w:val="19"/>
        </w:rPr>
        <w:t xml:space="preserve"> </w:t>
      </w:r>
      <w:r>
        <w:rPr>
          <w:rFonts w:ascii="SimHei" w:hAnsi="SimHei" w:eastAsia="SimHei" w:cs="SimHei"/>
          <w:sz w:val="17"/>
          <w:szCs w:val="17"/>
          <w:spacing w:val="-10"/>
          <w:position w:val="19"/>
        </w:rPr>
        <w:t>监</w:t>
      </w:r>
      <w:r>
        <w:rPr>
          <w:rFonts w:ascii="SimHei" w:hAnsi="SimHei" w:eastAsia="SimHei" w:cs="SimHei"/>
          <w:sz w:val="17"/>
          <w:szCs w:val="17"/>
          <w:spacing w:val="-27"/>
          <w:position w:val="19"/>
        </w:rPr>
        <w:t xml:space="preserve"> </w:t>
      </w:r>
      <w:r>
        <w:rPr>
          <w:rFonts w:ascii="SimHei" w:hAnsi="SimHei" w:eastAsia="SimHei" w:cs="SimHei"/>
          <w:sz w:val="17"/>
          <w:szCs w:val="17"/>
          <w:spacing w:val="-10"/>
          <w:position w:val="19"/>
        </w:rPr>
        <w:t>管</w:t>
      </w:r>
    </w:p>
    <w:p>
      <w:pPr>
        <w:ind w:left="109"/>
        <w:spacing w:line="212" w:lineRule="auto"/>
        <w:rPr>
          <w:rFonts w:ascii="SimHei" w:hAnsi="SimHei" w:eastAsia="SimHei" w:cs="SimHei"/>
          <w:sz w:val="17"/>
          <w:szCs w:val="17"/>
        </w:rPr>
      </w:pPr>
      <w:r>
        <w:rPr>
          <w:rFonts w:ascii="SimHei" w:hAnsi="SimHei" w:eastAsia="SimHei" w:cs="SimHei"/>
          <w:sz w:val="17"/>
          <w:szCs w:val="17"/>
          <w:spacing w:val="-8"/>
        </w:rPr>
        <w:t>文</w:t>
      </w:r>
      <w:r>
        <w:rPr>
          <w:rFonts w:ascii="SimHei" w:hAnsi="SimHei" w:eastAsia="SimHei" w:cs="SimHei"/>
          <w:sz w:val="17"/>
          <w:szCs w:val="17"/>
          <w:spacing w:val="-23"/>
        </w:rPr>
        <w:t xml:space="preserve"> </w:t>
      </w:r>
      <w:r>
        <w:rPr>
          <w:rFonts w:ascii="SimHei" w:hAnsi="SimHei" w:eastAsia="SimHei" w:cs="SimHei"/>
          <w:sz w:val="17"/>
          <w:szCs w:val="17"/>
          <w:spacing w:val="-8"/>
        </w:rPr>
        <w:t>书</w:t>
      </w:r>
      <w:r>
        <w:rPr>
          <w:rFonts w:ascii="SimHei" w:hAnsi="SimHei" w:eastAsia="SimHei" w:cs="SimHei"/>
          <w:sz w:val="17"/>
          <w:szCs w:val="17"/>
          <w:spacing w:val="-34"/>
        </w:rPr>
        <w:t xml:space="preserve"> </w:t>
      </w:r>
      <w:r>
        <w:rPr>
          <w:rFonts w:ascii="SimHei" w:hAnsi="SimHei" w:eastAsia="SimHei" w:cs="SimHei"/>
          <w:sz w:val="17"/>
          <w:szCs w:val="17"/>
          <w:spacing w:val="-8"/>
        </w:rPr>
        <w:t>；</w:t>
      </w:r>
      <w:r>
        <w:rPr>
          <w:rFonts w:ascii="SimHei" w:hAnsi="SimHei" w:eastAsia="SimHei" w:cs="SimHei"/>
          <w:sz w:val="17"/>
          <w:szCs w:val="17"/>
          <w:spacing w:val="-27"/>
        </w:rPr>
        <w:t xml:space="preserve"> </w:t>
      </w:r>
      <w:r>
        <w:rPr>
          <w:rFonts w:ascii="SimHei" w:hAnsi="SimHei" w:eastAsia="SimHei" w:cs="SimHei"/>
          <w:sz w:val="17"/>
          <w:szCs w:val="17"/>
          <w:spacing w:val="-8"/>
        </w:rPr>
        <w:t>深</w:t>
      </w:r>
      <w:r>
        <w:rPr>
          <w:rFonts w:ascii="SimHei" w:hAnsi="SimHei" w:eastAsia="SimHei" w:cs="SimHei"/>
          <w:sz w:val="17"/>
          <w:szCs w:val="17"/>
          <w:spacing w:val="-25"/>
        </w:rPr>
        <w:t xml:space="preserve"> </w:t>
      </w:r>
      <w:r>
        <w:rPr>
          <w:rFonts w:ascii="SimHei" w:hAnsi="SimHei" w:eastAsia="SimHei" w:cs="SimHei"/>
          <w:sz w:val="17"/>
          <w:szCs w:val="17"/>
          <w:spacing w:val="-8"/>
        </w:rPr>
        <w:t>交</w:t>
      </w:r>
      <w:r>
        <w:rPr>
          <w:rFonts w:ascii="SimHei" w:hAnsi="SimHei" w:eastAsia="SimHei" w:cs="SimHei"/>
          <w:sz w:val="17"/>
          <w:szCs w:val="17"/>
          <w:spacing w:val="-26"/>
        </w:rPr>
        <w:t xml:space="preserve"> </w:t>
      </w:r>
      <w:r>
        <w:rPr>
          <w:rFonts w:ascii="SimHei" w:hAnsi="SimHei" w:eastAsia="SimHei" w:cs="SimHei"/>
          <w:sz w:val="17"/>
          <w:szCs w:val="17"/>
          <w:spacing w:val="-8"/>
        </w:rPr>
        <w:t>所</w:t>
      </w:r>
      <w:r>
        <w:rPr>
          <w:rFonts w:ascii="SimHei" w:hAnsi="SimHei" w:eastAsia="SimHei" w:cs="SimHei"/>
          <w:sz w:val="17"/>
          <w:szCs w:val="17"/>
          <w:spacing w:val="-29"/>
        </w:rPr>
        <w:t xml:space="preserve"> </w:t>
      </w:r>
      <w:r>
        <w:rPr>
          <w:rFonts w:ascii="SimHei" w:hAnsi="SimHei" w:eastAsia="SimHei" w:cs="SimHei"/>
          <w:sz w:val="17"/>
          <w:szCs w:val="17"/>
          <w:spacing w:val="-8"/>
        </w:rPr>
        <w:t>作</w:t>
      </w:r>
      <w:r>
        <w:rPr>
          <w:rFonts w:ascii="SimHei" w:hAnsi="SimHei" w:eastAsia="SimHei" w:cs="SimHei"/>
          <w:sz w:val="17"/>
          <w:szCs w:val="17"/>
          <w:spacing w:val="-8"/>
        </w:rPr>
        <w:t xml:space="preserve"> </w:t>
      </w:r>
      <w:r>
        <w:rPr>
          <w:rFonts w:ascii="SimHei" w:hAnsi="SimHei" w:eastAsia="SimHei" w:cs="SimHei"/>
          <w:sz w:val="17"/>
          <w:szCs w:val="17"/>
          <w:spacing w:val="-8"/>
        </w:rPr>
        <w:t>出</w:t>
      </w:r>
      <w:r>
        <w:rPr>
          <w:rFonts w:ascii="SimHei" w:hAnsi="SimHei" w:eastAsia="SimHei" w:cs="SimHei"/>
          <w:sz w:val="17"/>
          <w:szCs w:val="17"/>
          <w:spacing w:val="-30"/>
        </w:rPr>
        <w:t xml:space="preserve"> </w:t>
      </w:r>
      <w:r>
        <w:rPr>
          <w:rFonts w:ascii="SimHei" w:hAnsi="SimHei" w:eastAsia="SimHei" w:cs="SimHei"/>
          <w:sz w:val="17"/>
          <w:szCs w:val="17"/>
          <w:spacing w:val="-8"/>
        </w:rPr>
        <w:t>2</w:t>
      </w:r>
      <w:r>
        <w:rPr>
          <w:rFonts w:ascii="SimHei" w:hAnsi="SimHei" w:eastAsia="SimHei" w:cs="SimHei"/>
          <w:sz w:val="17"/>
          <w:szCs w:val="17"/>
          <w:spacing w:val="-32"/>
        </w:rPr>
        <w:t xml:space="preserve"> </w:t>
      </w:r>
      <w:r>
        <w:rPr>
          <w:rFonts w:ascii="SimHei" w:hAnsi="SimHei" w:eastAsia="SimHei" w:cs="SimHei"/>
          <w:sz w:val="17"/>
          <w:szCs w:val="17"/>
          <w:spacing w:val="-8"/>
        </w:rPr>
        <w:t>9</w:t>
      </w:r>
      <w:r>
        <w:rPr>
          <w:rFonts w:ascii="SimHei" w:hAnsi="SimHei" w:eastAsia="SimHei" w:cs="SimHei"/>
          <w:sz w:val="17"/>
          <w:szCs w:val="17"/>
          <w:spacing w:val="-29"/>
        </w:rPr>
        <w:t xml:space="preserve"> </w:t>
      </w:r>
      <w:r>
        <w:rPr>
          <w:rFonts w:ascii="SimHei" w:hAnsi="SimHei" w:eastAsia="SimHei" w:cs="SimHei"/>
          <w:sz w:val="17"/>
          <w:szCs w:val="17"/>
          <w:spacing w:val="-8"/>
        </w:rPr>
        <w:t>份</w:t>
      </w:r>
      <w:r>
        <w:rPr>
          <w:rFonts w:ascii="SimHei" w:hAnsi="SimHei" w:eastAsia="SimHei" w:cs="SimHei"/>
          <w:sz w:val="17"/>
          <w:szCs w:val="17"/>
          <w:spacing w:val="-29"/>
        </w:rPr>
        <w:t xml:space="preserve"> </w:t>
      </w:r>
      <w:r>
        <w:rPr>
          <w:rFonts w:ascii="SimHei" w:hAnsi="SimHei" w:eastAsia="SimHei" w:cs="SimHei"/>
          <w:sz w:val="17"/>
          <w:szCs w:val="17"/>
          <w:spacing w:val="-8"/>
        </w:rPr>
        <w:t>监</w:t>
      </w:r>
      <w:r>
        <w:rPr>
          <w:rFonts w:ascii="SimHei" w:hAnsi="SimHei" w:eastAsia="SimHei" w:cs="SimHei"/>
          <w:sz w:val="17"/>
          <w:szCs w:val="17"/>
          <w:spacing w:val="-26"/>
        </w:rPr>
        <w:t xml:space="preserve"> </w:t>
      </w:r>
      <w:r>
        <w:rPr>
          <w:rFonts w:ascii="SimHei" w:hAnsi="SimHei" w:eastAsia="SimHei" w:cs="SimHei"/>
          <w:sz w:val="17"/>
          <w:szCs w:val="17"/>
          <w:spacing w:val="-8"/>
        </w:rPr>
        <w:t>管</w:t>
      </w:r>
      <w:r>
        <w:rPr>
          <w:rFonts w:ascii="SimHei" w:hAnsi="SimHei" w:eastAsia="SimHei" w:cs="SimHei"/>
          <w:sz w:val="17"/>
          <w:szCs w:val="17"/>
          <w:spacing w:val="-26"/>
        </w:rPr>
        <w:t xml:space="preserve"> </w:t>
      </w:r>
      <w:r>
        <w:rPr>
          <w:rFonts w:ascii="SimHei" w:hAnsi="SimHei" w:eastAsia="SimHei" w:cs="SimHei"/>
          <w:sz w:val="17"/>
          <w:szCs w:val="17"/>
          <w:spacing w:val="-8"/>
        </w:rPr>
        <w:t>文</w:t>
      </w:r>
      <w:r>
        <w:rPr>
          <w:rFonts w:ascii="SimHei" w:hAnsi="SimHei" w:eastAsia="SimHei" w:cs="SimHei"/>
          <w:sz w:val="17"/>
          <w:szCs w:val="17"/>
          <w:spacing w:val="-23"/>
        </w:rPr>
        <w:t xml:space="preserve"> </w:t>
      </w:r>
      <w:r>
        <w:rPr>
          <w:rFonts w:ascii="SimHei" w:hAnsi="SimHei" w:eastAsia="SimHei" w:cs="SimHei"/>
          <w:sz w:val="17"/>
          <w:szCs w:val="17"/>
          <w:spacing w:val="-8"/>
        </w:rPr>
        <w:t>书</w:t>
      </w:r>
      <w:r>
        <w:rPr>
          <w:rFonts w:ascii="SimHei" w:hAnsi="SimHei" w:eastAsia="SimHei" w:cs="SimHei"/>
          <w:sz w:val="17"/>
          <w:szCs w:val="17"/>
          <w:spacing w:val="-34"/>
        </w:rPr>
        <w:t xml:space="preserve"> </w:t>
      </w:r>
      <w:r>
        <w:rPr>
          <w:rFonts w:ascii="SimHei" w:hAnsi="SimHei" w:eastAsia="SimHei" w:cs="SimHei"/>
          <w:sz w:val="17"/>
          <w:szCs w:val="17"/>
          <w:spacing w:val="-8"/>
        </w:rPr>
        <w:t>。</w:t>
      </w:r>
    </w:p>
    <w:p>
      <w:pPr>
        <w:pStyle w:val="BodyText"/>
        <w:spacing w:line="254" w:lineRule="auto"/>
        <w:rPr/>
      </w:pPr>
      <w:r/>
    </w:p>
    <w:p>
      <w:pPr>
        <w:pStyle w:val="BodyText"/>
        <w:spacing w:line="254" w:lineRule="auto"/>
        <w:rPr/>
      </w:pPr>
      <w:r/>
    </w:p>
    <w:p>
      <w:pPr>
        <w:ind w:left="2984"/>
        <w:spacing w:before="110" w:line="221" w:lineRule="auto"/>
        <w:rPr>
          <w:rFonts w:ascii="SimHei" w:hAnsi="SimHei" w:eastAsia="SimHei" w:cs="SimHei"/>
          <w:sz w:val="34"/>
          <w:szCs w:val="34"/>
        </w:rPr>
      </w:pPr>
      <w:r>
        <w:rPr>
          <w:rFonts w:ascii="SimHei" w:hAnsi="SimHei" w:eastAsia="SimHei" w:cs="SimHei"/>
          <w:sz w:val="34"/>
          <w:szCs w:val="34"/>
          <w:b/>
          <w:bCs/>
          <w:spacing w:val="25"/>
        </w:rPr>
        <w:t>上周监管机构监管数据统计(份)</w:t>
      </w:r>
    </w:p>
    <w:p>
      <w:pPr>
        <w:spacing w:line="204" w:lineRule="exact"/>
        <w:rPr/>
      </w:pPr>
      <w:r/>
    </w:p>
    <w:p>
      <w:pPr>
        <w:spacing w:line="204" w:lineRule="exact"/>
        <w:sectPr>
          <w:pgSz w:w="11910" w:h="16840"/>
          <w:pgMar w:top="400" w:right="10" w:bottom="0" w:left="330" w:header="0" w:footer="0" w:gutter="0"/>
          <w:cols w:equalWidth="0" w:num="1">
            <w:col w:w="11570" w:space="0"/>
          </w:cols>
        </w:sectPr>
        <w:rPr/>
      </w:pPr>
    </w:p>
    <w:p>
      <w:pPr>
        <w:ind w:left="1910"/>
        <w:spacing w:before="293" w:line="184" w:lineRule="auto"/>
        <w:rPr>
          <w:rFonts w:ascii="SimSun" w:hAnsi="SimSun" w:eastAsia="SimSun" w:cs="SimSun"/>
          <w:sz w:val="17"/>
          <w:szCs w:val="17"/>
        </w:rPr>
      </w:pPr>
      <w:r>
        <w:rPr>
          <w:rFonts w:ascii="SimSun" w:hAnsi="SimSun" w:eastAsia="SimSun" w:cs="SimSun"/>
          <w:sz w:val="17"/>
          <w:szCs w:val="17"/>
          <w:spacing w:val="-5"/>
        </w:rPr>
        <w:t>151</w:t>
      </w:r>
    </w:p>
    <w:p>
      <w:pPr>
        <w:ind w:left="1910"/>
        <w:spacing w:before="21" w:line="184" w:lineRule="auto"/>
        <w:rPr>
          <w:rFonts w:ascii="SimSun" w:hAnsi="SimSun" w:eastAsia="SimSun" w:cs="SimSun"/>
          <w:sz w:val="17"/>
          <w:szCs w:val="17"/>
        </w:rPr>
      </w:pPr>
      <w:r>
        <w:rPr>
          <w:rFonts w:ascii="SimSun" w:hAnsi="SimSun" w:eastAsia="SimSun" w:cs="SimSun"/>
          <w:sz w:val="17"/>
          <w:szCs w:val="17"/>
          <w:spacing w:val="-5"/>
        </w:rPr>
        <w:t>141</w:t>
      </w:r>
    </w:p>
    <w:p>
      <w:pPr>
        <w:ind w:left="1910"/>
        <w:spacing w:before="10" w:line="184" w:lineRule="auto"/>
        <w:rPr>
          <w:rFonts w:ascii="SimSun" w:hAnsi="SimSun" w:eastAsia="SimSun" w:cs="SimSun"/>
          <w:sz w:val="17"/>
          <w:szCs w:val="17"/>
        </w:rPr>
      </w:pPr>
      <w:r>
        <w:rPr>
          <w:rFonts w:ascii="SimSun" w:hAnsi="SimSun" w:eastAsia="SimSun" w:cs="SimSun"/>
          <w:sz w:val="17"/>
          <w:szCs w:val="17"/>
          <w:spacing w:val="-5"/>
        </w:rPr>
        <w:t>131</w:t>
      </w:r>
    </w:p>
    <w:p>
      <w:pPr>
        <w:ind w:left="1910"/>
        <w:spacing w:before="21" w:line="184" w:lineRule="auto"/>
        <w:rPr>
          <w:rFonts w:ascii="SimSun" w:hAnsi="SimSun" w:eastAsia="SimSun" w:cs="SimSun"/>
          <w:sz w:val="17"/>
          <w:szCs w:val="17"/>
        </w:rPr>
      </w:pPr>
      <w:r>
        <w:rPr>
          <w:rFonts w:ascii="SimSun" w:hAnsi="SimSun" w:eastAsia="SimSun" w:cs="SimSun"/>
          <w:sz w:val="17"/>
          <w:szCs w:val="17"/>
          <w:spacing w:val="-5"/>
        </w:rPr>
        <w:t>121</w:t>
      </w:r>
    </w:p>
    <w:p>
      <w:pPr>
        <w:ind w:left="1910"/>
        <w:spacing w:before="20" w:line="184" w:lineRule="auto"/>
        <w:rPr>
          <w:rFonts w:ascii="SimSun" w:hAnsi="SimSun" w:eastAsia="SimSun" w:cs="SimSun"/>
          <w:sz w:val="17"/>
          <w:szCs w:val="17"/>
        </w:rPr>
      </w:pPr>
      <w:r>
        <w:rPr>
          <w:rFonts w:ascii="SimSun" w:hAnsi="SimSun" w:eastAsia="SimSun" w:cs="SimSun"/>
          <w:sz w:val="17"/>
          <w:szCs w:val="17"/>
          <w:spacing w:val="-5"/>
        </w:rPr>
        <w:t>111</w:t>
      </w:r>
    </w:p>
    <w:p>
      <w:pPr>
        <w:ind w:left="1910"/>
        <w:spacing w:before="12" w:line="184" w:lineRule="auto"/>
        <w:rPr>
          <w:rFonts w:ascii="SimSun" w:hAnsi="SimSun" w:eastAsia="SimSun" w:cs="SimSun"/>
          <w:sz w:val="14"/>
          <w:szCs w:val="14"/>
        </w:rPr>
      </w:pPr>
      <w:r>
        <w:rPr>
          <w:rFonts w:ascii="SimSun" w:hAnsi="SimSun" w:eastAsia="SimSun" w:cs="SimSun"/>
          <w:sz w:val="14"/>
          <w:szCs w:val="14"/>
          <w:spacing w:val="-4"/>
        </w:rPr>
        <w:t>101</w:t>
      </w:r>
    </w:p>
    <w:p>
      <w:pPr>
        <w:ind w:left="2009"/>
        <w:spacing w:before="30" w:line="184" w:lineRule="auto"/>
        <w:rPr>
          <w:rFonts w:ascii="SimSun" w:hAnsi="SimSun" w:eastAsia="SimSun" w:cs="SimSun"/>
          <w:sz w:val="17"/>
          <w:szCs w:val="17"/>
        </w:rPr>
      </w:pPr>
      <w:r>
        <w:rPr>
          <w:rFonts w:ascii="SimSun" w:hAnsi="SimSun" w:eastAsia="SimSun" w:cs="SimSun"/>
          <w:sz w:val="17"/>
          <w:szCs w:val="17"/>
          <w:spacing w:val="-2"/>
        </w:rPr>
        <w:t>91</w:t>
      </w:r>
    </w:p>
    <w:p>
      <w:pPr>
        <w:ind w:left="2009"/>
        <w:spacing w:before="30" w:line="184" w:lineRule="auto"/>
        <w:rPr>
          <w:rFonts w:ascii="SimSun" w:hAnsi="SimSun" w:eastAsia="SimSun" w:cs="SimSun"/>
          <w:sz w:val="17"/>
          <w:szCs w:val="17"/>
        </w:rPr>
      </w:pPr>
      <w:r>
        <w:rPr>
          <w:rFonts w:ascii="SimSun" w:hAnsi="SimSun" w:eastAsia="SimSun" w:cs="SimSun"/>
          <w:sz w:val="17"/>
          <w:szCs w:val="17"/>
          <w:spacing w:val="-2"/>
        </w:rPr>
        <w:t>81</w:t>
      </w:r>
    </w:p>
    <w:p>
      <w:pPr>
        <w:ind w:left="2009"/>
        <w:spacing w:before="1" w:line="184" w:lineRule="auto"/>
        <w:rPr>
          <w:rFonts w:ascii="SimSun" w:hAnsi="SimSun" w:eastAsia="SimSun" w:cs="SimSun"/>
          <w:sz w:val="17"/>
          <w:szCs w:val="17"/>
        </w:rPr>
      </w:pPr>
      <w:r>
        <w:rPr>
          <w:rFonts w:ascii="SimSun" w:hAnsi="SimSun" w:eastAsia="SimSun" w:cs="SimSun"/>
          <w:sz w:val="17"/>
          <w:szCs w:val="17"/>
          <w:spacing w:val="-3"/>
        </w:rPr>
        <w:t>71</w:t>
      </w:r>
    </w:p>
    <w:p>
      <w:pPr>
        <w:ind w:left="2009"/>
        <w:spacing w:before="10" w:line="184" w:lineRule="auto"/>
        <w:rPr>
          <w:rFonts w:ascii="SimSun" w:hAnsi="SimSun" w:eastAsia="SimSun" w:cs="SimSun"/>
          <w:sz w:val="17"/>
          <w:szCs w:val="17"/>
        </w:rPr>
      </w:pPr>
      <w:r>
        <w:rPr>
          <w:rFonts w:ascii="SimSun" w:hAnsi="SimSun" w:eastAsia="SimSun" w:cs="SimSun"/>
          <w:sz w:val="17"/>
          <w:szCs w:val="17"/>
          <w:spacing w:val="-2"/>
        </w:rPr>
        <w:t>61</w:t>
      </w:r>
    </w:p>
    <w:p>
      <w:pPr>
        <w:ind w:left="2009"/>
        <w:spacing w:before="11" w:line="184" w:lineRule="auto"/>
        <w:rPr>
          <w:rFonts w:ascii="SimSun" w:hAnsi="SimSun" w:eastAsia="SimSun" w:cs="SimSun"/>
          <w:sz w:val="17"/>
          <w:szCs w:val="17"/>
        </w:rPr>
      </w:pPr>
      <w:r>
        <w:rPr>
          <w:rFonts w:ascii="SimSun" w:hAnsi="SimSun" w:eastAsia="SimSun" w:cs="SimSun"/>
          <w:sz w:val="17"/>
          <w:szCs w:val="17"/>
          <w:spacing w:val="-3"/>
        </w:rPr>
        <w:t>51</w:t>
      </w:r>
    </w:p>
    <w:p>
      <w:pPr>
        <w:ind w:left="2009"/>
        <w:spacing w:before="20" w:line="184" w:lineRule="auto"/>
        <w:rPr>
          <w:rFonts w:ascii="SimSun" w:hAnsi="SimSun" w:eastAsia="SimSun" w:cs="SimSun"/>
          <w:sz w:val="17"/>
          <w:szCs w:val="17"/>
        </w:rPr>
      </w:pPr>
      <w:r>
        <w:rPr>
          <w:rFonts w:ascii="SimSun" w:hAnsi="SimSun" w:eastAsia="SimSun" w:cs="SimSun"/>
          <w:sz w:val="17"/>
          <w:szCs w:val="17"/>
          <w:spacing w:val="-2"/>
        </w:rPr>
        <w:t>41</w:t>
      </w:r>
    </w:p>
    <w:p>
      <w:pPr>
        <w:ind w:left="2009"/>
        <w:spacing w:before="21" w:line="184" w:lineRule="auto"/>
        <w:rPr>
          <w:rFonts w:ascii="SimSun" w:hAnsi="SimSun" w:eastAsia="SimSun" w:cs="SimSun"/>
          <w:sz w:val="17"/>
          <w:szCs w:val="17"/>
        </w:rPr>
      </w:pPr>
      <w:r>
        <w:rPr>
          <w:rFonts w:ascii="SimSun" w:hAnsi="SimSun" w:eastAsia="SimSun" w:cs="SimSun"/>
          <w:sz w:val="17"/>
          <w:szCs w:val="17"/>
          <w:spacing w:val="-3"/>
        </w:rPr>
        <w:t>31</w:t>
      </w:r>
    </w:p>
    <w:p>
      <w:pPr>
        <w:ind w:left="2009"/>
        <w:spacing w:before="10" w:line="184" w:lineRule="auto"/>
        <w:rPr>
          <w:rFonts w:ascii="SimSun" w:hAnsi="SimSun" w:eastAsia="SimSun" w:cs="SimSun"/>
          <w:sz w:val="17"/>
          <w:szCs w:val="17"/>
        </w:rPr>
      </w:pPr>
      <w:r>
        <w:rPr>
          <w:rFonts w:ascii="SimSun" w:hAnsi="SimSun" w:eastAsia="SimSun" w:cs="SimSun"/>
          <w:sz w:val="17"/>
          <w:szCs w:val="17"/>
          <w:spacing w:val="-3"/>
        </w:rPr>
        <w:t>21</w:t>
      </w:r>
    </w:p>
    <w:p>
      <w:pPr>
        <w:ind w:left="2009"/>
        <w:spacing w:before="1" w:line="112" w:lineRule="exact"/>
        <w:rPr>
          <w:rFonts w:ascii="SimSun" w:hAnsi="SimSun" w:eastAsia="SimSun" w:cs="SimSun"/>
          <w:sz w:val="17"/>
          <w:szCs w:val="17"/>
        </w:rPr>
      </w:pPr>
      <w:r>
        <w:rPr>
          <w:rFonts w:ascii="SimSun" w:hAnsi="SimSun" w:eastAsia="SimSun" w:cs="SimSun"/>
          <w:sz w:val="17"/>
          <w:szCs w:val="17"/>
          <w:spacing w:val="-5"/>
          <w:position w:val="-3"/>
        </w:rPr>
        <w:t>11</w:t>
      </w:r>
    </w:p>
    <w:p>
      <w:pPr>
        <w:ind w:left="2109"/>
        <w:spacing w:line="105" w:lineRule="exact"/>
        <w:rPr>
          <w:rFonts w:ascii="SimSun" w:hAnsi="SimSun" w:eastAsia="SimSun" w:cs="SimSun"/>
          <w:sz w:val="16"/>
          <w:szCs w:val="16"/>
        </w:rPr>
      </w:pPr>
      <w:r>
        <w:rPr>
          <w:rFonts w:ascii="SimSun" w:hAnsi="SimSun" w:eastAsia="SimSun" w:cs="SimSun"/>
          <w:sz w:val="16"/>
          <w:szCs w:val="16"/>
          <w:position w:val="-3"/>
        </w:rPr>
        <w:t>1</w:t>
      </w:r>
    </w:p>
    <w:p>
      <w:pPr>
        <w:pStyle w:val="BodyText"/>
        <w:spacing w:line="14" w:lineRule="auto"/>
        <w:rPr>
          <w:sz w:val="2"/>
        </w:rPr>
      </w:pPr>
      <w:r>
        <w:rPr>
          <w:sz w:val="2"/>
          <w:szCs w:val="2"/>
        </w:rPr>
        <w:br w:type="column"/>
      </w:r>
    </w:p>
    <w:p>
      <w:pPr>
        <w:ind w:left="1700"/>
        <w:spacing w:before="22" w:line="184" w:lineRule="auto"/>
        <w:rPr>
          <w:rFonts w:ascii="SimSun" w:hAnsi="SimSun" w:eastAsia="SimSun" w:cs="SimSun"/>
          <w:sz w:val="17"/>
          <w:szCs w:val="17"/>
        </w:rPr>
      </w:pPr>
      <w:r>
        <w:rPr>
          <w:rFonts w:ascii="SimSun" w:hAnsi="SimSun" w:eastAsia="SimSun" w:cs="SimSun"/>
          <w:sz w:val="17"/>
          <w:szCs w:val="17"/>
          <w:spacing w:val="-5"/>
        </w:rPr>
        <w:t>154</w:t>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4" w:lineRule="auto"/>
        <w:rPr/>
      </w:pPr>
      <w:r/>
    </w:p>
    <w:p>
      <w:pPr>
        <w:pStyle w:val="BodyText"/>
        <w:spacing w:line="255" w:lineRule="auto"/>
        <w:rPr/>
      </w:pPr>
      <w:r/>
    </w:p>
    <w:p>
      <w:pPr>
        <w:ind w:left="5280"/>
        <w:spacing w:before="56" w:line="183" w:lineRule="auto"/>
        <w:rPr>
          <w:rFonts w:ascii="SimSun" w:hAnsi="SimSun" w:eastAsia="SimSun" w:cs="SimSun"/>
          <w:sz w:val="17"/>
          <w:szCs w:val="17"/>
        </w:rPr>
      </w:pPr>
      <w:r>
        <w:rPr>
          <w:rFonts w:ascii="SimSun" w:hAnsi="SimSun" w:eastAsia="SimSun" w:cs="SimSun"/>
          <w:sz w:val="17"/>
          <w:szCs w:val="17"/>
          <w:spacing w:val="-3"/>
        </w:rPr>
        <w:t>29</w:t>
      </w:r>
    </w:p>
    <w:p>
      <w:pPr>
        <w:spacing w:before="160" w:line="195" w:lineRule="auto"/>
        <w:rPr>
          <w:rFonts w:ascii="SimSun" w:hAnsi="SimSun" w:eastAsia="SimSun" w:cs="SimSun"/>
          <w:sz w:val="17"/>
          <w:szCs w:val="17"/>
        </w:rPr>
      </w:pPr>
      <w:r>
        <w:rPr>
          <w:rFonts w:ascii="SimSun" w:hAnsi="SimSun" w:eastAsia="SimSun" w:cs="SimSun"/>
          <w:sz w:val="17"/>
          <w:szCs w:val="17"/>
          <w:spacing w:val="-8"/>
          <w:position w:val="-1"/>
        </w:rPr>
        <w:t>10</w:t>
      </w:r>
      <w:r>
        <w:rPr>
          <w:rFonts w:ascii="SimSun" w:hAnsi="SimSun" w:eastAsia="SimSun" w:cs="SimSun"/>
          <w:sz w:val="17"/>
          <w:szCs w:val="17"/>
          <w:spacing w:val="1"/>
          <w:position w:val="-1"/>
        </w:rPr>
        <w:t xml:space="preserve">                                       </w:t>
      </w:r>
      <w:r>
        <w:rPr>
          <w:rFonts w:ascii="SimSun" w:hAnsi="SimSun" w:eastAsia="SimSun" w:cs="SimSun"/>
          <w:sz w:val="17"/>
          <w:szCs w:val="17"/>
          <w:spacing w:val="-8"/>
          <w:position w:val="1"/>
        </w:rPr>
        <w:t>11</w:t>
      </w:r>
    </w:p>
    <w:p>
      <w:pPr>
        <w:spacing w:line="195" w:lineRule="auto"/>
        <w:sectPr>
          <w:type w:val="continuous"/>
          <w:pgSz w:w="11910" w:h="16840"/>
          <w:pgMar w:top="400" w:right="10" w:bottom="0" w:left="330" w:header="0" w:footer="0" w:gutter="0"/>
          <w:cols w:equalWidth="0" w:num="2">
            <w:col w:w="3080" w:space="100"/>
            <w:col w:w="8391" w:space="0"/>
          </w:cols>
        </w:sectPr>
        <w:rPr>
          <w:rFonts w:ascii="SimSun" w:hAnsi="SimSun" w:eastAsia="SimSun" w:cs="SimSun"/>
          <w:sz w:val="17"/>
          <w:szCs w:val="17"/>
        </w:rPr>
      </w:pPr>
    </w:p>
    <w:p>
      <w:pPr>
        <w:spacing w:line="89" w:lineRule="auto"/>
        <w:rPr>
          <w:rFonts w:ascii="Arial"/>
          <w:sz w:val="2"/>
        </w:rPr>
      </w:pPr>
      <w:r>
        <w:rPr>
          <w:rFonts w:ascii="Arial"/>
          <w:sz w:val="2"/>
        </w:rPr>
      </w:r>
    </w:p>
    <w:tbl>
      <w:tblPr>
        <w:tblStyle w:val="TableNormal"/>
        <w:tblW w:w="7730" w:type="dxa"/>
        <w:tblInd w:w="171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84"/>
        <w:gridCol w:w="1767"/>
        <w:gridCol w:w="1758"/>
        <w:gridCol w:w="1758"/>
        <w:gridCol w:w="1763"/>
      </w:tblGrid>
      <w:tr>
        <w:trPr>
          <w:trHeight w:val="400" w:hRule="atLeast"/>
        </w:trPr>
        <w:tc>
          <w:tcPr>
            <w:tcW w:w="684" w:type="dxa"/>
            <w:vAlign w:val="top"/>
          </w:tcPr>
          <w:p>
            <w:pPr>
              <w:rPr>
                <w:rFonts w:ascii="Arial"/>
                <w:sz w:val="21"/>
              </w:rPr>
            </w:pPr>
            <w:r/>
          </w:p>
        </w:tc>
        <w:tc>
          <w:tcPr>
            <w:tcW w:w="1767" w:type="dxa"/>
            <w:vAlign w:val="top"/>
          </w:tcPr>
          <w:p>
            <w:pPr>
              <w:ind w:left="571"/>
              <w:spacing w:before="101" w:line="219" w:lineRule="auto"/>
              <w:rPr>
                <w:rFonts w:ascii="SimSun" w:hAnsi="SimSun" w:eastAsia="SimSun" w:cs="SimSun"/>
                <w:sz w:val="20"/>
                <w:szCs w:val="20"/>
              </w:rPr>
            </w:pPr>
            <w:r>
              <w:rPr>
                <w:rFonts w:ascii="SimSun" w:hAnsi="SimSun" w:eastAsia="SimSun" w:cs="SimSun"/>
                <w:sz w:val="20"/>
                <w:szCs w:val="20"/>
                <w:spacing w:val="-2"/>
              </w:rPr>
              <w:t>证监会</w:t>
            </w:r>
          </w:p>
        </w:tc>
        <w:tc>
          <w:tcPr>
            <w:tcW w:w="1758" w:type="dxa"/>
            <w:vAlign w:val="top"/>
          </w:tcPr>
          <w:p>
            <w:pPr>
              <w:ind w:left="574"/>
              <w:spacing w:before="104" w:line="221" w:lineRule="auto"/>
              <w:rPr>
                <w:rFonts w:ascii="SimSun" w:hAnsi="SimSun" w:eastAsia="SimSun" w:cs="SimSun"/>
                <w:sz w:val="20"/>
                <w:szCs w:val="20"/>
              </w:rPr>
            </w:pPr>
            <w:r>
              <w:rPr>
                <w:rFonts w:ascii="SimSun" w:hAnsi="SimSun" w:eastAsia="SimSun" w:cs="SimSun"/>
                <w:sz w:val="20"/>
                <w:szCs w:val="20"/>
                <w:spacing w:val="6"/>
              </w:rPr>
              <w:t>证监局</w:t>
            </w:r>
          </w:p>
        </w:tc>
        <w:tc>
          <w:tcPr>
            <w:tcW w:w="1758" w:type="dxa"/>
            <w:vAlign w:val="top"/>
          </w:tcPr>
          <w:p>
            <w:pPr>
              <w:ind w:left="576"/>
              <w:spacing w:before="103" w:line="220" w:lineRule="auto"/>
              <w:rPr>
                <w:rFonts w:ascii="SimSun" w:hAnsi="SimSun" w:eastAsia="SimSun" w:cs="SimSun"/>
                <w:sz w:val="20"/>
                <w:szCs w:val="20"/>
              </w:rPr>
            </w:pPr>
            <w:r>
              <w:rPr>
                <w:rFonts w:ascii="SimSun" w:hAnsi="SimSun" w:eastAsia="SimSun" w:cs="SimSun"/>
                <w:sz w:val="20"/>
                <w:szCs w:val="20"/>
                <w:spacing w:val="-3"/>
              </w:rPr>
              <w:t>上交所</w:t>
            </w:r>
          </w:p>
        </w:tc>
        <w:tc>
          <w:tcPr>
            <w:tcW w:w="1763" w:type="dxa"/>
            <w:vAlign w:val="top"/>
          </w:tcPr>
          <w:p>
            <w:pPr>
              <w:ind w:left="578"/>
              <w:spacing w:before="103" w:line="220" w:lineRule="auto"/>
              <w:rPr>
                <w:rFonts w:ascii="SimSun" w:hAnsi="SimSun" w:eastAsia="SimSun" w:cs="SimSun"/>
                <w:sz w:val="20"/>
                <w:szCs w:val="20"/>
              </w:rPr>
            </w:pPr>
            <w:r>
              <w:rPr>
                <w:rFonts w:ascii="SimSun" w:hAnsi="SimSun" w:eastAsia="SimSun" w:cs="SimSun"/>
                <w:sz w:val="20"/>
                <w:szCs w:val="20"/>
                <w:spacing w:val="-2"/>
              </w:rPr>
              <w:t>深交所</w:t>
            </w:r>
          </w:p>
        </w:tc>
      </w:tr>
      <w:tr>
        <w:trPr>
          <w:trHeight w:val="390" w:hRule="atLeast"/>
        </w:trPr>
        <w:tc>
          <w:tcPr>
            <w:tcW w:w="684" w:type="dxa"/>
            <w:vAlign w:val="top"/>
          </w:tcPr>
          <w:p>
            <w:pPr>
              <w:ind w:left="177"/>
              <w:spacing w:before="100" w:line="219" w:lineRule="auto"/>
              <w:rPr>
                <w:rFonts w:ascii="SimSun" w:hAnsi="SimSun" w:eastAsia="SimSun" w:cs="SimSun"/>
                <w:sz w:val="20"/>
                <w:szCs w:val="20"/>
              </w:rPr>
            </w:pPr>
            <w:r>
              <w:rPr>
                <w:rFonts w:ascii="SimSun" w:hAnsi="SimSun" w:eastAsia="SimSun" w:cs="SimSun"/>
                <w:sz w:val="20"/>
                <w:szCs w:val="20"/>
                <w:b/>
                <w:bCs/>
                <w:spacing w:val="-5"/>
              </w:rPr>
              <w:t>份数</w:t>
            </w:r>
          </w:p>
        </w:tc>
        <w:tc>
          <w:tcPr>
            <w:tcW w:w="1767" w:type="dxa"/>
            <w:vAlign w:val="top"/>
          </w:tcPr>
          <w:p>
            <w:pPr>
              <w:ind w:left="771"/>
              <w:spacing w:before="153" w:line="184" w:lineRule="auto"/>
              <w:rPr>
                <w:rFonts w:ascii="SimSun" w:hAnsi="SimSun" w:eastAsia="SimSun" w:cs="SimSun"/>
                <w:sz w:val="20"/>
                <w:szCs w:val="20"/>
              </w:rPr>
            </w:pPr>
            <w:r>
              <w:rPr>
                <w:rFonts w:ascii="SimSun" w:hAnsi="SimSun" w:eastAsia="SimSun" w:cs="SimSun"/>
                <w:sz w:val="20"/>
                <w:szCs w:val="20"/>
                <w:spacing w:val="-6"/>
              </w:rPr>
              <w:t>10</w:t>
            </w:r>
          </w:p>
        </w:tc>
        <w:tc>
          <w:tcPr>
            <w:tcW w:w="1758" w:type="dxa"/>
            <w:vAlign w:val="top"/>
          </w:tcPr>
          <w:p>
            <w:pPr>
              <w:ind w:left="724"/>
              <w:spacing w:before="153" w:line="184" w:lineRule="auto"/>
              <w:rPr>
                <w:rFonts w:ascii="SimSun" w:hAnsi="SimSun" w:eastAsia="SimSun" w:cs="SimSun"/>
                <w:sz w:val="20"/>
                <w:szCs w:val="20"/>
              </w:rPr>
            </w:pPr>
            <w:r>
              <w:rPr>
                <w:rFonts w:ascii="SimSun" w:hAnsi="SimSun" w:eastAsia="SimSun" w:cs="SimSun"/>
                <w:sz w:val="20"/>
                <w:szCs w:val="20"/>
                <w:spacing w:val="-6"/>
              </w:rPr>
              <w:t>154</w:t>
            </w:r>
          </w:p>
        </w:tc>
        <w:tc>
          <w:tcPr>
            <w:tcW w:w="1758" w:type="dxa"/>
            <w:vAlign w:val="top"/>
          </w:tcPr>
          <w:p>
            <w:pPr>
              <w:ind w:left="776"/>
              <w:spacing w:before="153" w:line="184" w:lineRule="auto"/>
              <w:rPr>
                <w:rFonts w:ascii="SimSun" w:hAnsi="SimSun" w:eastAsia="SimSun" w:cs="SimSun"/>
                <w:sz w:val="20"/>
                <w:szCs w:val="20"/>
              </w:rPr>
            </w:pPr>
            <w:r>
              <w:rPr>
                <w:rFonts w:ascii="SimSun" w:hAnsi="SimSun" w:eastAsia="SimSun" w:cs="SimSun"/>
                <w:sz w:val="20"/>
                <w:szCs w:val="20"/>
                <w:spacing w:val="-6"/>
              </w:rPr>
              <w:t>11</w:t>
            </w:r>
          </w:p>
        </w:tc>
        <w:tc>
          <w:tcPr>
            <w:tcW w:w="1763" w:type="dxa"/>
            <w:vAlign w:val="top"/>
          </w:tcPr>
          <w:p>
            <w:pPr>
              <w:ind w:left="777"/>
              <w:spacing w:before="154" w:line="183" w:lineRule="auto"/>
              <w:rPr>
                <w:rFonts w:ascii="SimSun" w:hAnsi="SimSun" w:eastAsia="SimSun" w:cs="SimSun"/>
                <w:sz w:val="20"/>
                <w:szCs w:val="20"/>
              </w:rPr>
            </w:pPr>
            <w:r>
              <w:rPr>
                <w:rFonts w:ascii="SimSun" w:hAnsi="SimSun" w:eastAsia="SimSun" w:cs="SimSun"/>
                <w:sz w:val="20"/>
                <w:szCs w:val="20"/>
                <w:spacing w:val="-3"/>
              </w:rPr>
              <w:t>29</w:t>
            </w:r>
          </w:p>
        </w:tc>
      </w:tr>
    </w:tbl>
    <w:p>
      <w:pPr>
        <w:ind w:firstLine="1400"/>
        <w:spacing w:before="185" w:line="5040" w:lineRule="exact"/>
        <w:rPr/>
      </w:pPr>
      <w:r>
        <w:rPr>
          <w:position w:val="-100"/>
        </w:rPr>
        <w:drawing>
          <wp:inline distT="0" distB="0" distL="0" distR="0">
            <wp:extent cx="5334002" cy="3200427"/>
            <wp:effectExtent l="0" t="0" r="0" b="0"/>
            <wp:docPr id="34" name="IM 34"/>
            <wp:cNvGraphicFramePr/>
            <a:graphic>
              <a:graphicData uri="http://schemas.openxmlformats.org/drawingml/2006/picture">
                <pic:pic>
                  <pic:nvPicPr>
                    <pic:cNvPr id="34" name="IM 34"/>
                    <pic:cNvPicPr/>
                  </pic:nvPicPr>
                  <pic:blipFill>
                    <a:blip r:embed="rId19"/>
                    <a:stretch>
                      <a:fillRect/>
                    </a:stretch>
                  </pic:blipFill>
                  <pic:spPr>
                    <a:xfrm rot="0">
                      <a:off x="0" y="0"/>
                      <a:ext cx="5334002" cy="3200427"/>
                    </a:xfrm>
                    <a:prstGeom prst="rect">
                      <a:avLst/>
                    </a:prstGeom>
                  </pic:spPr>
                </pic:pic>
              </a:graphicData>
            </a:graphic>
          </wp:inline>
        </w:drawing>
      </w:r>
    </w:p>
    <w:p>
      <w:pPr>
        <w:spacing w:line="5040" w:lineRule="exact"/>
        <w:sectPr>
          <w:type w:val="continuous"/>
          <w:pgSz w:w="11910" w:h="16840"/>
          <w:pgMar w:top="400" w:right="10" w:bottom="0" w:left="330" w:header="0" w:footer="0" w:gutter="0"/>
          <w:cols w:equalWidth="0" w:num="1">
            <w:col w:w="11570" w:space="0"/>
          </w:cols>
        </w:sectPr>
        <w:rPr/>
      </w:pPr>
    </w:p>
    <w:p>
      <w:pPr>
        <w:spacing w:line="830" w:lineRule="exact"/>
        <w:rPr/>
      </w:pPr>
      <w:r>
        <w:rPr>
          <w:position w:val="-16"/>
        </w:rPr>
        <w:pict>
          <v:group id="_x0000_s8" style="mso-position-vertical-relative:line;mso-position-horizontal-relative:char;width:187.5pt;height:41.55pt;" filled="false" stroked="false" coordsize="3750,830" coordorigin="0,0">
            <v:shape id="_x0000_s10" style="position:absolute;left:0;top:0;width:3750;height:830;" filled="false" stroked="false" type="#_x0000_t75">
              <v:imagedata o:title="" r:id="rId20"/>
            </v:shape>
            <v:shape id="_x0000_s12" style="position:absolute;left:-20;top:-20;width:3790;height:870;" filled="false" stroked="false" type="#_x0000_t202">
              <v:fill on="false"/>
              <v:stroke on="false"/>
              <v:path/>
              <v:imagedata o:title=""/>
              <o:lock v:ext="edit" aspectratio="false"/>
              <v:textbox inset="0mm,0mm,0mm,0mm">
                <w:txbxContent>
                  <w:p>
                    <w:pPr>
                      <w:ind w:left="423"/>
                      <w:spacing w:before="266" w:line="222" w:lineRule="auto"/>
                      <w:rPr>
                        <w:rFonts w:ascii="SimHei" w:hAnsi="SimHei" w:eastAsia="SimHei" w:cs="SimHei"/>
                        <w:sz w:val="29"/>
                        <w:szCs w:val="29"/>
                      </w:rPr>
                    </w:pPr>
                    <w:r>
                      <w:rPr>
                        <w:rFonts w:ascii="SimHei" w:hAnsi="SimHei" w:eastAsia="SimHei" w:cs="SimHei"/>
                        <w:sz w:val="29"/>
                        <w:szCs w:val="29"/>
                        <w:b/>
                        <w:bCs/>
                        <w:color w:val="FFFFFF"/>
                        <w:spacing w:val="-12"/>
                      </w:rPr>
                      <w:t>证监会证监局监管动态</w:t>
                    </w:r>
                  </w:p>
                </w:txbxContent>
              </v:textbox>
            </v:shape>
          </v:group>
        </w:pict>
      </w:r>
    </w:p>
    <w:p>
      <w:pPr>
        <w:pStyle w:val="BodyText"/>
        <w:spacing w:line="350" w:lineRule="auto"/>
        <w:rPr/>
      </w:pPr>
      <w:r/>
    </w:p>
    <w:p>
      <w:pPr>
        <w:ind w:left="59" w:firstLine="450"/>
        <w:spacing w:before="75" w:line="251" w:lineRule="auto"/>
        <w:rPr>
          <w:rFonts w:ascii="SimHei" w:hAnsi="SimHei" w:eastAsia="SimHei" w:cs="SimHei"/>
          <w:sz w:val="23"/>
          <w:szCs w:val="23"/>
        </w:rPr>
      </w:pPr>
      <w:r>
        <w:rPr>
          <w:rFonts w:ascii="SimHei" w:hAnsi="SimHei" w:eastAsia="SimHei" w:cs="SimHei"/>
          <w:sz w:val="23"/>
          <w:szCs w:val="23"/>
          <w:spacing w:val="-2"/>
        </w:rPr>
        <w:t>2023年12月25日-12月31日，证监会作出1份行政处罚</w:t>
      </w:r>
      <w:r>
        <w:rPr>
          <w:rFonts w:ascii="SimHei" w:hAnsi="SimHei" w:eastAsia="SimHei" w:cs="SimHei"/>
          <w:sz w:val="23"/>
          <w:szCs w:val="23"/>
          <w:spacing w:val="-3"/>
        </w:rPr>
        <w:t>及市场禁入决定书，对9个对象进行立案调查；证监局</w:t>
      </w:r>
      <w:r>
        <w:rPr>
          <w:rFonts w:ascii="SimHei" w:hAnsi="SimHei" w:eastAsia="SimHei" w:cs="SimHei"/>
          <w:sz w:val="23"/>
          <w:szCs w:val="23"/>
        </w:rPr>
        <w:t xml:space="preserve"> </w:t>
      </w:r>
      <w:r>
        <w:rPr>
          <w:rFonts w:ascii="SimHei" w:hAnsi="SimHei" w:eastAsia="SimHei" w:cs="SimHei"/>
          <w:sz w:val="23"/>
          <w:szCs w:val="23"/>
          <w:spacing w:val="-8"/>
        </w:rPr>
        <w:t>作出46份行政处罚及市场禁入决定书，5份行政处罚决定事先告知书，103份行政监管措施决定书。</w:t>
      </w:r>
    </w:p>
    <w:p>
      <w:pPr>
        <w:pStyle w:val="BodyText"/>
        <w:spacing w:line="334" w:lineRule="auto"/>
        <w:rPr/>
      </w:pPr>
      <w:r/>
    </w:p>
    <w:p>
      <w:pPr>
        <w:ind w:left="679"/>
        <w:spacing w:before="75" w:line="222" w:lineRule="auto"/>
        <w:rPr>
          <w:rFonts w:ascii="SimHei" w:hAnsi="SimHei" w:eastAsia="SimHei" w:cs="SimHei"/>
          <w:sz w:val="23"/>
          <w:szCs w:val="23"/>
        </w:rPr>
      </w:pPr>
      <w:r>
        <w:rPr>
          <w:rFonts w:ascii="SimHei" w:hAnsi="SimHei" w:eastAsia="SimHei" w:cs="SimHei"/>
          <w:sz w:val="23"/>
          <w:szCs w:val="23"/>
          <w:spacing w:val="3"/>
        </w:rPr>
        <w:t>(1)</w:t>
      </w:r>
      <w:r>
        <w:rPr>
          <w:rFonts w:ascii="SimHei" w:hAnsi="SimHei" w:eastAsia="SimHei" w:cs="SimHei"/>
          <w:sz w:val="23"/>
          <w:szCs w:val="23"/>
          <w:spacing w:val="14"/>
        </w:rPr>
        <w:t xml:space="preserve">      </w:t>
      </w:r>
      <w:r>
        <w:rPr>
          <w:rFonts w:ascii="SimHei" w:hAnsi="SimHei" w:eastAsia="SimHei" w:cs="SimHei"/>
          <w:sz w:val="23"/>
          <w:szCs w:val="23"/>
          <w:b/>
          <w:bCs/>
          <w:spacing w:val="3"/>
        </w:rPr>
        <w:t>行政处罚及市场禁入决定书</w:t>
      </w:r>
    </w:p>
    <w:p>
      <w:pPr>
        <w:spacing w:line="233" w:lineRule="exact"/>
        <w:rPr/>
      </w:pPr>
      <w:r/>
    </w:p>
    <w:tbl>
      <w:tblPr>
        <w:tblStyle w:val="TableNormal"/>
        <w:tblW w:w="8029" w:type="dxa"/>
        <w:tblInd w:w="153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03"/>
        <w:gridCol w:w="1328"/>
        <w:gridCol w:w="5498"/>
      </w:tblGrid>
      <w:tr>
        <w:trPr>
          <w:trHeight w:val="375" w:hRule="atLeast"/>
        </w:trPr>
        <w:tc>
          <w:tcPr>
            <w:shd w:val="clear" w:fill="4F81BD"/>
            <w:tcW w:w="8029" w:type="dxa"/>
            <w:vAlign w:val="top"/>
            <w:gridSpan w:val="3"/>
          </w:tcPr>
          <w:p>
            <w:pPr>
              <w:pStyle w:val="TableText"/>
              <w:ind w:left="108"/>
              <w:spacing w:before="119" w:line="206" w:lineRule="auto"/>
              <w:rPr/>
            </w:pPr>
            <w:r>
              <w:rPr>
                <w:b/>
                <w:bCs/>
                <w:color w:val="FFFFFF"/>
                <w:spacing w:val="1"/>
              </w:rPr>
              <w:t>公司代码</w:t>
            </w:r>
            <w:r>
              <w:rPr>
                <w:color w:val="FFFFFF"/>
                <w:spacing w:val="37"/>
              </w:rPr>
              <w:t xml:space="preserve">  </w:t>
            </w:r>
            <w:r>
              <w:rPr>
                <w:b/>
                <w:bCs/>
                <w:color w:val="FFFFFF"/>
                <w:spacing w:val="1"/>
              </w:rPr>
              <w:t>公司简称</w:t>
            </w:r>
            <w:r>
              <w:rPr>
                <w:color w:val="FFFFFF"/>
                <w:spacing w:val="1"/>
              </w:rPr>
              <w:t xml:space="preserve">           </w:t>
            </w:r>
            <w:r>
              <w:rPr>
                <w:color w:val="FFFFFF"/>
              </w:rPr>
              <w:t xml:space="preserve">               </w:t>
            </w:r>
            <w:r>
              <w:rPr>
                <w:b/>
                <w:bCs/>
                <w:color w:val="FFFFFF"/>
              </w:rPr>
              <w:t>违规行为</w:t>
            </w:r>
          </w:p>
        </w:tc>
      </w:tr>
      <w:tr>
        <w:trPr>
          <w:trHeight w:val="1069" w:hRule="atLeast"/>
        </w:trPr>
        <w:tc>
          <w:tcPr>
            <w:shd w:val="clear" w:fill="B7CBE3"/>
            <w:tcW w:w="1203" w:type="dxa"/>
            <w:vAlign w:val="top"/>
          </w:tcPr>
          <w:p>
            <w:pPr>
              <w:spacing w:line="411" w:lineRule="auto"/>
              <w:rPr>
                <w:rFonts w:ascii="Arial"/>
                <w:sz w:val="21"/>
              </w:rPr>
            </w:pPr>
            <w:r/>
          </w:p>
          <w:p>
            <w:pPr>
              <w:pStyle w:val="TableText"/>
              <w:ind w:left="95"/>
              <w:spacing w:before="72" w:line="183" w:lineRule="auto"/>
              <w:rPr/>
            </w:pPr>
            <w:r>
              <w:rPr>
                <w:spacing w:val="-2"/>
              </w:rPr>
              <w:t>002564</w:t>
            </w:r>
          </w:p>
        </w:tc>
        <w:tc>
          <w:tcPr>
            <w:shd w:val="clear" w:fill="B7CBE3"/>
            <w:tcW w:w="1328" w:type="dxa"/>
            <w:vAlign w:val="top"/>
          </w:tcPr>
          <w:p>
            <w:pPr>
              <w:spacing w:line="355" w:lineRule="auto"/>
              <w:rPr>
                <w:rFonts w:ascii="Arial"/>
                <w:sz w:val="21"/>
              </w:rPr>
            </w:pPr>
            <w:r/>
          </w:p>
          <w:p>
            <w:pPr>
              <w:pStyle w:val="TableText"/>
              <w:ind w:left="101"/>
              <w:spacing w:before="72" w:line="220" w:lineRule="auto"/>
              <w:rPr/>
            </w:pPr>
            <w:r>
              <w:rPr>
                <w:spacing w:val="-2"/>
              </w:rPr>
              <w:t>*ST天沃</w:t>
            </w:r>
          </w:p>
        </w:tc>
        <w:tc>
          <w:tcPr>
            <w:shd w:val="clear" w:fill="B7CBE3"/>
            <w:tcW w:w="5498" w:type="dxa"/>
            <w:vAlign w:val="top"/>
          </w:tcPr>
          <w:p>
            <w:pPr>
              <w:pStyle w:val="TableText"/>
              <w:ind w:left="103" w:right="4" w:hanging="90"/>
              <w:spacing w:before="86" w:line="272" w:lineRule="auto"/>
              <w:jc w:val="both"/>
              <w:rPr/>
            </w:pPr>
            <w:r>
              <w:rPr>
                <w:spacing w:val="-2"/>
              </w:rPr>
              <w:t>定期报告存在</w:t>
            </w:r>
            <w:r>
              <w:rPr>
                <w:b/>
                <w:bCs/>
                <w:spacing w:val="-2"/>
              </w:rPr>
              <w:t>虚假记载；</w:t>
            </w:r>
            <w:r>
              <w:rPr>
                <w:spacing w:val="-2"/>
              </w:rPr>
              <w:t>未按规定披露</w:t>
            </w:r>
            <w:r>
              <w:rPr>
                <w:b/>
                <w:bCs/>
                <w:spacing w:val="-2"/>
              </w:rPr>
              <w:t>关联交易</w:t>
            </w:r>
            <w:r>
              <w:rPr>
                <w:spacing w:val="-2"/>
              </w:rPr>
              <w:t>；未</w:t>
            </w:r>
            <w:r>
              <w:rPr>
                <w:spacing w:val="-3"/>
              </w:rPr>
              <w:t>按规</w:t>
            </w:r>
            <w:r>
              <w:rPr/>
              <w:t xml:space="preserve"> </w:t>
            </w:r>
            <w:r>
              <w:rPr>
                <w:spacing w:val="-1"/>
              </w:rPr>
              <w:t>定披露</w:t>
            </w:r>
            <w:r>
              <w:rPr>
                <w:b/>
                <w:bCs/>
                <w:spacing w:val="-1"/>
              </w:rPr>
              <w:t>募集资金</w:t>
            </w:r>
            <w:r>
              <w:rPr>
                <w:spacing w:val="-1"/>
              </w:rPr>
              <w:t>使用情况；未及时披露《2022</w:t>
            </w:r>
            <w:r>
              <w:rPr>
                <w:b/>
                <w:bCs/>
                <w:spacing w:val="-1"/>
              </w:rPr>
              <w:t>年年度报</w:t>
            </w:r>
            <w:r>
              <w:rPr/>
              <w:t xml:space="preserve">  </w:t>
            </w:r>
            <w:r>
              <w:rPr>
                <w:spacing w:val="3"/>
              </w:rPr>
              <w:t>告》。</w:t>
            </w:r>
          </w:p>
        </w:tc>
      </w:tr>
      <w:tr>
        <w:trPr>
          <w:trHeight w:val="2918" w:hRule="atLeast"/>
        </w:trPr>
        <w:tc>
          <w:tcPr>
            <w:tcW w:w="8029" w:type="dxa"/>
            <w:vAlign w:val="top"/>
            <w:gridSpan w:val="3"/>
          </w:tcPr>
          <w:p>
            <w:pPr>
              <w:pStyle w:val="TableText"/>
              <w:spacing w:before="126" w:line="219" w:lineRule="auto"/>
              <w:rPr/>
            </w:pPr>
            <w:r>
              <w:rPr>
                <w:b/>
                <w:bCs/>
                <w:spacing w:val="5"/>
              </w:rPr>
              <w:t>【行政处罚决定】</w:t>
            </w:r>
            <w:r>
              <w:rPr>
                <w:spacing w:val="5"/>
              </w:rPr>
              <w:t>中国证监会决定：</w:t>
            </w:r>
          </w:p>
          <w:p>
            <w:pPr>
              <w:pStyle w:val="TableText"/>
              <w:ind w:left="224"/>
              <w:spacing w:before="101" w:line="218" w:lineRule="auto"/>
              <w:rPr/>
            </w:pPr>
            <w:r>
              <w:rPr>
                <w:spacing w:val="3"/>
              </w:rPr>
              <w:t>(一)对苏州天沃科技股份有限公司责令改正，给予警告，并处以350万元罚</w:t>
            </w:r>
            <w:r>
              <w:rPr>
                <w:spacing w:val="2"/>
              </w:rPr>
              <w:t>款；</w:t>
            </w:r>
          </w:p>
          <w:p>
            <w:pPr>
              <w:pStyle w:val="TableText"/>
              <w:ind w:left="105" w:right="187" w:firstLine="109"/>
              <w:spacing w:before="89" w:line="259" w:lineRule="auto"/>
              <w:rPr/>
            </w:pPr>
            <w:r>
              <w:rPr>
                <w:spacing w:val="1"/>
              </w:rPr>
              <w:t>(二)对时任高管王某、时任高管、总经理林某给予警告</w:t>
            </w:r>
            <w:r>
              <w:rPr/>
              <w:t>，并分别处以100万元罚 </w:t>
            </w:r>
            <w:r>
              <w:rPr>
                <w:spacing w:val="-5"/>
              </w:rPr>
              <w:t>款</w:t>
            </w:r>
            <w:r>
              <w:rPr>
                <w:spacing w:val="60"/>
              </w:rPr>
              <w:t xml:space="preserve"> </w:t>
            </w:r>
            <w:r>
              <w:rPr>
                <w:spacing w:val="-5"/>
              </w:rPr>
              <w:t>；</w:t>
            </w:r>
          </w:p>
          <w:p>
            <w:pPr>
              <w:pStyle w:val="TableText"/>
              <w:ind w:left="105"/>
              <w:spacing w:before="104" w:line="268" w:lineRule="auto"/>
              <w:rPr/>
            </w:pPr>
            <w:r>
              <w:rPr/>
              <w:t>(三)对时任董事长司某培、时任董事、时任总经理俞某庆、时任</w:t>
            </w:r>
            <w:r>
              <w:rPr>
                <w:spacing w:val="-1"/>
              </w:rPr>
              <w:t>高管、时任董事、</w:t>
            </w:r>
            <w:r>
              <w:rPr/>
              <w:t xml:space="preserve"> </w:t>
            </w:r>
            <w:r>
              <w:rPr>
                <w:spacing w:val="-3"/>
              </w:rPr>
              <w:t>时任董秘王某给予警告，并分别处以50万元罚款</w:t>
            </w:r>
          </w:p>
          <w:p>
            <w:pPr>
              <w:pStyle w:val="TableText"/>
              <w:ind w:left="105" w:right="267" w:firstLine="139"/>
              <w:spacing w:before="79" w:line="259" w:lineRule="auto"/>
              <w:rPr/>
            </w:pPr>
            <w:r>
              <w:rPr>
                <w:spacing w:val="1"/>
              </w:rPr>
              <w:t>(四)对时任董事长易某荣、时任总经理彭某义给予警告</w:t>
            </w:r>
            <w:r>
              <w:rPr/>
              <w:t>，并分别处以20万元罚 </w:t>
            </w:r>
            <w:r>
              <w:rPr>
                <w:spacing w:val="-1"/>
              </w:rPr>
              <w:t>款。</w:t>
            </w:r>
          </w:p>
        </w:tc>
      </w:tr>
      <w:tr>
        <w:trPr>
          <w:trHeight w:val="1089" w:hRule="atLeast"/>
        </w:trPr>
        <w:tc>
          <w:tcPr>
            <w:shd w:val="clear" w:fill="B7CBE3"/>
            <w:tcW w:w="1203" w:type="dxa"/>
            <w:vAlign w:val="top"/>
          </w:tcPr>
          <w:p>
            <w:pPr>
              <w:spacing w:line="424" w:lineRule="auto"/>
              <w:rPr>
                <w:rFonts w:ascii="Arial"/>
                <w:sz w:val="21"/>
              </w:rPr>
            </w:pPr>
            <w:r/>
          </w:p>
          <w:p>
            <w:pPr>
              <w:pStyle w:val="TableText"/>
              <w:ind w:left="95"/>
              <w:spacing w:before="72" w:line="183" w:lineRule="auto"/>
              <w:rPr/>
            </w:pPr>
            <w:r>
              <w:rPr>
                <w:spacing w:val="-2"/>
              </w:rPr>
              <w:t>002503</w:t>
            </w:r>
          </w:p>
        </w:tc>
        <w:tc>
          <w:tcPr>
            <w:shd w:val="clear" w:fill="B7CBE3"/>
            <w:tcW w:w="1328" w:type="dxa"/>
            <w:vAlign w:val="top"/>
          </w:tcPr>
          <w:p>
            <w:pPr>
              <w:spacing w:line="368" w:lineRule="auto"/>
              <w:rPr>
                <w:rFonts w:ascii="Arial"/>
                <w:sz w:val="21"/>
              </w:rPr>
            </w:pPr>
            <w:r/>
          </w:p>
          <w:p>
            <w:pPr>
              <w:pStyle w:val="TableText"/>
              <w:ind w:left="101"/>
              <w:spacing w:before="71" w:line="219" w:lineRule="auto"/>
              <w:rPr/>
            </w:pPr>
            <w:r>
              <w:rPr>
                <w:spacing w:val="-2"/>
              </w:rPr>
              <w:t>*ST搜特</w:t>
            </w:r>
          </w:p>
        </w:tc>
        <w:tc>
          <w:tcPr>
            <w:shd w:val="clear" w:fill="B7CBE3"/>
            <w:tcW w:w="5498" w:type="dxa"/>
            <w:vAlign w:val="top"/>
          </w:tcPr>
          <w:p>
            <w:pPr>
              <w:pStyle w:val="TableText"/>
              <w:ind w:left="214"/>
              <w:spacing w:before="107" w:line="219" w:lineRule="auto"/>
              <w:rPr/>
            </w:pPr>
            <w:r>
              <w:rPr/>
              <w:t>2020年半年报、2020年年报、202</w:t>
            </w:r>
            <w:r>
              <w:rPr>
                <w:spacing w:val="-1"/>
              </w:rPr>
              <w:t>1年年报存在</w:t>
            </w:r>
            <w:r>
              <w:rPr>
                <w:b/>
                <w:bCs/>
                <w:spacing w:val="-1"/>
              </w:rPr>
              <w:t>虚假记</w:t>
            </w:r>
          </w:p>
          <w:p>
            <w:pPr>
              <w:pStyle w:val="TableText"/>
              <w:ind w:left="217"/>
              <w:spacing w:before="81" w:line="384" w:lineRule="exact"/>
              <w:rPr/>
            </w:pPr>
            <w:r>
              <w:rPr>
                <w:b/>
                <w:bCs/>
                <w:spacing w:val="-1"/>
                <w:position w:val="12"/>
              </w:rPr>
              <w:t>载</w:t>
            </w:r>
            <w:r>
              <w:rPr>
                <w:spacing w:val="-1"/>
                <w:position w:val="12"/>
              </w:rPr>
              <w:t>；未按规定披露</w:t>
            </w:r>
            <w:r>
              <w:rPr>
                <w:b/>
                <w:bCs/>
                <w:spacing w:val="-1"/>
                <w:position w:val="12"/>
              </w:rPr>
              <w:t>关联交易</w:t>
            </w:r>
            <w:r>
              <w:rPr>
                <w:spacing w:val="-1"/>
                <w:position w:val="12"/>
              </w:rPr>
              <w:t>，2021年年报存在重大遗</w:t>
            </w:r>
          </w:p>
          <w:p>
            <w:pPr>
              <w:pStyle w:val="TableText"/>
              <w:ind w:left="103"/>
              <w:spacing w:before="1" w:line="205" w:lineRule="auto"/>
              <w:rPr/>
            </w:pPr>
            <w:r>
              <w:rPr/>
              <w:t>漏。</w:t>
            </w:r>
          </w:p>
        </w:tc>
      </w:tr>
      <w:tr>
        <w:trPr>
          <w:trHeight w:val="729" w:hRule="atLeast"/>
        </w:trPr>
        <w:tc>
          <w:tcPr>
            <w:tcW w:w="8029" w:type="dxa"/>
            <w:vAlign w:val="top"/>
            <w:gridSpan w:val="3"/>
          </w:tcPr>
          <w:p>
            <w:pPr>
              <w:pStyle w:val="TableText"/>
              <w:ind w:left="105" w:firstLine="13"/>
              <w:spacing w:before="110" w:line="252" w:lineRule="auto"/>
              <w:rPr/>
            </w:pPr>
            <w:r>
              <w:rPr>
                <w:b/>
                <w:bCs/>
                <w:spacing w:val="-13"/>
              </w:rPr>
              <w:t>【行政处罚决定】</w:t>
            </w:r>
            <w:r>
              <w:rPr>
                <w:spacing w:val="-13"/>
              </w:rPr>
              <w:t>中国证券监督管理委员会广东监管局决定：对搜于特集团股份有限公</w:t>
            </w:r>
            <w:r>
              <w:rPr>
                <w:spacing w:val="15"/>
              </w:rPr>
              <w:t xml:space="preserve"> </w:t>
            </w:r>
            <w:r>
              <w:rPr>
                <w:spacing w:val="-1"/>
              </w:rPr>
              <w:t>司责令改正，给予警告，并处以300万元的罚款。</w:t>
            </w:r>
          </w:p>
        </w:tc>
      </w:tr>
      <w:tr>
        <w:trPr>
          <w:trHeight w:val="350" w:hRule="atLeast"/>
        </w:trPr>
        <w:tc>
          <w:tcPr>
            <w:shd w:val="clear" w:fill="B8CCE4"/>
            <w:tcW w:w="1203" w:type="dxa"/>
            <w:vAlign w:val="top"/>
          </w:tcPr>
          <w:p>
            <w:pPr>
              <w:pStyle w:val="TableText"/>
              <w:ind w:left="95"/>
              <w:spacing w:before="130" w:line="176" w:lineRule="auto"/>
              <w:rPr/>
            </w:pPr>
            <w:r>
              <w:rPr>
                <w:spacing w:val="-2"/>
              </w:rPr>
              <w:t>002431</w:t>
            </w:r>
          </w:p>
        </w:tc>
        <w:tc>
          <w:tcPr>
            <w:shd w:val="clear" w:fill="B8CCE4"/>
            <w:tcW w:w="1328" w:type="dxa"/>
            <w:vAlign w:val="top"/>
          </w:tcPr>
          <w:p>
            <w:pPr>
              <w:pStyle w:val="TableText"/>
              <w:ind w:left="101"/>
              <w:spacing w:before="74" w:line="219" w:lineRule="auto"/>
              <w:rPr/>
            </w:pPr>
            <w:r>
              <w:rPr>
                <w:spacing w:val="-2"/>
              </w:rPr>
              <w:t>棕榈股份</w:t>
            </w:r>
          </w:p>
        </w:tc>
        <w:tc>
          <w:tcPr>
            <w:shd w:val="clear" w:fill="B8CCE4"/>
            <w:tcW w:w="5498" w:type="dxa"/>
            <w:vAlign w:val="top"/>
          </w:tcPr>
          <w:p>
            <w:pPr>
              <w:pStyle w:val="TableText"/>
              <w:ind w:left="103"/>
              <w:spacing w:before="70" w:line="219" w:lineRule="auto"/>
              <w:rPr/>
            </w:pPr>
            <w:r>
              <w:rPr>
                <w:spacing w:val="-1"/>
              </w:rPr>
              <w:t>棕榈股份未对</w:t>
            </w:r>
            <w:r>
              <w:rPr>
                <w:b/>
                <w:bCs/>
                <w:spacing w:val="-1"/>
              </w:rPr>
              <w:t>土地收储</w:t>
            </w:r>
            <w:r>
              <w:rPr>
                <w:spacing w:val="-1"/>
              </w:rPr>
              <w:t>事项及时履行信息披露义务。</w:t>
            </w:r>
          </w:p>
        </w:tc>
      </w:tr>
      <w:tr>
        <w:trPr>
          <w:trHeight w:val="729" w:hRule="atLeast"/>
        </w:trPr>
        <w:tc>
          <w:tcPr>
            <w:tcW w:w="8029" w:type="dxa"/>
            <w:vAlign w:val="top"/>
            <w:gridSpan w:val="3"/>
          </w:tcPr>
          <w:p>
            <w:pPr>
              <w:pStyle w:val="TableText"/>
              <w:ind w:left="106" w:hanging="106"/>
              <w:spacing w:before="120" w:line="251" w:lineRule="auto"/>
              <w:rPr/>
            </w:pPr>
            <w:r>
              <w:rPr>
                <w:b/>
                <w:bCs/>
                <w:spacing w:val="-4"/>
              </w:rPr>
              <w:t>【行政处罚决定】</w:t>
            </w:r>
            <w:r>
              <w:rPr>
                <w:spacing w:val="-4"/>
              </w:rPr>
              <w:t>中国证券监督管理委员会河南监管局决定：责令棕榈生态城镇发展</w:t>
            </w:r>
            <w:r>
              <w:rPr>
                <w:spacing w:val="7"/>
              </w:rPr>
              <w:t xml:space="preserve"> </w:t>
            </w:r>
            <w:r>
              <w:rPr>
                <w:spacing w:val="-1"/>
              </w:rPr>
              <w:t>股份有限公司改正，给予警告，并处以150万元罚款。</w:t>
            </w:r>
          </w:p>
        </w:tc>
      </w:tr>
      <w:tr>
        <w:trPr>
          <w:trHeight w:val="1089" w:hRule="atLeast"/>
        </w:trPr>
        <w:tc>
          <w:tcPr>
            <w:shd w:val="clear" w:fill="B7CBE3"/>
            <w:tcW w:w="1203" w:type="dxa"/>
            <w:vAlign w:val="top"/>
          </w:tcPr>
          <w:p>
            <w:pPr>
              <w:spacing w:line="427" w:lineRule="auto"/>
              <w:rPr>
                <w:rFonts w:ascii="Arial"/>
                <w:sz w:val="21"/>
              </w:rPr>
            </w:pPr>
            <w:r/>
          </w:p>
          <w:p>
            <w:pPr>
              <w:pStyle w:val="TableText"/>
              <w:ind w:left="95"/>
              <w:spacing w:before="72" w:line="183" w:lineRule="auto"/>
              <w:rPr/>
            </w:pPr>
            <w:r>
              <w:rPr>
                <w:spacing w:val="-2"/>
              </w:rPr>
              <w:t>002433</w:t>
            </w:r>
          </w:p>
        </w:tc>
        <w:tc>
          <w:tcPr>
            <w:shd w:val="clear" w:fill="B7CBE3"/>
            <w:tcW w:w="1328" w:type="dxa"/>
            <w:vAlign w:val="top"/>
          </w:tcPr>
          <w:p>
            <w:pPr>
              <w:spacing w:line="372" w:lineRule="auto"/>
              <w:rPr>
                <w:rFonts w:ascii="Arial"/>
                <w:sz w:val="21"/>
              </w:rPr>
            </w:pPr>
            <w:r/>
          </w:p>
          <w:p>
            <w:pPr>
              <w:pStyle w:val="TableText"/>
              <w:ind w:left="101"/>
              <w:spacing w:before="71" w:line="221" w:lineRule="auto"/>
              <w:rPr/>
            </w:pPr>
            <w:r>
              <w:rPr>
                <w:spacing w:val="4"/>
              </w:rPr>
              <w:t>*</w:t>
            </w:r>
            <w:r>
              <w:rPr/>
              <w:t>ST</w:t>
            </w:r>
            <w:r>
              <w:rPr>
                <w:spacing w:val="4"/>
              </w:rPr>
              <w:t>太安</w:t>
            </w:r>
          </w:p>
        </w:tc>
        <w:tc>
          <w:tcPr>
            <w:shd w:val="clear" w:fill="B7CBE3"/>
            <w:tcW w:w="5498" w:type="dxa"/>
            <w:vAlign w:val="top"/>
          </w:tcPr>
          <w:p>
            <w:pPr>
              <w:pStyle w:val="TableText"/>
              <w:ind w:left="123" w:right="204" w:firstLine="90"/>
              <w:spacing w:before="92" w:line="276" w:lineRule="auto"/>
              <w:jc w:val="both"/>
              <w:rPr/>
            </w:pPr>
            <w:r>
              <w:rPr>
                <w:spacing w:val="-1"/>
              </w:rPr>
              <w:t>2018年至2021年年度报告存在</w:t>
            </w:r>
            <w:r>
              <w:rPr>
                <w:b/>
                <w:bCs/>
                <w:spacing w:val="-1"/>
              </w:rPr>
              <w:t>虚假记载</w:t>
            </w:r>
            <w:r>
              <w:rPr>
                <w:spacing w:val="-1"/>
              </w:rPr>
              <w:t>；未按规定披</w:t>
            </w:r>
            <w:r>
              <w:rPr>
                <w:spacing w:val="16"/>
              </w:rPr>
              <w:t xml:space="preserve"> </w:t>
            </w:r>
            <w:r>
              <w:rPr>
                <w:b/>
                <w:bCs/>
                <w:spacing w:val="3"/>
              </w:rPr>
              <w:t>露关联交易，</w:t>
            </w:r>
            <w:r>
              <w:rPr>
                <w:spacing w:val="3"/>
              </w:rPr>
              <w:t>2018年至2021年年度报告、2022</w:t>
            </w:r>
            <w:r>
              <w:rPr>
                <w:spacing w:val="2"/>
              </w:rPr>
              <w:t>年半年</w:t>
            </w:r>
            <w:r>
              <w:rPr/>
              <w:t xml:space="preserve"> </w:t>
            </w:r>
            <w:r>
              <w:rPr/>
              <w:t>度报告存在重大遗漏。</w:t>
            </w:r>
          </w:p>
        </w:tc>
      </w:tr>
      <w:tr>
        <w:trPr>
          <w:trHeight w:val="3247" w:hRule="atLeast"/>
        </w:trPr>
        <w:tc>
          <w:tcPr>
            <w:tcW w:w="8029" w:type="dxa"/>
            <w:vAlign w:val="top"/>
            <w:gridSpan w:val="3"/>
          </w:tcPr>
          <w:p>
            <w:pPr>
              <w:pStyle w:val="TableText"/>
              <w:spacing w:before="92" w:line="219" w:lineRule="auto"/>
              <w:rPr/>
            </w:pPr>
            <w:r>
              <w:rPr>
                <w:b/>
                <w:bCs/>
                <w:spacing w:val="3"/>
              </w:rPr>
              <w:t>【行政处罚决定】</w:t>
            </w:r>
            <w:r>
              <w:rPr>
                <w:spacing w:val="3"/>
              </w:rPr>
              <w:t>中国证券监督管理委员会广东监管局决定：</w:t>
            </w:r>
          </w:p>
          <w:p>
            <w:pPr>
              <w:pStyle w:val="TableText"/>
              <w:spacing w:before="110" w:line="218" w:lineRule="auto"/>
              <w:jc w:val="right"/>
              <w:rPr/>
            </w:pPr>
            <w:r>
              <w:rPr>
                <w:spacing w:val="3"/>
              </w:rPr>
              <w:t>(一)对广东太安堂药业股份有限公司责令改正，给予警告</w:t>
            </w:r>
            <w:r>
              <w:rPr>
                <w:spacing w:val="2"/>
              </w:rPr>
              <w:t>，并处以420万元罚款；</w:t>
            </w:r>
          </w:p>
          <w:p>
            <w:pPr>
              <w:pStyle w:val="TableText"/>
              <w:ind w:left="95" w:firstLine="149"/>
              <w:spacing w:before="90" w:line="273" w:lineRule="auto"/>
              <w:rPr/>
            </w:pPr>
            <w:r>
              <w:rPr>
                <w:spacing w:val="-1"/>
              </w:rPr>
              <w:t>(二)对实际控制人，时任董事长，时任总经理柯某彬给予警告，并处以500万元罚</w:t>
            </w:r>
            <w:r>
              <w:rPr>
                <w:spacing w:val="1"/>
              </w:rPr>
              <w:t xml:space="preserve"> </w:t>
            </w:r>
            <w:r>
              <w:rPr>
                <w:spacing w:val="-1"/>
              </w:rPr>
              <w:t>款，其中作为直接负责的主管人员处以200万元罚款，作为实际控制人处以300万元</w:t>
            </w:r>
            <w:r>
              <w:rPr>
                <w:spacing w:val="5"/>
              </w:rPr>
              <w:t xml:space="preserve"> </w:t>
            </w:r>
            <w:r>
              <w:rPr>
                <w:spacing w:val="-7"/>
              </w:rPr>
              <w:t>罚</w:t>
            </w:r>
            <w:r>
              <w:rPr>
                <w:spacing w:val="-10"/>
              </w:rPr>
              <w:t xml:space="preserve"> </w:t>
            </w:r>
            <w:r>
              <w:rPr>
                <w:spacing w:val="-7"/>
              </w:rPr>
              <w:t>款</w:t>
            </w:r>
            <w:r>
              <w:rPr>
                <w:spacing w:val="-21"/>
              </w:rPr>
              <w:t xml:space="preserve"> </w:t>
            </w:r>
            <w:r>
              <w:rPr>
                <w:spacing w:val="-7"/>
              </w:rPr>
              <w:t>；</w:t>
            </w:r>
          </w:p>
          <w:p>
            <w:pPr>
              <w:pStyle w:val="TableText"/>
              <w:ind w:left="234"/>
              <w:spacing w:before="113" w:line="218" w:lineRule="auto"/>
              <w:rPr/>
            </w:pPr>
            <w:r>
              <w:rPr>
                <w:spacing w:val="4"/>
              </w:rPr>
              <w:t>(三)对时任财务总监余某给予警告，并处以150万元</w:t>
            </w:r>
            <w:r>
              <w:rPr>
                <w:spacing w:val="3"/>
              </w:rPr>
              <w:t>罚款；</w:t>
            </w:r>
          </w:p>
          <w:p>
            <w:pPr>
              <w:pStyle w:val="TableText"/>
              <w:ind w:left="105" w:firstLine="139"/>
              <w:spacing w:before="100" w:line="262" w:lineRule="auto"/>
              <w:rPr/>
            </w:pPr>
            <w:r>
              <w:rPr>
                <w:color w:val="003091"/>
                <w:spacing w:val="-1"/>
              </w:rPr>
              <w:t>(四)</w:t>
            </w:r>
            <w:r>
              <w:rPr>
                <w:spacing w:val="-1"/>
              </w:rPr>
              <w:t>对时任高管焦某元、时任高管，时任董事柯某芳给予警告，并分别处以100万</w:t>
            </w:r>
            <w:r>
              <w:rPr>
                <w:spacing w:val="1"/>
              </w:rPr>
              <w:t xml:space="preserve"> </w:t>
            </w:r>
            <w:r>
              <w:rPr>
                <w:spacing w:val="25"/>
              </w:rPr>
              <w:t>元罚款</w:t>
            </w:r>
            <w:r>
              <w:rPr>
                <w:spacing w:val="-52"/>
              </w:rPr>
              <w:t xml:space="preserve"> </w:t>
            </w:r>
            <w:r>
              <w:rPr>
                <w:spacing w:val="25"/>
              </w:rPr>
              <w:t>；</w:t>
            </w:r>
          </w:p>
          <w:p>
            <w:pPr>
              <w:pStyle w:val="TableText"/>
              <w:ind w:left="234"/>
              <w:spacing w:before="96" w:line="212" w:lineRule="auto"/>
              <w:rPr/>
            </w:pPr>
            <w:r>
              <w:rPr/>
              <w:t>(五)对时任董事宋某清、时任高管谢某松给予警告，并分别处以50万元罚</w:t>
            </w:r>
            <w:r>
              <w:rPr>
                <w:spacing w:val="-1"/>
              </w:rPr>
              <w:t>款。</w:t>
            </w:r>
          </w:p>
        </w:tc>
      </w:tr>
      <w:tr>
        <w:trPr>
          <w:trHeight w:val="1094" w:hRule="atLeast"/>
        </w:trPr>
        <w:tc>
          <w:tcPr>
            <w:shd w:val="clear" w:fill="B7CBE3"/>
            <w:tcW w:w="1203" w:type="dxa"/>
            <w:vAlign w:val="top"/>
          </w:tcPr>
          <w:p>
            <w:pPr>
              <w:spacing w:line="431" w:lineRule="auto"/>
              <w:rPr>
                <w:rFonts w:ascii="Arial"/>
                <w:sz w:val="21"/>
              </w:rPr>
            </w:pPr>
            <w:r/>
          </w:p>
          <w:p>
            <w:pPr>
              <w:pStyle w:val="TableText"/>
              <w:ind w:left="95"/>
              <w:spacing w:before="72" w:line="183" w:lineRule="auto"/>
              <w:rPr/>
            </w:pPr>
            <w:r>
              <w:rPr>
                <w:spacing w:val="-2"/>
              </w:rPr>
              <w:t>600545</w:t>
            </w:r>
          </w:p>
        </w:tc>
        <w:tc>
          <w:tcPr>
            <w:shd w:val="clear" w:fill="B7CBE3"/>
            <w:tcW w:w="1328" w:type="dxa"/>
            <w:vAlign w:val="top"/>
          </w:tcPr>
          <w:p>
            <w:pPr>
              <w:spacing w:line="375" w:lineRule="auto"/>
              <w:rPr>
                <w:rFonts w:ascii="Arial"/>
                <w:sz w:val="21"/>
              </w:rPr>
            </w:pPr>
            <w:r/>
          </w:p>
          <w:p>
            <w:pPr>
              <w:pStyle w:val="TableText"/>
              <w:ind w:left="101"/>
              <w:spacing w:before="72" w:line="220" w:lineRule="auto"/>
              <w:rPr/>
            </w:pPr>
            <w:r>
              <w:rPr>
                <w:spacing w:val="2"/>
              </w:rPr>
              <w:t>卓郎智能</w:t>
            </w:r>
          </w:p>
        </w:tc>
        <w:tc>
          <w:tcPr>
            <w:shd w:val="clear" w:fill="B7CBE3"/>
            <w:tcW w:w="5498" w:type="dxa"/>
            <w:vAlign w:val="top"/>
          </w:tcPr>
          <w:p>
            <w:pPr>
              <w:pStyle w:val="TableText"/>
              <w:ind w:left="147" w:right="202" w:firstLine="66"/>
              <w:spacing w:before="125" w:line="268" w:lineRule="auto"/>
              <w:jc w:val="both"/>
              <w:rPr/>
            </w:pPr>
            <w:r>
              <w:rPr>
                <w:spacing w:val="-1"/>
              </w:rPr>
              <w:t>2019年至2021年存</w:t>
            </w:r>
            <w:r>
              <w:rPr>
                <w:b/>
                <w:bCs/>
                <w:spacing w:val="-1"/>
              </w:rPr>
              <w:t>在非经营资金往来关联交易</w:t>
            </w:r>
            <w:r>
              <w:rPr>
                <w:spacing w:val="-1"/>
              </w:rPr>
              <w:t>未如实</w:t>
            </w:r>
            <w:r>
              <w:rPr>
                <w:spacing w:val="9"/>
              </w:rPr>
              <w:t xml:space="preserve"> </w:t>
            </w:r>
            <w:r>
              <w:rPr>
                <w:spacing w:val="1"/>
              </w:rPr>
              <w:t>披露的情形；2021年和2022年存在</w:t>
            </w:r>
            <w:r>
              <w:rPr>
                <w:b/>
                <w:bCs/>
                <w:spacing w:val="1"/>
              </w:rPr>
              <w:t>关联关系及关联方</w:t>
            </w:r>
            <w:r>
              <w:rPr>
                <w:spacing w:val="11"/>
              </w:rPr>
              <w:t xml:space="preserve"> </w:t>
            </w:r>
            <w:r>
              <w:rPr>
                <w:b/>
                <w:bCs/>
                <w:spacing w:val="-1"/>
              </w:rPr>
              <w:t>应收账款</w:t>
            </w:r>
            <w:r>
              <w:rPr>
                <w:spacing w:val="-1"/>
              </w:rPr>
              <w:t>未如实披露的情形。</w:t>
            </w:r>
          </w:p>
        </w:tc>
      </w:tr>
    </w:tbl>
    <w:p>
      <w:pPr>
        <w:pStyle w:val="BodyText"/>
        <w:rPr/>
      </w:pPr>
      <w:r/>
    </w:p>
    <w:p>
      <w:pPr>
        <w:sectPr>
          <w:pgSz w:w="11910" w:h="16840"/>
          <w:pgMar w:top="399" w:right="455" w:bottom="0" w:left="380"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2173" w:hRule="atLeast"/>
        </w:trPr>
        <w:tc>
          <w:tcPr>
            <w:tcW w:w="8055" w:type="dxa"/>
            <w:vAlign w:val="top"/>
            <w:gridSpan w:val="3"/>
            <w:tcBorders>
              <w:top w:val="single" w:color="4F81BD" w:sz="2" w:space="0"/>
            </w:tcBorders>
          </w:tcPr>
          <w:p>
            <w:pPr>
              <w:ind w:left="118"/>
              <w:spacing w:before="97"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中国证券监督管理委员会新疆监管局</w:t>
            </w:r>
            <w:r>
              <w:rPr>
                <w:rFonts w:ascii="Microsoft YaHei" w:hAnsi="Microsoft YaHei" w:eastAsia="Microsoft YaHei" w:cs="Microsoft YaHei"/>
                <w:sz w:val="21"/>
                <w:szCs w:val="21"/>
                <w:spacing w:val="-2"/>
              </w:rPr>
              <w:t>决定：</w:t>
            </w:r>
          </w:p>
          <w:p>
            <w:pPr>
              <w:ind w:left="135"/>
              <w:spacing w:before="68"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（一）对卓郎智能技术股份有限公司责令改正，给予警告，并处以 150 万元罚款；</w:t>
            </w:r>
          </w:p>
          <w:p>
            <w:pPr>
              <w:ind w:left="105" w:right="103" w:firstLine="29"/>
              <w:spacing w:before="74"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（二）对董事长,实际控制人潘某平给予警告，并处以  2</w:t>
            </w:r>
            <w:r>
              <w:rPr>
                <w:rFonts w:ascii="Microsoft YaHei" w:hAnsi="Microsoft YaHei" w:eastAsia="Microsoft YaHei" w:cs="Microsoft YaHei"/>
                <w:sz w:val="21"/>
                <w:szCs w:val="21"/>
                <w:spacing w:val="-6"/>
              </w:rPr>
              <w:t>00</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spacing w:val="-6"/>
              </w:rPr>
              <w:t>万元罚款，</w:t>
            </w:r>
            <w:r>
              <w:rPr>
                <w:rFonts w:ascii="Microsoft YaHei" w:hAnsi="Microsoft YaHei" w:eastAsia="Microsoft YaHei" w:cs="Microsoft YaHei"/>
                <w:sz w:val="21"/>
                <w:szCs w:val="21"/>
                <w:spacing w:val="55"/>
                <w:w w:val="101"/>
              </w:rPr>
              <w:t xml:space="preserve"> </w:t>
            </w:r>
            <w:r>
              <w:rPr>
                <w:rFonts w:ascii="Microsoft YaHei" w:hAnsi="Microsoft YaHei" w:eastAsia="Microsoft YaHei" w:cs="Microsoft YaHei"/>
                <w:sz w:val="21"/>
                <w:szCs w:val="21"/>
                <w:spacing w:val="-6"/>
              </w:rPr>
              <w:t>其中，</w:t>
            </w:r>
            <w:r>
              <w:rPr>
                <w:rFonts w:ascii="Microsoft YaHei" w:hAnsi="Microsoft YaHei" w:eastAsia="Microsoft YaHei" w:cs="Microsoft YaHei"/>
                <w:sz w:val="21"/>
                <w:szCs w:val="21"/>
                <w:spacing w:val="40"/>
                <w:w w:val="101"/>
              </w:rPr>
              <w:t xml:space="preserve"> </w:t>
            </w:r>
            <w:r>
              <w:rPr>
                <w:rFonts w:ascii="Microsoft YaHei" w:hAnsi="Microsoft YaHei" w:eastAsia="Microsoft YaHei" w:cs="Microsoft YaHei"/>
                <w:sz w:val="21"/>
                <w:szCs w:val="21"/>
                <w:spacing w:val="-6"/>
              </w:rPr>
              <w:t>作为直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接负责的主管人员处以 80 万元罚款,作为实际控制人处以 120 万元罚款；</w:t>
            </w:r>
          </w:p>
          <w:p>
            <w:pPr>
              <w:ind w:left="135"/>
              <w:spacing w:before="68"/>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（三）</w:t>
            </w:r>
            <w:r>
              <w:rPr>
                <w:rFonts w:ascii="Microsoft YaHei" w:hAnsi="Microsoft YaHei" w:eastAsia="Microsoft YaHei" w:cs="Microsoft YaHei"/>
                <w:sz w:val="21"/>
                <w:szCs w:val="21"/>
                <w:spacing w:val="34"/>
                <w:w w:val="101"/>
              </w:rPr>
              <w:t xml:space="preserve"> </w:t>
            </w:r>
            <w:r>
              <w:rPr>
                <w:rFonts w:ascii="Microsoft YaHei" w:hAnsi="Microsoft YaHei" w:eastAsia="Microsoft YaHei" w:cs="Microsoft YaHei"/>
                <w:sz w:val="21"/>
                <w:szCs w:val="21"/>
                <w:spacing w:val="-5"/>
              </w:rPr>
              <w:t>对董事会秘书曾某平给予警告，并处以 60 万元罚款；</w:t>
            </w:r>
          </w:p>
          <w:p>
            <w:pPr>
              <w:ind w:left="135"/>
              <w:spacing w:before="1"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9"/>
              </w:rPr>
              <w:t>（四）</w:t>
            </w:r>
            <w:r>
              <w:rPr>
                <w:rFonts w:ascii="Microsoft YaHei" w:hAnsi="Microsoft YaHei" w:eastAsia="Microsoft YaHei" w:cs="Microsoft YaHei"/>
                <w:sz w:val="21"/>
                <w:szCs w:val="21"/>
                <w:spacing w:val="21"/>
                <w:w w:val="101"/>
              </w:rPr>
              <w:t xml:space="preserve"> </w:t>
            </w:r>
            <w:r>
              <w:rPr>
                <w:rFonts w:ascii="Microsoft YaHei" w:hAnsi="Microsoft YaHei" w:eastAsia="Microsoft YaHei" w:cs="Microsoft YaHei"/>
                <w:sz w:val="21"/>
                <w:szCs w:val="21"/>
                <w:spacing w:val="-9"/>
              </w:rPr>
              <w:t>对监事张某平给予警告，</w:t>
            </w:r>
            <w:r>
              <w:rPr>
                <w:rFonts w:ascii="Microsoft YaHei" w:hAnsi="Microsoft YaHei" w:eastAsia="Microsoft YaHei" w:cs="Microsoft YaHei"/>
                <w:sz w:val="21"/>
                <w:szCs w:val="21"/>
                <w:spacing w:val="38"/>
              </w:rPr>
              <w:t xml:space="preserve"> </w:t>
            </w:r>
            <w:r>
              <w:rPr>
                <w:rFonts w:ascii="Microsoft YaHei" w:hAnsi="Microsoft YaHei" w:eastAsia="Microsoft YaHei" w:cs="Microsoft YaHei"/>
                <w:sz w:val="21"/>
                <w:szCs w:val="21"/>
                <w:spacing w:val="-9"/>
              </w:rPr>
              <w:t>并处以 50 万元罚款。</w:t>
            </w:r>
          </w:p>
        </w:tc>
      </w:tr>
      <w:tr>
        <w:trPr>
          <w:trHeight w:val="366" w:hRule="atLeast"/>
        </w:trPr>
        <w:tc>
          <w:tcPr>
            <w:shd w:val="clear" w:fill="B8CCE4"/>
            <w:tcW w:w="1214" w:type="dxa"/>
            <w:vAlign w:val="top"/>
          </w:tcPr>
          <w:p>
            <w:pPr>
              <w:ind w:left="114"/>
              <w:spacing w:before="100"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600485</w:t>
            </w:r>
          </w:p>
        </w:tc>
        <w:tc>
          <w:tcPr>
            <w:shd w:val="clear" w:fill="B8CCE4"/>
            <w:tcW w:w="1345" w:type="dxa"/>
            <w:vAlign w:val="top"/>
          </w:tcPr>
          <w:p>
            <w:pPr>
              <w:ind w:left="104"/>
              <w:spacing w:before="91"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信威</w:t>
            </w:r>
          </w:p>
        </w:tc>
        <w:tc>
          <w:tcPr>
            <w:shd w:val="clear" w:fill="B8CCE4"/>
            <w:tcW w:w="5496" w:type="dxa"/>
            <w:vAlign w:val="top"/>
          </w:tcPr>
          <w:p>
            <w:pPr>
              <w:ind w:left="100"/>
              <w:spacing w:before="91"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信威集团信息披露存在</w:t>
            </w:r>
            <w:r>
              <w:rPr>
                <w:rFonts w:ascii="Microsoft YaHei" w:hAnsi="Microsoft YaHei" w:eastAsia="Microsoft YaHei" w:cs="Microsoft YaHei"/>
                <w:sz w:val="21"/>
                <w:szCs w:val="21"/>
                <w:b/>
                <w:bCs/>
              </w:rPr>
              <w:t>虚假记载。</w:t>
            </w:r>
          </w:p>
        </w:tc>
      </w:tr>
      <w:tr>
        <w:trPr>
          <w:trHeight w:val="2525" w:hRule="atLeast"/>
        </w:trPr>
        <w:tc>
          <w:tcPr>
            <w:tcW w:w="8055" w:type="dxa"/>
            <w:vAlign w:val="top"/>
            <w:gridSpan w:val="3"/>
          </w:tcPr>
          <w:p>
            <w:pPr>
              <w:ind w:left="118"/>
              <w:spacing w:before="89"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中国证券监督管理委员会北京监管局</w:t>
            </w:r>
            <w:r>
              <w:rPr>
                <w:rFonts w:ascii="Microsoft YaHei" w:hAnsi="Microsoft YaHei" w:eastAsia="Microsoft YaHei" w:cs="Microsoft YaHei"/>
                <w:sz w:val="21"/>
                <w:szCs w:val="21"/>
                <w:spacing w:val="-2"/>
              </w:rPr>
              <w:t>决定：</w:t>
            </w:r>
          </w:p>
          <w:p>
            <w:pPr>
              <w:ind w:left="105" w:right="107" w:firstLine="29"/>
              <w:spacing w:before="69"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（一）对北京信威科技集团股份有限公司责令改正，给予警告，并处以 9</w:t>
            </w:r>
            <w:r>
              <w:rPr>
                <w:rFonts w:ascii="Microsoft YaHei" w:hAnsi="Microsoft YaHei" w:eastAsia="Microsoft YaHei" w:cs="Microsoft YaHei"/>
                <w:sz w:val="21"/>
                <w:szCs w:val="21"/>
                <w:spacing w:val="-2"/>
              </w:rPr>
              <w:t>00 万元的罚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款；</w:t>
            </w:r>
          </w:p>
          <w:p>
            <w:pPr>
              <w:ind w:left="107" w:right="143" w:firstLine="27"/>
              <w:spacing w:before="67"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（二）</w:t>
            </w:r>
            <w:r>
              <w:rPr>
                <w:rFonts w:ascii="Microsoft YaHei" w:hAnsi="Microsoft YaHei" w:eastAsia="Microsoft YaHei" w:cs="Microsoft YaHei"/>
                <w:sz w:val="21"/>
                <w:szCs w:val="21"/>
                <w:spacing w:val="38"/>
                <w:w w:val="101"/>
              </w:rPr>
              <w:t xml:space="preserve"> </w:t>
            </w:r>
            <w:r>
              <w:rPr>
                <w:rFonts w:ascii="Microsoft YaHei" w:hAnsi="Microsoft YaHei" w:eastAsia="Microsoft YaHei" w:cs="Microsoft YaHei"/>
                <w:sz w:val="21"/>
                <w:szCs w:val="21"/>
                <w:spacing w:val="-5"/>
              </w:rPr>
              <w:t>对实际控制人王某给予警告， 并处以 1,500 万元的罚款，其中作为直接负责的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主管人员处以 500 万元的罚款，</w:t>
            </w:r>
            <w:r>
              <w:rPr>
                <w:rFonts w:ascii="Microsoft YaHei" w:hAnsi="Microsoft YaHei" w:eastAsia="Microsoft YaHei" w:cs="Microsoft YaHei"/>
                <w:sz w:val="21"/>
                <w:szCs w:val="21"/>
                <w:spacing w:val="36"/>
                <w:w w:val="101"/>
              </w:rPr>
              <w:t xml:space="preserve"> </w:t>
            </w:r>
            <w:r>
              <w:rPr>
                <w:rFonts w:ascii="Microsoft YaHei" w:hAnsi="Microsoft YaHei" w:eastAsia="Microsoft YaHei" w:cs="Microsoft YaHei"/>
                <w:sz w:val="21"/>
                <w:szCs w:val="21"/>
                <w:spacing w:val="-4"/>
              </w:rPr>
              <w:t>作为实际控制人处以 1,000 万元的罚</w:t>
            </w:r>
            <w:r>
              <w:rPr>
                <w:rFonts w:ascii="Microsoft YaHei" w:hAnsi="Microsoft YaHei" w:eastAsia="Microsoft YaHei" w:cs="Microsoft YaHei"/>
                <w:sz w:val="21"/>
                <w:szCs w:val="21"/>
                <w:spacing w:val="-5"/>
              </w:rPr>
              <w:t>款；</w:t>
            </w:r>
          </w:p>
          <w:p>
            <w:pPr>
              <w:ind w:left="112" w:right="268" w:firstLine="22"/>
              <w:spacing w:before="67"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（三）</w:t>
            </w:r>
            <w:r>
              <w:rPr>
                <w:rFonts w:ascii="Microsoft YaHei" w:hAnsi="Microsoft YaHei" w:eastAsia="Microsoft YaHei" w:cs="Microsoft YaHei"/>
                <w:sz w:val="21"/>
                <w:szCs w:val="21"/>
                <w:spacing w:val="26"/>
              </w:rPr>
              <w:t xml:space="preserve"> </w:t>
            </w:r>
            <w:r>
              <w:rPr>
                <w:rFonts w:ascii="Microsoft YaHei" w:hAnsi="Microsoft YaHei" w:eastAsia="Microsoft YaHei" w:cs="Microsoft YaHei"/>
                <w:sz w:val="21"/>
                <w:szCs w:val="21"/>
                <w:spacing w:val="-3"/>
              </w:rPr>
              <w:t>对时任高管,时任董事,时任财务总监余某、时任高管刘某给予警告，并分别处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以 150 万元的罚款。</w:t>
            </w:r>
          </w:p>
        </w:tc>
      </w:tr>
      <w:tr>
        <w:trPr>
          <w:trHeight w:val="723" w:hRule="atLeast"/>
        </w:trPr>
        <w:tc>
          <w:tcPr>
            <w:shd w:val="clear" w:fill="B8CCE4"/>
            <w:tcW w:w="1214" w:type="dxa"/>
            <w:vAlign w:val="top"/>
          </w:tcPr>
          <w:p>
            <w:pPr>
              <w:ind w:left="117"/>
              <w:spacing w:before="28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300367</w:t>
            </w:r>
          </w:p>
        </w:tc>
        <w:tc>
          <w:tcPr>
            <w:shd w:val="clear" w:fill="B8CCE4"/>
            <w:tcW w:w="1345" w:type="dxa"/>
            <w:vAlign w:val="top"/>
          </w:tcPr>
          <w:p>
            <w:pPr>
              <w:ind w:left="113"/>
              <w:spacing w:before="270" w:line="19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网力退</w:t>
            </w:r>
          </w:p>
        </w:tc>
        <w:tc>
          <w:tcPr>
            <w:shd w:val="clear" w:fill="B8CCE4"/>
            <w:tcW w:w="5496" w:type="dxa"/>
            <w:vAlign w:val="top"/>
          </w:tcPr>
          <w:p>
            <w:pPr>
              <w:ind w:left="102" w:right="207" w:hanging="3"/>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8"/>
              </w:rPr>
              <w:t>东方网力 2017 年、</w:t>
            </w:r>
            <w:r>
              <w:rPr>
                <w:rFonts w:ascii="Microsoft YaHei" w:hAnsi="Microsoft YaHei" w:eastAsia="Microsoft YaHei" w:cs="Microsoft YaHei"/>
                <w:sz w:val="21"/>
                <w:szCs w:val="21"/>
                <w:spacing w:val="20"/>
              </w:rPr>
              <w:t xml:space="preserve"> </w:t>
            </w:r>
            <w:r>
              <w:rPr>
                <w:rFonts w:ascii="Microsoft YaHei" w:hAnsi="Microsoft YaHei" w:eastAsia="Microsoft YaHei" w:cs="Microsoft YaHei"/>
                <w:sz w:val="21"/>
                <w:szCs w:val="21"/>
                <w:spacing w:val="-8"/>
              </w:rPr>
              <w:t>2018 年、</w:t>
            </w:r>
            <w:r>
              <w:rPr>
                <w:rFonts w:ascii="Microsoft YaHei" w:hAnsi="Microsoft YaHei" w:eastAsia="Microsoft YaHei" w:cs="Microsoft YaHei"/>
                <w:sz w:val="21"/>
                <w:szCs w:val="21"/>
                <w:spacing w:val="20"/>
                <w:w w:val="101"/>
              </w:rPr>
              <w:t xml:space="preserve"> </w:t>
            </w:r>
            <w:r>
              <w:rPr>
                <w:rFonts w:ascii="Microsoft YaHei" w:hAnsi="Microsoft YaHei" w:eastAsia="Microsoft YaHei" w:cs="Microsoft YaHei"/>
                <w:sz w:val="21"/>
                <w:szCs w:val="21"/>
                <w:spacing w:val="-8"/>
              </w:rPr>
              <w:t>2</w:t>
            </w:r>
            <w:r>
              <w:rPr>
                <w:rFonts w:ascii="Microsoft YaHei" w:hAnsi="Microsoft YaHei" w:eastAsia="Microsoft YaHei" w:cs="Microsoft YaHei"/>
                <w:sz w:val="21"/>
                <w:szCs w:val="21"/>
                <w:spacing w:val="-9"/>
              </w:rPr>
              <w:t>019 年、</w:t>
            </w:r>
            <w:r>
              <w:rPr>
                <w:rFonts w:ascii="Microsoft YaHei" w:hAnsi="Microsoft YaHei" w:eastAsia="Microsoft YaHei" w:cs="Microsoft YaHei"/>
                <w:sz w:val="21"/>
                <w:szCs w:val="21"/>
                <w:spacing w:val="19"/>
              </w:rPr>
              <w:t xml:space="preserve"> </w:t>
            </w:r>
            <w:r>
              <w:rPr>
                <w:rFonts w:ascii="Microsoft YaHei" w:hAnsi="Microsoft YaHei" w:eastAsia="Microsoft YaHei" w:cs="Microsoft YaHei"/>
                <w:sz w:val="21"/>
                <w:szCs w:val="21"/>
                <w:spacing w:val="-9"/>
              </w:rPr>
              <w:t>2020 年年度报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告存在</w:t>
            </w:r>
            <w:r>
              <w:rPr>
                <w:rFonts w:ascii="Microsoft YaHei" w:hAnsi="Microsoft YaHei" w:eastAsia="Microsoft YaHei" w:cs="Microsoft YaHei"/>
                <w:sz w:val="21"/>
                <w:szCs w:val="21"/>
                <w:b/>
                <w:bCs/>
                <w:spacing w:val="-1"/>
              </w:rPr>
              <w:t>虚假记载。</w:t>
            </w:r>
          </w:p>
        </w:tc>
      </w:tr>
      <w:tr>
        <w:trPr>
          <w:trHeight w:val="2884" w:hRule="atLeast"/>
        </w:trPr>
        <w:tc>
          <w:tcPr>
            <w:tcW w:w="8055" w:type="dxa"/>
            <w:vAlign w:val="top"/>
            <w:gridSpan w:val="3"/>
          </w:tcPr>
          <w:p>
            <w:pPr>
              <w:ind w:left="118"/>
              <w:spacing w:before="95"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中国证券监督管理委员会北京监管局</w:t>
            </w:r>
            <w:r>
              <w:rPr>
                <w:rFonts w:ascii="Microsoft YaHei" w:hAnsi="Microsoft YaHei" w:eastAsia="Microsoft YaHei" w:cs="Microsoft YaHei"/>
                <w:sz w:val="21"/>
                <w:szCs w:val="21"/>
                <w:spacing w:val="-2"/>
              </w:rPr>
              <w:t>决定：</w:t>
            </w:r>
          </w:p>
          <w:p>
            <w:pPr>
              <w:ind w:left="105" w:right="146" w:firstLine="29"/>
              <w:spacing w:before="67" w:line="22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（一）对东方网力科技股份有限公司责令改正，给予警告，并处以 300</w:t>
            </w:r>
            <w:r>
              <w:rPr>
                <w:rFonts w:ascii="Microsoft YaHei" w:hAnsi="Microsoft YaHei" w:eastAsia="Microsoft YaHei" w:cs="Microsoft YaHei"/>
                <w:sz w:val="21"/>
                <w:szCs w:val="21"/>
                <w:spacing w:val="-3"/>
              </w:rPr>
              <w:t xml:space="preserve"> 万元的罚款；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（二）</w:t>
            </w:r>
            <w:r>
              <w:rPr>
                <w:rFonts w:ascii="Microsoft YaHei" w:hAnsi="Microsoft YaHei" w:eastAsia="Microsoft YaHei" w:cs="Microsoft YaHei"/>
                <w:sz w:val="21"/>
                <w:szCs w:val="21"/>
                <w:spacing w:val="44"/>
              </w:rPr>
              <w:t xml:space="preserve"> </w:t>
            </w:r>
            <w:r>
              <w:rPr>
                <w:rFonts w:ascii="Microsoft YaHei" w:hAnsi="Microsoft YaHei" w:eastAsia="Microsoft YaHei" w:cs="Microsoft YaHei"/>
                <w:sz w:val="21"/>
                <w:szCs w:val="21"/>
                <w:spacing w:val="-3"/>
              </w:rPr>
              <w:t>对法定代表人,时任董事,时任总经理赵某军给予警告，并处以 150 万元的罚     </w:t>
            </w:r>
            <w:r>
              <w:rPr>
                <w:rFonts w:ascii="Microsoft YaHei" w:hAnsi="Microsoft YaHei" w:eastAsia="Microsoft YaHei" w:cs="Microsoft YaHei"/>
                <w:sz w:val="21"/>
                <w:szCs w:val="21"/>
                <w:spacing w:val="-11"/>
              </w:rPr>
              <w:t>款；</w:t>
            </w:r>
          </w:p>
          <w:p>
            <w:pPr>
              <w:ind w:left="135"/>
              <w:spacing w:before="67"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8"/>
              </w:rPr>
              <w:t>（三）</w:t>
            </w:r>
            <w:r>
              <w:rPr>
                <w:rFonts w:ascii="Microsoft YaHei" w:hAnsi="Microsoft YaHei" w:eastAsia="Microsoft YaHei" w:cs="Microsoft YaHei"/>
                <w:sz w:val="21"/>
                <w:szCs w:val="21"/>
                <w:spacing w:val="34"/>
                <w:w w:val="101"/>
              </w:rPr>
              <w:t xml:space="preserve"> </w:t>
            </w:r>
            <w:r>
              <w:rPr>
                <w:rFonts w:ascii="Microsoft YaHei" w:hAnsi="Microsoft YaHei" w:eastAsia="Microsoft YaHei" w:cs="Microsoft YaHei"/>
                <w:sz w:val="21"/>
                <w:szCs w:val="21"/>
                <w:spacing w:val="-8"/>
              </w:rPr>
              <w:t>对时任董事长赵某给予警告，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8"/>
              </w:rPr>
              <w:t>并处以 150 万元的罚款；</w:t>
            </w:r>
          </w:p>
          <w:p>
            <w:pPr>
              <w:ind w:left="135"/>
              <w:spacing w:before="74"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（四）</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4"/>
              </w:rPr>
              <w:t>对时任董事,时任财务总监蒋某给予警告，并处以 100 </w:t>
            </w:r>
            <w:r>
              <w:rPr>
                <w:rFonts w:ascii="Microsoft YaHei" w:hAnsi="Microsoft YaHei" w:eastAsia="Microsoft YaHei" w:cs="Microsoft YaHei"/>
                <w:sz w:val="21"/>
                <w:szCs w:val="21"/>
                <w:spacing w:val="-5"/>
              </w:rPr>
              <w:t>万元的罚款；</w:t>
            </w:r>
          </w:p>
          <w:p>
            <w:pPr>
              <w:ind w:left="135" w:right="380"/>
              <w:spacing w:before="75"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（五）</w:t>
            </w:r>
            <w:r>
              <w:rPr>
                <w:rFonts w:ascii="Microsoft YaHei" w:hAnsi="Microsoft YaHei" w:eastAsia="Microsoft YaHei" w:cs="Microsoft YaHei"/>
                <w:sz w:val="21"/>
                <w:szCs w:val="21"/>
                <w:spacing w:val="29"/>
              </w:rPr>
              <w:t xml:space="preserve"> </w:t>
            </w:r>
            <w:r>
              <w:rPr>
                <w:rFonts w:ascii="Microsoft YaHei" w:hAnsi="Microsoft YaHei" w:eastAsia="Microsoft YaHei" w:cs="Microsoft YaHei"/>
                <w:sz w:val="21"/>
                <w:szCs w:val="21"/>
                <w:spacing w:val="-7"/>
              </w:rPr>
              <w:t>对法定代表人,时任董事,时任总经理邹某给予警告，</w:t>
            </w:r>
            <w:r>
              <w:rPr>
                <w:rFonts w:ascii="Microsoft YaHei" w:hAnsi="Microsoft YaHei" w:eastAsia="Microsoft YaHei" w:cs="Microsoft YaHei"/>
                <w:sz w:val="21"/>
                <w:szCs w:val="21"/>
                <w:spacing w:val="38"/>
                <w:w w:val="101"/>
              </w:rPr>
              <w:t xml:space="preserve"> </w:t>
            </w:r>
            <w:r>
              <w:rPr>
                <w:rFonts w:ascii="Microsoft YaHei" w:hAnsi="Microsoft YaHei" w:eastAsia="Microsoft YaHei" w:cs="Microsoft YaHei"/>
                <w:sz w:val="21"/>
                <w:szCs w:val="21"/>
                <w:spacing w:val="-7"/>
              </w:rPr>
              <w:t>并处以 50 万元的罚款；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7"/>
              </w:rPr>
              <w:t>（六）</w:t>
            </w:r>
            <w:r>
              <w:rPr>
                <w:rFonts w:ascii="Microsoft YaHei" w:hAnsi="Microsoft YaHei" w:eastAsia="Microsoft YaHei" w:cs="Microsoft YaHei"/>
                <w:sz w:val="21"/>
                <w:szCs w:val="21"/>
                <w:spacing w:val="32"/>
                <w:w w:val="101"/>
              </w:rPr>
              <w:t xml:space="preserve"> </w:t>
            </w:r>
            <w:r>
              <w:rPr>
                <w:rFonts w:ascii="Microsoft YaHei" w:hAnsi="Microsoft YaHei" w:eastAsia="Microsoft YaHei" w:cs="Microsoft YaHei"/>
                <w:sz w:val="21"/>
                <w:szCs w:val="21"/>
                <w:spacing w:val="-7"/>
              </w:rPr>
              <w:t>对时任高管,时任董秘刘某天给予警告，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7"/>
              </w:rPr>
              <w:t>并处以 50 万元的罚款。</w:t>
            </w:r>
          </w:p>
        </w:tc>
      </w:tr>
      <w:tr>
        <w:trPr>
          <w:trHeight w:val="726" w:hRule="atLeast"/>
        </w:trPr>
        <w:tc>
          <w:tcPr>
            <w:shd w:val="clear" w:fill="B8CCE4"/>
            <w:tcW w:w="1214" w:type="dxa"/>
            <w:vAlign w:val="top"/>
          </w:tcPr>
          <w:p>
            <w:pPr>
              <w:ind w:left="114"/>
              <w:spacing w:before="287"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688500</w:t>
            </w:r>
          </w:p>
        </w:tc>
        <w:tc>
          <w:tcPr>
            <w:shd w:val="clear" w:fill="B8CCE4"/>
            <w:tcW w:w="1345" w:type="dxa"/>
            <w:vAlign w:val="top"/>
          </w:tcPr>
          <w:p>
            <w:pPr>
              <w:ind w:left="104"/>
              <w:spacing w:before="278"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*ST 慧辰</w:t>
            </w:r>
          </w:p>
        </w:tc>
        <w:tc>
          <w:tcPr>
            <w:shd w:val="clear" w:fill="B8CCE4"/>
            <w:tcW w:w="5496" w:type="dxa"/>
            <w:vAlign w:val="top"/>
          </w:tcPr>
          <w:p>
            <w:pPr>
              <w:ind w:left="102" w:right="507" w:hanging="7"/>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8"/>
              </w:rPr>
              <w:t>《招股说明书》、</w:t>
            </w:r>
            <w:r>
              <w:rPr>
                <w:rFonts w:ascii="Microsoft YaHei" w:hAnsi="Microsoft YaHei" w:eastAsia="Microsoft YaHei" w:cs="Microsoft YaHei"/>
                <w:sz w:val="21"/>
                <w:szCs w:val="21"/>
                <w:spacing w:val="65"/>
              </w:rPr>
              <w:t xml:space="preserve"> </w:t>
            </w:r>
            <w:r>
              <w:rPr>
                <w:rFonts w:ascii="Microsoft YaHei" w:hAnsi="Microsoft YaHei" w:eastAsia="Microsoft YaHei" w:cs="Microsoft YaHei"/>
                <w:sz w:val="21"/>
                <w:szCs w:val="21"/>
                <w:spacing w:val="-8"/>
              </w:rPr>
              <w:t>2020 年年度报告、</w:t>
            </w:r>
            <w:r>
              <w:rPr>
                <w:rFonts w:ascii="Microsoft YaHei" w:hAnsi="Microsoft YaHei" w:eastAsia="Microsoft YaHei" w:cs="Microsoft YaHei"/>
                <w:sz w:val="21"/>
                <w:szCs w:val="21"/>
                <w:spacing w:val="21"/>
                <w:w w:val="101"/>
              </w:rPr>
              <w:t xml:space="preserve"> </w:t>
            </w:r>
            <w:r>
              <w:rPr>
                <w:rFonts w:ascii="Microsoft YaHei" w:hAnsi="Microsoft YaHei" w:eastAsia="Microsoft YaHei" w:cs="Microsoft YaHei"/>
                <w:sz w:val="21"/>
                <w:szCs w:val="21"/>
                <w:spacing w:val="-8"/>
              </w:rPr>
              <w:t>2021 年年度报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告、</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6"/>
              </w:rPr>
              <w:t>2022 年年度报告存在</w:t>
            </w:r>
            <w:r>
              <w:rPr>
                <w:rFonts w:ascii="Microsoft YaHei" w:hAnsi="Microsoft YaHei" w:eastAsia="Microsoft YaHei" w:cs="Microsoft YaHei"/>
                <w:sz w:val="21"/>
                <w:szCs w:val="21"/>
                <w:b/>
                <w:bCs/>
                <w:spacing w:val="-6"/>
              </w:rPr>
              <w:t>虚假记载。</w:t>
            </w:r>
          </w:p>
        </w:tc>
      </w:tr>
      <w:tr>
        <w:trPr>
          <w:trHeight w:val="2524" w:hRule="atLeast"/>
        </w:trPr>
        <w:tc>
          <w:tcPr>
            <w:tcW w:w="8055" w:type="dxa"/>
            <w:vAlign w:val="top"/>
            <w:gridSpan w:val="3"/>
          </w:tcPr>
          <w:p>
            <w:pPr>
              <w:ind w:left="118"/>
              <w:spacing w:before="96"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中国证券监督管理委员会北京监管局决定:</w:t>
            </w:r>
          </w:p>
          <w:p>
            <w:pPr>
              <w:ind w:left="105" w:right="97" w:firstLine="29"/>
              <w:spacing w:before="69"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（一）对北京慧辰资道资讯股份有限公司责令改正，给予警告，并处以 500 万元的罚</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11"/>
              </w:rPr>
              <w:t>款；</w:t>
            </w:r>
          </w:p>
          <w:p>
            <w:pPr>
              <w:ind w:left="135"/>
              <w:spacing w:before="67"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8"/>
              </w:rPr>
              <w:t>（二）</w:t>
            </w:r>
            <w:r>
              <w:rPr>
                <w:rFonts w:ascii="Microsoft YaHei" w:hAnsi="Microsoft YaHei" w:eastAsia="Microsoft YaHei" w:cs="Microsoft YaHei"/>
                <w:sz w:val="21"/>
                <w:szCs w:val="21"/>
                <w:spacing w:val="34"/>
                <w:w w:val="101"/>
              </w:rPr>
              <w:t xml:space="preserve"> </w:t>
            </w:r>
            <w:r>
              <w:rPr>
                <w:rFonts w:ascii="Microsoft YaHei" w:hAnsi="Microsoft YaHei" w:eastAsia="Microsoft YaHei" w:cs="Microsoft YaHei"/>
                <w:sz w:val="21"/>
                <w:szCs w:val="21"/>
                <w:spacing w:val="-8"/>
              </w:rPr>
              <w:t>对时任高管何某臣给予警告，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8"/>
              </w:rPr>
              <w:t>并处以 300 万元的罚款；</w:t>
            </w:r>
          </w:p>
          <w:p>
            <w:pPr>
              <w:ind w:left="135" w:right="1145"/>
              <w:spacing w:before="76" w:line="215"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（三）</w:t>
            </w:r>
            <w:r>
              <w:rPr>
                <w:rFonts w:ascii="Microsoft YaHei" w:hAnsi="Microsoft YaHei" w:eastAsia="Microsoft YaHei" w:cs="Microsoft YaHei"/>
                <w:sz w:val="21"/>
                <w:szCs w:val="21"/>
                <w:spacing w:val="31"/>
              </w:rPr>
              <w:t xml:space="preserve"> </w:t>
            </w:r>
            <w:r>
              <w:rPr>
                <w:rFonts w:ascii="Microsoft YaHei" w:hAnsi="Microsoft YaHei" w:eastAsia="Microsoft YaHei" w:cs="Microsoft YaHei"/>
                <w:sz w:val="21"/>
                <w:szCs w:val="21"/>
                <w:spacing w:val="-5"/>
              </w:rPr>
              <w:t>对时任董事长,时任总经理赵某给予警告，并处以 300 万元的罚款；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（四）</w:t>
            </w:r>
            <w:r>
              <w:rPr>
                <w:rFonts w:ascii="Microsoft YaHei" w:hAnsi="Microsoft YaHei" w:eastAsia="Microsoft YaHei" w:cs="Microsoft YaHei"/>
                <w:sz w:val="21"/>
                <w:szCs w:val="21"/>
                <w:spacing w:val="25"/>
                <w:w w:val="101"/>
              </w:rPr>
              <w:t xml:space="preserve"> </w:t>
            </w:r>
            <w:r>
              <w:rPr>
                <w:rFonts w:ascii="Microsoft YaHei" w:hAnsi="Microsoft YaHei" w:eastAsia="Microsoft YaHei" w:cs="Microsoft YaHei"/>
                <w:sz w:val="21"/>
                <w:szCs w:val="21"/>
                <w:spacing w:val="-6"/>
              </w:rPr>
              <w:t>对时任高管,时任董秘徐某武给予警告，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6"/>
              </w:rPr>
              <w:t>并处以 250 万元的罚款；</w:t>
            </w:r>
          </w:p>
          <w:p>
            <w:pPr>
              <w:ind w:left="135"/>
              <w:spacing w:before="75"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（五）</w:t>
            </w:r>
            <w:r>
              <w:rPr>
                <w:rFonts w:ascii="Microsoft YaHei" w:hAnsi="Microsoft YaHei" w:eastAsia="Microsoft YaHei" w:cs="Microsoft YaHei"/>
                <w:sz w:val="21"/>
                <w:szCs w:val="21"/>
                <w:spacing w:val="38"/>
              </w:rPr>
              <w:t xml:space="preserve"> </w:t>
            </w:r>
            <w:r>
              <w:rPr>
                <w:rFonts w:ascii="Microsoft YaHei" w:hAnsi="Microsoft YaHei" w:eastAsia="Microsoft YaHei" w:cs="Microsoft YaHei"/>
                <w:sz w:val="21"/>
                <w:szCs w:val="21"/>
                <w:spacing w:val="-5"/>
              </w:rPr>
              <w:t>对时任高管,时任董事马某给予警告，并处以 250 万元的罚款。</w:t>
            </w:r>
          </w:p>
        </w:tc>
      </w:tr>
      <w:tr>
        <w:trPr>
          <w:trHeight w:val="364" w:hRule="atLeast"/>
        </w:trPr>
        <w:tc>
          <w:tcPr>
            <w:shd w:val="clear" w:fill="B8CCE4"/>
            <w:tcW w:w="1214" w:type="dxa"/>
            <w:vAlign w:val="top"/>
          </w:tcPr>
          <w:p>
            <w:pPr>
              <w:ind w:left="111"/>
              <w:spacing w:before="109" w:line="16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002642</w:t>
            </w:r>
          </w:p>
        </w:tc>
        <w:tc>
          <w:tcPr>
            <w:shd w:val="clear" w:fill="B8CCE4"/>
            <w:tcW w:w="1345" w:type="dxa"/>
            <w:vAlign w:val="top"/>
          </w:tcPr>
          <w:p>
            <w:pPr>
              <w:ind w:left="98"/>
              <w:spacing w:before="98"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荣联科技</w:t>
            </w:r>
          </w:p>
        </w:tc>
        <w:tc>
          <w:tcPr>
            <w:shd w:val="clear" w:fill="B8CCE4"/>
            <w:tcW w:w="5496" w:type="dxa"/>
            <w:vAlign w:val="top"/>
          </w:tcPr>
          <w:p>
            <w:pPr>
              <w:ind w:left="109"/>
              <w:spacing w:before="98"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2016 年、</w:t>
            </w:r>
            <w:r>
              <w:rPr>
                <w:rFonts w:ascii="Microsoft YaHei" w:hAnsi="Microsoft YaHei" w:eastAsia="Microsoft YaHei" w:cs="Microsoft YaHei"/>
                <w:sz w:val="21"/>
                <w:szCs w:val="21"/>
                <w:spacing w:val="20"/>
              </w:rPr>
              <w:t xml:space="preserve"> </w:t>
            </w:r>
            <w:r>
              <w:rPr>
                <w:rFonts w:ascii="Microsoft YaHei" w:hAnsi="Microsoft YaHei" w:eastAsia="Microsoft YaHei" w:cs="Microsoft YaHei"/>
                <w:sz w:val="21"/>
                <w:szCs w:val="21"/>
                <w:spacing w:val="-7"/>
              </w:rPr>
              <w:t>2017 年、</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7"/>
              </w:rPr>
              <w:t>2018 年年度报</w:t>
            </w:r>
            <w:r>
              <w:rPr>
                <w:rFonts w:ascii="Microsoft YaHei" w:hAnsi="Microsoft YaHei" w:eastAsia="Microsoft YaHei" w:cs="Microsoft YaHei"/>
                <w:sz w:val="21"/>
                <w:szCs w:val="21"/>
                <w:spacing w:val="-8"/>
              </w:rPr>
              <w:t>告存在</w:t>
            </w:r>
            <w:r>
              <w:rPr>
                <w:rFonts w:ascii="Microsoft YaHei" w:hAnsi="Microsoft YaHei" w:eastAsia="Microsoft YaHei" w:cs="Microsoft YaHei"/>
                <w:sz w:val="21"/>
                <w:szCs w:val="21"/>
                <w:b/>
                <w:bCs/>
                <w:spacing w:val="-8"/>
              </w:rPr>
              <w:t>虚假记载。</w:t>
            </w:r>
          </w:p>
        </w:tc>
      </w:tr>
      <w:tr>
        <w:trPr>
          <w:trHeight w:val="1445" w:hRule="atLeast"/>
        </w:trPr>
        <w:tc>
          <w:tcPr>
            <w:tcW w:w="8055" w:type="dxa"/>
            <w:vAlign w:val="top"/>
            <w:gridSpan w:val="3"/>
          </w:tcPr>
          <w:p>
            <w:pPr>
              <w:ind w:left="118"/>
              <w:spacing w:before="101"/>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【市场禁入决定】</w:t>
            </w:r>
            <w:r>
              <w:rPr>
                <w:rFonts w:ascii="Microsoft YaHei" w:hAnsi="Microsoft YaHei" w:eastAsia="Microsoft YaHei" w:cs="Microsoft YaHei"/>
                <w:sz w:val="21"/>
                <w:szCs w:val="21"/>
                <w:spacing w:val="-1"/>
              </w:rPr>
              <w:t>中国证券监督管理委员会北京监管局</w:t>
            </w:r>
            <w:r>
              <w:rPr>
                <w:rFonts w:ascii="Microsoft YaHei" w:hAnsi="Microsoft YaHei" w:eastAsia="Microsoft YaHei" w:cs="Microsoft YaHei"/>
                <w:sz w:val="21"/>
                <w:szCs w:val="21"/>
                <w:spacing w:val="-2"/>
              </w:rPr>
              <w:t>决定：</w:t>
            </w:r>
          </w:p>
          <w:p>
            <w:pPr>
              <w:ind w:left="135"/>
              <w:spacing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（一）对时任董事长王某辉采取 5 年证券市场禁入措施；</w:t>
            </w:r>
          </w:p>
          <w:p>
            <w:pPr>
              <w:ind w:left="135"/>
              <w:spacing w:before="74"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6"/>
              </w:rPr>
              <w:t>（二）</w:t>
            </w:r>
            <w:r>
              <w:rPr>
                <w:rFonts w:ascii="Microsoft YaHei" w:hAnsi="Microsoft YaHei" w:eastAsia="Microsoft YaHei" w:cs="Microsoft YaHei"/>
                <w:sz w:val="21"/>
                <w:szCs w:val="21"/>
                <w:spacing w:val="25"/>
              </w:rPr>
              <w:t xml:space="preserve"> </w:t>
            </w:r>
            <w:r>
              <w:rPr>
                <w:rFonts w:ascii="Microsoft YaHei" w:hAnsi="Microsoft YaHei" w:eastAsia="Microsoft YaHei" w:cs="Microsoft YaHei"/>
                <w:sz w:val="21"/>
                <w:szCs w:val="21"/>
                <w:spacing w:val="-6"/>
              </w:rPr>
              <w:t>对时任总经理张某采取 5 年证券市场禁入措施；</w:t>
            </w:r>
          </w:p>
          <w:p>
            <w:pPr>
              <w:ind w:left="135"/>
              <w:spacing w:before="75"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（三）</w:t>
            </w:r>
            <w:r>
              <w:rPr>
                <w:rFonts w:ascii="Microsoft YaHei" w:hAnsi="Microsoft YaHei" w:eastAsia="Microsoft YaHei" w:cs="Microsoft YaHei"/>
                <w:sz w:val="21"/>
                <w:szCs w:val="21"/>
                <w:spacing w:val="30"/>
              </w:rPr>
              <w:t xml:space="preserve"> </w:t>
            </w:r>
            <w:r>
              <w:rPr>
                <w:rFonts w:ascii="Microsoft YaHei" w:hAnsi="Microsoft YaHei" w:eastAsia="Microsoft YaHei" w:cs="Microsoft YaHei"/>
                <w:sz w:val="21"/>
                <w:szCs w:val="21"/>
                <w:spacing w:val="-5"/>
              </w:rPr>
              <w:t>对时任财务总监鞠某涛采取 5 年证券市场禁入措施。</w:t>
            </w:r>
          </w:p>
        </w:tc>
      </w:tr>
      <w:tr>
        <w:trPr>
          <w:trHeight w:val="364" w:hRule="atLeast"/>
        </w:trPr>
        <w:tc>
          <w:tcPr>
            <w:shd w:val="clear" w:fill="B8CCE4"/>
            <w:tcW w:w="1214" w:type="dxa"/>
            <w:vAlign w:val="top"/>
          </w:tcPr>
          <w:p>
            <w:pPr>
              <w:ind w:left="114"/>
              <w:spacing w:before="109" w:line="16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600231</w:t>
            </w:r>
          </w:p>
        </w:tc>
        <w:tc>
          <w:tcPr>
            <w:shd w:val="clear" w:fill="B8CCE4"/>
            <w:tcW w:w="1345" w:type="dxa"/>
            <w:vAlign w:val="top"/>
          </w:tcPr>
          <w:p>
            <w:pPr>
              <w:ind w:left="101"/>
              <w:spacing w:before="101"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凌钢股份</w:t>
            </w:r>
          </w:p>
        </w:tc>
        <w:tc>
          <w:tcPr>
            <w:shd w:val="clear" w:fill="B8CCE4"/>
            <w:tcW w:w="5496" w:type="dxa"/>
            <w:vAlign w:val="top"/>
          </w:tcPr>
          <w:p>
            <w:pPr>
              <w:ind w:left="109"/>
              <w:spacing w:before="101"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时任高管</w:t>
            </w:r>
            <w:r>
              <w:rPr>
                <w:rFonts w:ascii="Microsoft YaHei" w:hAnsi="Microsoft YaHei" w:eastAsia="Microsoft YaHei" w:cs="Microsoft YaHei"/>
                <w:sz w:val="21"/>
                <w:szCs w:val="21"/>
                <w:b/>
                <w:bCs/>
                <w:spacing w:val="-1"/>
              </w:rPr>
              <w:t>泄露内幕信息</w:t>
            </w:r>
            <w:r>
              <w:rPr>
                <w:rFonts w:ascii="Microsoft YaHei" w:hAnsi="Microsoft YaHei" w:eastAsia="Microsoft YaHei" w:cs="Microsoft YaHei"/>
                <w:sz w:val="21"/>
                <w:szCs w:val="21"/>
                <w:spacing w:val="-1"/>
              </w:rPr>
              <w:t>。</w:t>
            </w:r>
          </w:p>
        </w:tc>
      </w:tr>
      <w:tr>
        <w:trPr>
          <w:trHeight w:val="726" w:hRule="atLeast"/>
        </w:trPr>
        <w:tc>
          <w:tcPr>
            <w:tcW w:w="8055" w:type="dxa"/>
            <w:vAlign w:val="top"/>
            <w:gridSpan w:val="3"/>
          </w:tcPr>
          <w:p>
            <w:pPr>
              <w:ind w:left="119" w:right="100" w:hanging="1"/>
              <w:spacing w:before="103"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中国证券监督管理委员会山西监管局决定：对时任高管林某庆处以</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4"/>
              </w:rPr>
              <w:t>500,000 元罚款。</w:t>
            </w:r>
          </w:p>
        </w:tc>
      </w:tr>
      <w:tr>
        <w:trPr>
          <w:trHeight w:val="364" w:hRule="atLeast"/>
        </w:trPr>
        <w:tc>
          <w:tcPr>
            <w:shd w:val="clear" w:fill="B8CCE4"/>
            <w:tcW w:w="1214" w:type="dxa"/>
            <w:vAlign w:val="top"/>
          </w:tcPr>
          <w:p>
            <w:pPr>
              <w:ind w:left="114"/>
              <w:spacing w:before="110" w:line="16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600906</w:t>
            </w:r>
          </w:p>
        </w:tc>
        <w:tc>
          <w:tcPr>
            <w:shd w:val="clear" w:fill="B8CCE4"/>
            <w:tcW w:w="1345" w:type="dxa"/>
            <w:vAlign w:val="top"/>
          </w:tcPr>
          <w:p>
            <w:pPr>
              <w:ind w:left="99"/>
              <w:spacing w:before="101"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财达证券</w:t>
            </w:r>
          </w:p>
        </w:tc>
        <w:tc>
          <w:tcPr>
            <w:shd w:val="clear" w:fill="B8CCE4"/>
            <w:tcW w:w="5496" w:type="dxa"/>
            <w:vAlign w:val="top"/>
          </w:tcPr>
          <w:p>
            <w:pPr>
              <w:ind w:left="100"/>
              <w:spacing w:before="101"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孙某</w:t>
            </w:r>
            <w:r>
              <w:rPr>
                <w:rFonts w:ascii="Microsoft YaHei" w:hAnsi="Microsoft YaHei" w:eastAsia="Microsoft YaHei" w:cs="Microsoft YaHei"/>
                <w:sz w:val="21"/>
                <w:szCs w:val="21"/>
                <w:b/>
                <w:bCs/>
                <w:spacing w:val="-1"/>
              </w:rPr>
              <w:t>控制使用亲属</w:t>
            </w:r>
            <w:r>
              <w:rPr>
                <w:rFonts w:ascii="Microsoft YaHei" w:hAnsi="Microsoft YaHei" w:eastAsia="Microsoft YaHei" w:cs="Microsoft YaHei"/>
                <w:sz w:val="21"/>
                <w:szCs w:val="21"/>
                <w:spacing w:val="-1"/>
              </w:rPr>
              <w:t>“孙某 1”证券账户持有</w:t>
            </w:r>
            <w:r>
              <w:rPr>
                <w:rFonts w:ascii="Microsoft YaHei" w:hAnsi="Microsoft YaHei" w:eastAsia="Microsoft YaHei" w:cs="Microsoft YaHei"/>
                <w:sz w:val="21"/>
                <w:szCs w:val="21"/>
                <w:spacing w:val="-2"/>
              </w:rPr>
              <w:t>、买卖股票。</w:t>
            </w:r>
          </w:p>
        </w:tc>
      </w:tr>
      <w:tr>
        <w:trPr>
          <w:trHeight w:val="736" w:hRule="atLeast"/>
        </w:trPr>
        <w:tc>
          <w:tcPr>
            <w:tcW w:w="8055" w:type="dxa"/>
            <w:vAlign w:val="top"/>
            <w:gridSpan w:val="3"/>
          </w:tcPr>
          <w:p>
            <w:pPr>
              <w:ind w:left="105" w:right="159" w:firstLine="13"/>
              <w:spacing w:before="104"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w:t>
            </w:r>
            <w:r>
              <w:rPr>
                <w:rFonts w:ascii="Microsoft YaHei" w:hAnsi="Microsoft YaHei" w:eastAsia="Microsoft YaHei" w:cs="Microsoft YaHei"/>
                <w:sz w:val="21"/>
                <w:szCs w:val="21"/>
                <w:spacing w:val="-2"/>
              </w:rPr>
              <w:t>中国证券监督管理委员会河北监管局决定： 责令孙某依法处理非法</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rPr>
              <w:t>持有的股票，并对孙某处以三万元的罚款。</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33" w:hRule="atLeast"/>
        </w:trPr>
        <w:tc>
          <w:tcPr>
            <w:shd w:val="clear" w:fill="B8CCE4"/>
            <w:tcW w:w="1214" w:type="dxa"/>
            <w:vAlign w:val="top"/>
            <w:tcBorders>
              <w:top w:val="single" w:color="4F81BD" w:sz="2" w:space="0"/>
            </w:tcBorders>
          </w:tcPr>
          <w:p>
            <w:pPr>
              <w:ind w:left="111"/>
              <w:spacing w:before="286"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000038</w:t>
            </w:r>
          </w:p>
        </w:tc>
        <w:tc>
          <w:tcPr>
            <w:shd w:val="clear" w:fill="B8CCE4"/>
            <w:tcW w:w="1345" w:type="dxa"/>
            <w:vAlign w:val="top"/>
            <w:tcBorders>
              <w:top w:val="single" w:color="4F81BD" w:sz="2" w:space="0"/>
            </w:tcBorders>
          </w:tcPr>
          <w:p>
            <w:pPr>
              <w:ind w:left="98"/>
              <w:spacing w:before="277"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大通退</w:t>
            </w:r>
          </w:p>
        </w:tc>
        <w:tc>
          <w:tcPr>
            <w:shd w:val="clear" w:fill="B8CCE4"/>
            <w:tcW w:w="5496" w:type="dxa"/>
            <w:vAlign w:val="top"/>
            <w:tcBorders>
              <w:top w:val="single" w:color="4F81BD" w:sz="2" w:space="0"/>
            </w:tcBorders>
          </w:tcPr>
          <w:p>
            <w:pPr>
              <w:ind w:left="100" w:right="159"/>
              <w:spacing w:before="9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深大通未能在 2022 年会计年度结束之日起四个月内，按</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1"/>
              </w:rPr>
              <w:t>法律规定报送并披露 2022 年年度报告。</w:t>
            </w:r>
          </w:p>
        </w:tc>
      </w:tr>
      <w:tr>
        <w:trPr>
          <w:trHeight w:val="1445" w:hRule="atLeast"/>
        </w:trPr>
        <w:tc>
          <w:tcPr>
            <w:tcW w:w="8055" w:type="dxa"/>
            <w:vAlign w:val="top"/>
            <w:gridSpan w:val="3"/>
          </w:tcPr>
          <w:p>
            <w:pPr>
              <w:ind w:left="118"/>
              <w:spacing w:before="88"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中国证券监督管理委员会深圳监管局</w:t>
            </w:r>
            <w:r>
              <w:rPr>
                <w:rFonts w:ascii="Microsoft YaHei" w:hAnsi="Microsoft YaHei" w:eastAsia="Microsoft YaHei" w:cs="Microsoft YaHei"/>
                <w:sz w:val="21"/>
                <w:szCs w:val="21"/>
                <w:spacing w:val="-2"/>
              </w:rPr>
              <w:t>决定：</w:t>
            </w:r>
          </w:p>
          <w:p>
            <w:pPr>
              <w:ind w:left="135" w:right="1409"/>
              <w:spacing w:before="67" w:line="21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（一）对深圳大通实业股份有限公司给予警告，并处以一百</w:t>
            </w:r>
            <w:r>
              <w:rPr>
                <w:rFonts w:ascii="Microsoft YaHei" w:hAnsi="Microsoft YaHei" w:eastAsia="Microsoft YaHei" w:cs="Microsoft YaHei"/>
                <w:sz w:val="21"/>
                <w:szCs w:val="21"/>
                <w:spacing w:val="-3"/>
              </w:rPr>
              <w:t>万元罚款；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（二）</w:t>
            </w:r>
            <w:r>
              <w:rPr>
                <w:rFonts w:ascii="Microsoft YaHei" w:hAnsi="Microsoft YaHei" w:eastAsia="Microsoft YaHei" w:cs="Microsoft YaHei"/>
                <w:sz w:val="21"/>
                <w:szCs w:val="21"/>
                <w:spacing w:val="31"/>
              </w:rPr>
              <w:t xml:space="preserve"> </w:t>
            </w:r>
            <w:r>
              <w:rPr>
                <w:rFonts w:ascii="Microsoft YaHei" w:hAnsi="Microsoft YaHei" w:eastAsia="Microsoft YaHei" w:cs="Microsoft YaHei"/>
                <w:sz w:val="21"/>
                <w:szCs w:val="21"/>
                <w:spacing w:val="-5"/>
              </w:rPr>
              <w:t>对时任董事长,时任董秘董某平给予警告，并处以五十万元罚款；</w:t>
            </w:r>
          </w:p>
          <w:p>
            <w:pPr>
              <w:ind w:left="135"/>
              <w:spacing w:before="74"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（三）</w:t>
            </w:r>
            <w:r>
              <w:rPr>
                <w:rFonts w:ascii="Microsoft YaHei" w:hAnsi="Microsoft YaHei" w:eastAsia="Microsoft YaHei" w:cs="Microsoft YaHei"/>
                <w:sz w:val="21"/>
                <w:szCs w:val="21"/>
                <w:spacing w:val="28"/>
                <w:w w:val="101"/>
              </w:rPr>
              <w:t xml:space="preserve"> </w:t>
            </w:r>
            <w:r>
              <w:rPr>
                <w:rFonts w:ascii="Microsoft YaHei" w:hAnsi="Microsoft YaHei" w:eastAsia="Microsoft YaHei" w:cs="Microsoft YaHei"/>
                <w:sz w:val="21"/>
                <w:szCs w:val="21"/>
                <w:spacing w:val="-4"/>
              </w:rPr>
              <w:t>对时任董事李某钢、时任董事王某红给予警告，并分别处以二十万元罚款。</w:t>
            </w:r>
          </w:p>
        </w:tc>
      </w:tr>
      <w:tr>
        <w:trPr>
          <w:trHeight w:val="364" w:hRule="atLeast"/>
        </w:trPr>
        <w:tc>
          <w:tcPr>
            <w:shd w:val="clear" w:fill="B8CCE4"/>
            <w:tcW w:w="1214" w:type="dxa"/>
            <w:vAlign w:val="top"/>
          </w:tcPr>
          <w:p>
            <w:pPr>
              <w:ind w:left="111"/>
              <w:spacing w:before="98"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000600</w:t>
            </w:r>
          </w:p>
        </w:tc>
        <w:tc>
          <w:tcPr>
            <w:shd w:val="clear" w:fill="B8CCE4"/>
            <w:tcW w:w="1345" w:type="dxa"/>
            <w:vAlign w:val="top"/>
          </w:tcPr>
          <w:p>
            <w:pPr>
              <w:ind w:left="98"/>
              <w:spacing w:before="89"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建投能源</w:t>
            </w:r>
          </w:p>
        </w:tc>
        <w:tc>
          <w:tcPr>
            <w:shd w:val="clear" w:fill="B8CCE4"/>
            <w:tcW w:w="5496" w:type="dxa"/>
            <w:vAlign w:val="top"/>
          </w:tcPr>
          <w:p>
            <w:pPr>
              <w:ind w:left="109"/>
              <w:spacing w:before="89"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时任高管</w:t>
            </w:r>
            <w:r>
              <w:rPr>
                <w:rFonts w:ascii="Microsoft YaHei" w:hAnsi="Microsoft YaHei" w:eastAsia="Microsoft YaHei" w:cs="Microsoft YaHei"/>
                <w:sz w:val="21"/>
                <w:szCs w:val="21"/>
                <w:b/>
                <w:bCs/>
                <w:spacing w:val="-3"/>
              </w:rPr>
              <w:t>内幕交易。</w:t>
            </w:r>
          </w:p>
        </w:tc>
      </w:tr>
      <w:tr>
        <w:trPr>
          <w:trHeight w:val="726" w:hRule="atLeast"/>
        </w:trPr>
        <w:tc>
          <w:tcPr>
            <w:tcW w:w="8055" w:type="dxa"/>
            <w:vAlign w:val="top"/>
            <w:gridSpan w:val="3"/>
          </w:tcPr>
          <w:p>
            <w:pPr>
              <w:ind w:left="119" w:right="108" w:hanging="1"/>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1"/>
              </w:rPr>
              <w:t>【行政处罚决定】</w:t>
            </w:r>
            <w:r>
              <w:rPr>
                <w:rFonts w:ascii="Microsoft YaHei" w:hAnsi="Microsoft YaHei" w:eastAsia="Microsoft YaHei" w:cs="Microsoft YaHei"/>
                <w:sz w:val="21"/>
                <w:szCs w:val="21"/>
                <w:b/>
                <w:bCs/>
                <w:spacing w:val="-14"/>
              </w:rPr>
              <w:t xml:space="preserve"> </w:t>
            </w:r>
            <w:r>
              <w:rPr>
                <w:rFonts w:ascii="Microsoft YaHei" w:hAnsi="Microsoft YaHei" w:eastAsia="Microsoft YaHei" w:cs="Microsoft YaHei"/>
                <w:sz w:val="21"/>
                <w:szCs w:val="21"/>
                <w:spacing w:val="11"/>
              </w:rPr>
              <w:t>中国证券监督管理委员会河北监管局决定：</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spacing w:val="11"/>
              </w:rPr>
              <w:t>没收曹某违法所得</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52,554.22 元，并对曹某处以 50 万元罚款。</w:t>
            </w:r>
          </w:p>
        </w:tc>
      </w:tr>
      <w:tr>
        <w:trPr>
          <w:trHeight w:val="1443" w:hRule="atLeast"/>
        </w:trPr>
        <w:tc>
          <w:tcPr>
            <w:shd w:val="clear" w:fill="B8CCE4"/>
            <w:tcW w:w="1214" w:type="dxa"/>
            <w:vAlign w:val="top"/>
          </w:tcPr>
          <w:p>
            <w:pPr>
              <w:spacing w:line="273" w:lineRule="auto"/>
              <w:rPr>
                <w:rFonts w:ascii="Arial"/>
                <w:sz w:val="21"/>
              </w:rPr>
            </w:pPr>
            <w:r/>
          </w:p>
          <w:p>
            <w:pPr>
              <w:spacing w:line="274"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600365</w:t>
            </w:r>
          </w:p>
        </w:tc>
        <w:tc>
          <w:tcPr>
            <w:shd w:val="clear" w:fill="B8CCE4"/>
            <w:tcW w:w="1345" w:type="dxa"/>
            <w:vAlign w:val="top"/>
          </w:tcPr>
          <w:p>
            <w:pPr>
              <w:spacing w:line="268" w:lineRule="auto"/>
              <w:rPr>
                <w:rFonts w:ascii="Arial"/>
                <w:sz w:val="21"/>
              </w:rPr>
            </w:pPr>
            <w:r/>
          </w:p>
          <w:p>
            <w:pPr>
              <w:spacing w:line="269" w:lineRule="auto"/>
              <w:rPr>
                <w:rFonts w:ascii="Arial"/>
                <w:sz w:val="21"/>
              </w:rPr>
            </w:pPr>
            <w:r/>
          </w:p>
          <w:p>
            <w:pPr>
              <w:ind w:left="109"/>
              <w:spacing w:before="90" w:line="19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w:t>
            </w:r>
            <w:r>
              <w:rPr>
                <w:rFonts w:ascii="Microsoft YaHei" w:hAnsi="Microsoft YaHei" w:eastAsia="Microsoft YaHei" w:cs="Microsoft YaHei"/>
                <w:sz w:val="21"/>
                <w:szCs w:val="21"/>
                <w:spacing w:val="-8"/>
              </w:rPr>
              <w:t xml:space="preserve"> </w:t>
            </w:r>
            <w:r>
              <w:rPr>
                <w:rFonts w:ascii="Microsoft YaHei" w:hAnsi="Microsoft YaHei" w:eastAsia="Microsoft YaHei" w:cs="Microsoft YaHei"/>
                <w:sz w:val="21"/>
                <w:szCs w:val="21"/>
                <w:spacing w:val="-3"/>
              </w:rPr>
              <w:t>通葡</w:t>
            </w:r>
          </w:p>
        </w:tc>
        <w:tc>
          <w:tcPr>
            <w:shd w:val="clear" w:fill="B8CCE4"/>
            <w:tcW w:w="5496" w:type="dxa"/>
            <w:vAlign w:val="top"/>
          </w:tcPr>
          <w:p>
            <w:pPr>
              <w:ind w:left="100" w:right="289" w:firstLine="14"/>
              <w:spacing w:before="90" w:line="22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因实际控制人,时任董事主导并隐瞒该</w:t>
            </w:r>
            <w:r>
              <w:rPr>
                <w:rFonts w:ascii="Microsoft YaHei" w:hAnsi="Microsoft YaHei" w:eastAsia="Microsoft YaHei" w:cs="Microsoft YaHei"/>
                <w:sz w:val="21"/>
                <w:szCs w:val="21"/>
                <w:b/>
                <w:bCs/>
                <w:spacing w:val="-1"/>
              </w:rPr>
              <w:t>重大担保</w:t>
            </w:r>
            <w:r>
              <w:rPr>
                <w:rFonts w:ascii="Microsoft YaHei" w:hAnsi="Microsoft YaHei" w:eastAsia="Microsoft YaHei" w:cs="Microsoft YaHei"/>
                <w:sz w:val="21"/>
                <w:szCs w:val="21"/>
                <w:spacing w:val="-1"/>
              </w:rPr>
              <w:t>事项，导</w:t>
            </w:r>
            <w:r>
              <w:rPr>
                <w:rFonts w:ascii="Microsoft YaHei" w:hAnsi="Microsoft YaHei" w:eastAsia="Microsoft YaHei" w:cs="Microsoft YaHei"/>
                <w:sz w:val="21"/>
                <w:szCs w:val="21"/>
                <w:spacing w:val="9"/>
              </w:rPr>
              <w:t xml:space="preserve"> </w:t>
            </w:r>
            <w:r>
              <w:rPr>
                <w:rFonts w:ascii="Microsoft YaHei" w:hAnsi="Microsoft YaHei" w:eastAsia="Microsoft YaHei" w:cs="Microsoft YaHei"/>
                <w:sz w:val="21"/>
                <w:szCs w:val="21"/>
                <w:spacing w:val="-1"/>
              </w:rPr>
              <w:t>致通葡股份未在《2020 年半年度报告》《2020 年年度</w:t>
            </w:r>
            <w:r>
              <w:rPr>
                <w:rFonts w:ascii="Microsoft YaHei" w:hAnsi="Microsoft YaHei" w:eastAsia="Microsoft YaHei" w:cs="Microsoft YaHei"/>
                <w:sz w:val="21"/>
                <w:szCs w:val="21"/>
                <w:spacing w:val="9"/>
              </w:rPr>
              <w:t xml:space="preserve"> </w:t>
            </w:r>
            <w:r>
              <w:rPr>
                <w:rFonts w:ascii="Microsoft YaHei" w:hAnsi="Microsoft YaHei" w:eastAsia="Microsoft YaHei" w:cs="Microsoft YaHei"/>
                <w:sz w:val="21"/>
                <w:szCs w:val="21"/>
                <w:spacing w:val="-1"/>
              </w:rPr>
              <w:t>报告》《2021 年半年度报告》《2021 年年度报告》</w:t>
            </w:r>
          </w:p>
          <w:p>
            <w:pPr>
              <w:ind w:left="95"/>
              <w:spacing w:before="67"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《2022 年半年度报告》中进行披露。</w:t>
            </w:r>
          </w:p>
        </w:tc>
      </w:tr>
      <w:tr>
        <w:trPr>
          <w:trHeight w:val="726" w:hRule="atLeast"/>
        </w:trPr>
        <w:tc>
          <w:tcPr>
            <w:tcW w:w="8055" w:type="dxa"/>
            <w:vAlign w:val="top"/>
            <w:gridSpan w:val="3"/>
          </w:tcPr>
          <w:p>
            <w:pPr>
              <w:ind w:left="105" w:right="102" w:firstLine="13"/>
              <w:spacing w:before="94"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吉林证监局决定：对实际控制人,时任董事尹某处</w:t>
            </w:r>
            <w:r>
              <w:rPr>
                <w:rFonts w:ascii="Microsoft YaHei" w:hAnsi="Microsoft YaHei" w:eastAsia="Microsoft YaHei" w:cs="Microsoft YaHei"/>
                <w:sz w:val="21"/>
                <w:szCs w:val="21"/>
              </w:rPr>
              <w:t>以</w:t>
            </w:r>
            <w:r>
              <w:rPr>
                <w:rFonts w:ascii="Microsoft YaHei" w:hAnsi="Microsoft YaHei" w:eastAsia="Microsoft YaHei" w:cs="Microsoft YaHei"/>
                <w:sz w:val="21"/>
                <w:szCs w:val="21"/>
                <w:spacing w:val="57"/>
              </w:rPr>
              <w:t xml:space="preserve"> </w:t>
            </w:r>
            <w:r>
              <w:rPr>
                <w:rFonts w:ascii="Microsoft YaHei" w:hAnsi="Microsoft YaHei" w:eastAsia="Microsoft YaHei" w:cs="Microsoft YaHei"/>
                <w:sz w:val="21"/>
                <w:szCs w:val="21"/>
              </w:rPr>
              <w:t>600</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rPr>
              <w:t>万元的罚 </w:t>
            </w:r>
            <w:r>
              <w:rPr>
                <w:rFonts w:ascii="Microsoft YaHei" w:hAnsi="Microsoft YaHei" w:eastAsia="Microsoft YaHei" w:cs="Microsoft YaHei"/>
                <w:sz w:val="21"/>
                <w:szCs w:val="21"/>
                <w:spacing w:val="-11"/>
              </w:rPr>
              <w:t>款。</w:t>
            </w:r>
          </w:p>
        </w:tc>
      </w:tr>
      <w:tr>
        <w:trPr>
          <w:trHeight w:val="364" w:hRule="atLeast"/>
        </w:trPr>
        <w:tc>
          <w:tcPr>
            <w:shd w:val="clear" w:fill="B8CCE4"/>
            <w:tcW w:w="1214" w:type="dxa"/>
            <w:vAlign w:val="top"/>
          </w:tcPr>
          <w:p>
            <w:pPr>
              <w:ind w:left="114"/>
              <w:spacing w:before="103" w:line="16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603555</w:t>
            </w:r>
          </w:p>
        </w:tc>
        <w:tc>
          <w:tcPr>
            <w:shd w:val="clear" w:fill="B8CCE4"/>
            <w:tcW w:w="1345" w:type="dxa"/>
            <w:vAlign w:val="top"/>
          </w:tcPr>
          <w:p>
            <w:pPr>
              <w:ind w:left="109"/>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ST 贵人</w:t>
            </w:r>
          </w:p>
        </w:tc>
        <w:tc>
          <w:tcPr>
            <w:shd w:val="clear" w:fill="B8CCE4"/>
            <w:tcW w:w="5496" w:type="dxa"/>
            <w:vAlign w:val="top"/>
          </w:tcPr>
          <w:p>
            <w:pPr>
              <w:ind w:left="113"/>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内幕交易</w:t>
            </w:r>
            <w:r>
              <w:rPr>
                <w:rFonts w:ascii="Microsoft YaHei" w:hAnsi="Microsoft YaHei" w:eastAsia="Microsoft YaHei" w:cs="Microsoft YaHei"/>
                <w:sz w:val="21"/>
                <w:szCs w:val="21"/>
                <w:spacing w:val="-4"/>
              </w:rPr>
              <w:t>公司股票。</w:t>
            </w:r>
          </w:p>
        </w:tc>
      </w:tr>
      <w:tr>
        <w:trPr>
          <w:trHeight w:val="726" w:hRule="atLeast"/>
        </w:trPr>
        <w:tc>
          <w:tcPr>
            <w:tcW w:w="8055" w:type="dxa"/>
            <w:vAlign w:val="top"/>
            <w:gridSpan w:val="3"/>
          </w:tcPr>
          <w:p>
            <w:pPr>
              <w:ind w:left="119" w:right="100" w:hanging="1"/>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【行政处罚决定】</w:t>
            </w:r>
            <w:r>
              <w:rPr>
                <w:rFonts w:ascii="Microsoft YaHei" w:hAnsi="Microsoft YaHei" w:eastAsia="Microsoft YaHei" w:cs="Microsoft YaHei"/>
                <w:sz w:val="21"/>
                <w:szCs w:val="21"/>
                <w:spacing w:val="3"/>
              </w:rPr>
              <w:t>青海证监局决定:没收当事人</w:t>
            </w:r>
            <w:r>
              <w:rPr>
                <w:rFonts w:ascii="Microsoft YaHei" w:hAnsi="Microsoft YaHei" w:eastAsia="Microsoft YaHei" w:cs="Microsoft YaHei"/>
                <w:sz w:val="21"/>
                <w:szCs w:val="21"/>
                <w:spacing w:val="2"/>
              </w:rPr>
              <w:t>共同违法所得</w:t>
            </w:r>
            <w:r>
              <w:rPr>
                <w:rFonts w:ascii="Microsoft YaHei" w:hAnsi="Microsoft YaHei" w:eastAsia="Microsoft YaHei" w:cs="Microsoft YaHei"/>
                <w:sz w:val="21"/>
                <w:szCs w:val="21"/>
                <w:spacing w:val="56"/>
              </w:rPr>
              <w:t xml:space="preserve"> </w:t>
            </w:r>
            <w:r>
              <w:rPr>
                <w:rFonts w:ascii="Microsoft YaHei" w:hAnsi="Microsoft YaHei" w:eastAsia="Microsoft YaHei" w:cs="Microsoft YaHei"/>
                <w:sz w:val="21"/>
                <w:szCs w:val="21"/>
                <w:spacing w:val="2"/>
              </w:rPr>
              <w:t>232,893.54</w:t>
            </w:r>
            <w:r>
              <w:rPr>
                <w:rFonts w:ascii="Microsoft YaHei" w:hAnsi="Microsoft YaHei" w:eastAsia="Microsoft YaHei" w:cs="Microsoft YaHei"/>
                <w:sz w:val="21"/>
                <w:szCs w:val="21"/>
                <w:spacing w:val="47"/>
              </w:rPr>
              <w:t xml:space="preserve"> </w:t>
            </w:r>
            <w:r>
              <w:rPr>
                <w:rFonts w:ascii="Microsoft YaHei" w:hAnsi="Microsoft YaHei" w:eastAsia="Microsoft YaHei" w:cs="Microsoft YaHei"/>
                <w:sz w:val="21"/>
                <w:szCs w:val="21"/>
                <w:spacing w:val="2"/>
              </w:rPr>
              <w:t>元,并处以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500,000 元罚款。</w:t>
            </w:r>
          </w:p>
        </w:tc>
      </w:tr>
      <w:tr>
        <w:trPr>
          <w:trHeight w:val="364" w:hRule="atLeast"/>
        </w:trPr>
        <w:tc>
          <w:tcPr>
            <w:shd w:val="clear" w:fill="B8CCE4"/>
            <w:tcW w:w="1214" w:type="dxa"/>
            <w:vAlign w:val="top"/>
          </w:tcPr>
          <w:p>
            <w:pPr>
              <w:ind w:left="114"/>
              <w:spacing w:before="103" w:line="16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600318</w:t>
            </w:r>
          </w:p>
        </w:tc>
        <w:tc>
          <w:tcPr>
            <w:shd w:val="clear" w:fill="B8CCE4"/>
            <w:tcW w:w="1345" w:type="dxa"/>
            <w:vAlign w:val="top"/>
          </w:tcPr>
          <w:p>
            <w:pPr>
              <w:ind w:left="98"/>
              <w:spacing w:before="94"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新力金融</w:t>
            </w:r>
          </w:p>
        </w:tc>
        <w:tc>
          <w:tcPr>
            <w:shd w:val="clear" w:fill="B8CCE4"/>
            <w:tcW w:w="5496" w:type="dxa"/>
            <w:vAlign w:val="top"/>
          </w:tcPr>
          <w:p>
            <w:pPr>
              <w:ind w:left="113"/>
              <w:spacing w:before="94"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内幕交易</w:t>
            </w:r>
            <w:r>
              <w:rPr>
                <w:rFonts w:ascii="Microsoft YaHei" w:hAnsi="Microsoft YaHei" w:eastAsia="Microsoft YaHei" w:cs="Microsoft YaHei"/>
                <w:sz w:val="21"/>
                <w:szCs w:val="21"/>
                <w:spacing w:val="-4"/>
              </w:rPr>
              <w:t>公司股票。</w:t>
            </w:r>
          </w:p>
        </w:tc>
      </w:tr>
      <w:tr>
        <w:trPr>
          <w:trHeight w:val="726" w:hRule="atLeast"/>
        </w:trPr>
        <w:tc>
          <w:tcPr>
            <w:tcW w:w="8055" w:type="dxa"/>
            <w:vAlign w:val="top"/>
            <w:gridSpan w:val="3"/>
          </w:tcPr>
          <w:p>
            <w:pPr>
              <w:ind w:left="106" w:right="98" w:firstLine="12"/>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【行政处罚决定】</w:t>
            </w:r>
            <w:r>
              <w:rPr>
                <w:rFonts w:ascii="Microsoft YaHei" w:hAnsi="Microsoft YaHei" w:eastAsia="Microsoft YaHei" w:cs="Microsoft YaHei"/>
                <w:sz w:val="21"/>
                <w:szCs w:val="21"/>
                <w:spacing w:val="-3"/>
              </w:rPr>
              <w:t>安徽证监局决定： 没收当事人违法所得 429,306.16 元， 并处以</w:t>
            </w:r>
            <w:r>
              <w:rPr>
                <w:rFonts w:ascii="Microsoft YaHei" w:hAnsi="Microsoft YaHei" w:eastAsia="Microsoft YaHei" w:cs="Microsoft YaHei"/>
                <w:sz w:val="21"/>
                <w:szCs w:val="21"/>
                <w:spacing w:val="16"/>
              </w:rPr>
              <w:t xml:space="preserve"> </w:t>
            </w:r>
            <w:r>
              <w:rPr>
                <w:rFonts w:ascii="Microsoft YaHei" w:hAnsi="Microsoft YaHei" w:eastAsia="Microsoft YaHei" w:cs="Microsoft YaHei"/>
                <w:sz w:val="21"/>
                <w:szCs w:val="21"/>
                <w:spacing w:val="-3"/>
              </w:rPr>
              <w:t>70</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万元罚款。</w:t>
            </w:r>
          </w:p>
        </w:tc>
      </w:tr>
      <w:tr>
        <w:trPr>
          <w:trHeight w:val="364" w:hRule="atLeast"/>
        </w:trPr>
        <w:tc>
          <w:tcPr>
            <w:shd w:val="clear" w:fill="B8CCE4"/>
            <w:tcW w:w="1214" w:type="dxa"/>
            <w:vAlign w:val="top"/>
          </w:tcPr>
          <w:p>
            <w:pPr>
              <w:ind w:left="111"/>
              <w:spacing w:before="104" w:line="16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000825</w:t>
            </w:r>
          </w:p>
        </w:tc>
        <w:tc>
          <w:tcPr>
            <w:shd w:val="clear" w:fill="B8CCE4"/>
            <w:tcW w:w="1345" w:type="dxa"/>
            <w:vAlign w:val="top"/>
          </w:tcPr>
          <w:p>
            <w:pPr>
              <w:ind w:left="98"/>
              <w:spacing w:before="9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太钢不锈</w:t>
            </w:r>
          </w:p>
        </w:tc>
        <w:tc>
          <w:tcPr>
            <w:shd w:val="clear" w:fill="B8CCE4"/>
            <w:tcW w:w="5496" w:type="dxa"/>
            <w:vAlign w:val="top"/>
          </w:tcPr>
          <w:p>
            <w:pPr>
              <w:ind w:left="100"/>
              <w:spacing w:before="9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泄露内幕信息</w:t>
            </w:r>
            <w:r>
              <w:rPr>
                <w:rFonts w:ascii="Microsoft YaHei" w:hAnsi="Microsoft YaHei" w:eastAsia="Microsoft YaHei" w:cs="Microsoft YaHei"/>
                <w:sz w:val="21"/>
                <w:szCs w:val="21"/>
                <w:spacing w:val="-1"/>
              </w:rPr>
              <w:t>。</w:t>
            </w:r>
          </w:p>
        </w:tc>
      </w:tr>
      <w:tr>
        <w:trPr>
          <w:trHeight w:val="726" w:hRule="atLeast"/>
        </w:trPr>
        <w:tc>
          <w:tcPr>
            <w:tcW w:w="8055" w:type="dxa"/>
            <w:vAlign w:val="top"/>
            <w:gridSpan w:val="3"/>
          </w:tcPr>
          <w:p>
            <w:pPr>
              <w:ind w:left="108" w:right="99" w:firstLine="9"/>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b/>
                <w:bCs/>
                <w:spacing w:val="-34"/>
              </w:rPr>
              <w:t xml:space="preserve"> </w:t>
            </w:r>
            <w:r>
              <w:rPr>
                <w:rFonts w:ascii="Microsoft YaHei" w:hAnsi="Microsoft YaHei" w:eastAsia="Microsoft YaHei" w:cs="Microsoft YaHei"/>
                <w:sz w:val="21"/>
                <w:szCs w:val="21"/>
                <w:spacing w:val="-1"/>
              </w:rPr>
              <w:t>中国证券监督管理委员会山西监管局决定：对当事人处以</w:t>
            </w:r>
            <w:r>
              <w:rPr>
                <w:rFonts w:ascii="Microsoft YaHei" w:hAnsi="Microsoft YaHei" w:eastAsia="Microsoft YaHei" w:cs="Microsoft YaHei"/>
                <w:sz w:val="21"/>
                <w:szCs w:val="21"/>
                <w:spacing w:val="59"/>
                <w:w w:val="101"/>
              </w:rPr>
              <w:t xml:space="preserve"> </w:t>
            </w:r>
            <w:r>
              <w:rPr>
                <w:rFonts w:ascii="Microsoft YaHei" w:hAnsi="Microsoft YaHei" w:eastAsia="Microsoft YaHei" w:cs="Microsoft YaHei"/>
                <w:sz w:val="21"/>
                <w:szCs w:val="21"/>
                <w:spacing w:val="-1"/>
              </w:rPr>
              <w:t>50</w:t>
            </w:r>
            <w:r>
              <w:rPr>
                <w:rFonts w:ascii="Microsoft YaHei" w:hAnsi="Microsoft YaHei" w:eastAsia="Microsoft YaHei" w:cs="Microsoft YaHei"/>
                <w:sz w:val="21"/>
                <w:szCs w:val="21"/>
                <w:spacing w:val="48"/>
                <w:w w:val="101"/>
              </w:rPr>
              <w:t xml:space="preserve"> </w:t>
            </w:r>
            <w:r>
              <w:rPr>
                <w:rFonts w:ascii="Microsoft YaHei" w:hAnsi="Microsoft YaHei" w:eastAsia="Microsoft YaHei" w:cs="Microsoft YaHei"/>
                <w:sz w:val="21"/>
                <w:szCs w:val="21"/>
                <w:spacing w:val="-1"/>
              </w:rPr>
              <w:t>万元</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0"/>
              </w:rPr>
              <w:t>罚款。</w:t>
            </w:r>
          </w:p>
        </w:tc>
      </w:tr>
      <w:tr>
        <w:trPr>
          <w:trHeight w:val="364" w:hRule="atLeast"/>
        </w:trPr>
        <w:tc>
          <w:tcPr>
            <w:shd w:val="clear" w:fill="B8CCE4"/>
            <w:tcW w:w="1214" w:type="dxa"/>
            <w:vAlign w:val="top"/>
          </w:tcPr>
          <w:p>
            <w:pPr>
              <w:ind w:left="111"/>
              <w:spacing w:before="104" w:line="16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000777</w:t>
            </w:r>
          </w:p>
        </w:tc>
        <w:tc>
          <w:tcPr>
            <w:shd w:val="clear" w:fill="B8CCE4"/>
            <w:tcW w:w="1345" w:type="dxa"/>
            <w:vAlign w:val="top"/>
          </w:tcPr>
          <w:p>
            <w:pPr>
              <w:ind w:left="113"/>
              <w:spacing w:before="9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中核科技</w:t>
            </w:r>
          </w:p>
        </w:tc>
        <w:tc>
          <w:tcPr>
            <w:shd w:val="clear" w:fill="B8CCE4"/>
            <w:tcW w:w="5496" w:type="dxa"/>
            <w:vAlign w:val="top"/>
          </w:tcPr>
          <w:p>
            <w:pPr>
              <w:ind w:left="102"/>
              <w:spacing w:before="9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董事会秘书</w:t>
            </w:r>
            <w:r>
              <w:rPr>
                <w:rFonts w:ascii="Microsoft YaHei" w:hAnsi="Microsoft YaHei" w:eastAsia="Microsoft YaHei" w:cs="Microsoft YaHei"/>
                <w:sz w:val="21"/>
                <w:szCs w:val="21"/>
                <w:b/>
                <w:bCs/>
                <w:spacing w:val="-2"/>
              </w:rPr>
              <w:t>内幕交易</w:t>
            </w:r>
            <w:r>
              <w:rPr>
                <w:rFonts w:ascii="Microsoft YaHei" w:hAnsi="Microsoft YaHei" w:eastAsia="Microsoft YaHei" w:cs="Microsoft YaHei"/>
                <w:sz w:val="21"/>
                <w:szCs w:val="21"/>
                <w:spacing w:val="-2"/>
              </w:rPr>
              <w:t>公司股票。</w:t>
            </w:r>
          </w:p>
        </w:tc>
      </w:tr>
      <w:tr>
        <w:trPr>
          <w:trHeight w:val="726" w:hRule="atLeast"/>
        </w:trPr>
        <w:tc>
          <w:tcPr>
            <w:tcW w:w="8055" w:type="dxa"/>
            <w:vAlign w:val="top"/>
            <w:gridSpan w:val="3"/>
          </w:tcPr>
          <w:p>
            <w:pPr>
              <w:ind w:left="105" w:right="97" w:firstLine="12"/>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中国证券监督管理委员会江苏监管局决定:对董事会秘书处以</w:t>
            </w:r>
            <w:r>
              <w:rPr>
                <w:rFonts w:ascii="Microsoft YaHei" w:hAnsi="Microsoft YaHei" w:eastAsia="Microsoft YaHei" w:cs="Microsoft YaHei"/>
                <w:sz w:val="21"/>
                <w:szCs w:val="21"/>
                <w:spacing w:val="55"/>
                <w:w w:val="101"/>
              </w:rPr>
              <w:t xml:space="preserve"> </w:t>
            </w:r>
            <w:r>
              <w:rPr>
                <w:rFonts w:ascii="Microsoft YaHei" w:hAnsi="Microsoft YaHei" w:eastAsia="Microsoft YaHei" w:cs="Microsoft YaHei"/>
                <w:sz w:val="21"/>
                <w:szCs w:val="21"/>
                <w:spacing w:val="-1"/>
              </w:rPr>
              <w:t>60</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spacing w:val="-1"/>
              </w:rPr>
              <w:t>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元罚款。</w:t>
            </w:r>
          </w:p>
        </w:tc>
      </w:tr>
      <w:tr>
        <w:trPr>
          <w:trHeight w:val="364" w:hRule="atLeast"/>
        </w:trPr>
        <w:tc>
          <w:tcPr>
            <w:shd w:val="clear" w:fill="B8CCE4"/>
            <w:tcW w:w="1214" w:type="dxa"/>
            <w:vAlign w:val="top"/>
          </w:tcPr>
          <w:p>
            <w:pPr>
              <w:ind w:left="114"/>
              <w:spacing w:before="104" w:line="16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601700</w:t>
            </w:r>
          </w:p>
        </w:tc>
        <w:tc>
          <w:tcPr>
            <w:shd w:val="clear" w:fill="B8CCE4"/>
            <w:tcW w:w="1345" w:type="dxa"/>
            <w:vAlign w:val="top"/>
          </w:tcPr>
          <w:p>
            <w:pPr>
              <w:ind w:left="98"/>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风范股份</w:t>
            </w:r>
          </w:p>
        </w:tc>
        <w:tc>
          <w:tcPr>
            <w:shd w:val="clear" w:fill="B8CCE4"/>
            <w:tcW w:w="5496" w:type="dxa"/>
            <w:vAlign w:val="top"/>
          </w:tcPr>
          <w:p>
            <w:pPr>
              <w:ind w:left="113"/>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5"/>
              </w:rPr>
              <w:t>内幕交易</w:t>
            </w:r>
            <w:r>
              <w:rPr>
                <w:rFonts w:ascii="Microsoft YaHei" w:hAnsi="Microsoft YaHei" w:eastAsia="Microsoft YaHei" w:cs="Microsoft YaHei"/>
                <w:sz w:val="21"/>
                <w:szCs w:val="21"/>
                <w:spacing w:val="-5"/>
              </w:rPr>
              <w:t>公司股票； 建议他人买卖股票。</w:t>
            </w:r>
          </w:p>
        </w:tc>
      </w:tr>
      <w:tr>
        <w:trPr>
          <w:trHeight w:val="3244" w:hRule="atLeast"/>
        </w:trPr>
        <w:tc>
          <w:tcPr>
            <w:tcW w:w="8055" w:type="dxa"/>
            <w:vAlign w:val="top"/>
            <w:gridSpan w:val="3"/>
          </w:tcPr>
          <w:p>
            <w:pPr>
              <w:ind w:left="118"/>
              <w:spacing w:before="97"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中国证券监督管理委员会广西监管局</w:t>
            </w:r>
            <w:r>
              <w:rPr>
                <w:rFonts w:ascii="Microsoft YaHei" w:hAnsi="Microsoft YaHei" w:eastAsia="Microsoft YaHei" w:cs="Microsoft YaHei"/>
                <w:sz w:val="21"/>
                <w:szCs w:val="21"/>
                <w:spacing w:val="-2"/>
              </w:rPr>
              <w:t>决定：</w:t>
            </w:r>
          </w:p>
          <w:p>
            <w:pPr>
              <w:ind w:left="105" w:right="97" w:firstLine="29"/>
              <w:spacing w:before="69"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（一）没收当事人 2022 年 7 月内幕交易违法所得 210,419.71 元， 并处以 </w:t>
            </w:r>
            <w:r>
              <w:rPr>
                <w:rFonts w:ascii="Microsoft YaHei" w:hAnsi="Microsoft YaHei" w:eastAsia="Microsoft YaHei" w:cs="Microsoft YaHei"/>
                <w:sz w:val="21"/>
                <w:szCs w:val="21"/>
                <w:spacing w:val="-4"/>
              </w:rPr>
              <w:t>50 万元罚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款。</w:t>
            </w:r>
          </w:p>
          <w:p>
            <w:pPr>
              <w:ind w:left="105" w:right="99" w:firstLine="29"/>
              <w:spacing w:before="66"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（二）</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3"/>
              </w:rPr>
              <w:t>没收当事人 2022 年 11 </w:t>
            </w:r>
            <w:r>
              <w:rPr>
                <w:rFonts w:ascii="Microsoft YaHei" w:hAnsi="Microsoft YaHei" w:eastAsia="Microsoft YaHei" w:cs="Microsoft YaHei"/>
                <w:sz w:val="21"/>
                <w:szCs w:val="21"/>
                <w:spacing w:val="-4"/>
              </w:rPr>
              <w:t>月内幕交易违法所得 36,316.53 元，并处以 60 万元罚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款。</w:t>
            </w:r>
          </w:p>
          <w:p>
            <w:pPr>
              <w:ind w:left="105" w:right="97" w:firstLine="29"/>
              <w:spacing w:before="65"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（三）</w:t>
            </w:r>
            <w:r>
              <w:rPr>
                <w:rFonts w:ascii="Microsoft YaHei" w:hAnsi="Microsoft YaHei" w:eastAsia="Microsoft YaHei" w:cs="Microsoft YaHei"/>
                <w:sz w:val="21"/>
                <w:szCs w:val="21"/>
                <w:spacing w:val="36"/>
                <w:w w:val="101"/>
              </w:rPr>
              <w:t xml:space="preserve"> </w:t>
            </w:r>
            <w:r>
              <w:rPr>
                <w:rFonts w:ascii="Microsoft YaHei" w:hAnsi="Microsoft YaHei" w:eastAsia="Microsoft YaHei" w:cs="Microsoft YaHei"/>
                <w:sz w:val="21"/>
                <w:szCs w:val="21"/>
                <w:spacing w:val="-5"/>
              </w:rPr>
              <w:t>没收当事人 2022 年 7 月内幕交易违法所得 196,627.91 元， 并处以 50 万元罚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款。</w:t>
            </w:r>
          </w:p>
          <w:p>
            <w:pPr>
              <w:ind w:left="135"/>
              <w:spacing w:before="66"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（四）</w:t>
            </w:r>
            <w:r>
              <w:rPr>
                <w:rFonts w:ascii="Microsoft YaHei" w:hAnsi="Microsoft YaHei" w:eastAsia="Microsoft YaHei" w:cs="Microsoft YaHei"/>
                <w:sz w:val="21"/>
                <w:szCs w:val="21"/>
                <w:spacing w:val="20"/>
                <w:w w:val="101"/>
              </w:rPr>
              <w:t xml:space="preserve"> </w:t>
            </w:r>
            <w:r>
              <w:rPr>
                <w:rFonts w:ascii="Microsoft YaHei" w:hAnsi="Microsoft YaHei" w:eastAsia="Microsoft YaHei" w:cs="Microsoft YaHei"/>
                <w:sz w:val="21"/>
                <w:szCs w:val="21"/>
                <w:spacing w:val="-5"/>
              </w:rPr>
              <w:t>对当事人 2022 年 11 月内幕交易行为</w:t>
            </w:r>
            <w:r>
              <w:rPr>
                <w:rFonts w:ascii="Microsoft YaHei" w:hAnsi="Microsoft YaHei" w:eastAsia="Microsoft YaHei" w:cs="Microsoft YaHei"/>
                <w:sz w:val="21"/>
                <w:szCs w:val="21"/>
                <w:spacing w:val="-6"/>
              </w:rPr>
              <w:t>处以 60 万元罚款。</w:t>
            </w:r>
          </w:p>
          <w:p>
            <w:pPr>
              <w:ind w:left="135"/>
              <w:spacing w:before="75"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（五）</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4"/>
              </w:rPr>
              <w:t>对当事人 2022 年 11 月建议他人买卖股票行</w:t>
            </w:r>
            <w:r>
              <w:rPr>
                <w:rFonts w:ascii="Microsoft YaHei" w:hAnsi="Microsoft YaHei" w:eastAsia="Microsoft YaHei" w:cs="Microsoft YaHei"/>
                <w:sz w:val="21"/>
                <w:szCs w:val="21"/>
                <w:spacing w:val="-5"/>
              </w:rPr>
              <w:t>为处以 50 万元罚款。</w:t>
            </w:r>
          </w:p>
        </w:tc>
      </w:tr>
      <w:tr>
        <w:trPr>
          <w:trHeight w:val="366" w:hRule="atLeast"/>
        </w:trPr>
        <w:tc>
          <w:tcPr>
            <w:shd w:val="clear" w:fill="B8CCE4"/>
            <w:tcW w:w="1214" w:type="dxa"/>
            <w:vAlign w:val="top"/>
          </w:tcPr>
          <w:p>
            <w:pPr>
              <w:ind w:left="114"/>
              <w:spacing w:before="111" w:line="16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603133</w:t>
            </w:r>
          </w:p>
        </w:tc>
        <w:tc>
          <w:tcPr>
            <w:shd w:val="clear" w:fill="B8CCE4"/>
            <w:tcW w:w="1345" w:type="dxa"/>
            <w:vAlign w:val="top"/>
          </w:tcPr>
          <w:p>
            <w:pPr>
              <w:ind w:left="104"/>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*ST</w:t>
            </w:r>
            <w:r>
              <w:rPr>
                <w:rFonts w:ascii="Microsoft YaHei" w:hAnsi="Microsoft YaHei" w:eastAsia="Microsoft YaHei" w:cs="Microsoft YaHei"/>
                <w:sz w:val="21"/>
                <w:szCs w:val="21"/>
                <w:spacing w:val="-7"/>
              </w:rPr>
              <w:t xml:space="preserve"> </w:t>
            </w:r>
            <w:r>
              <w:rPr>
                <w:rFonts w:ascii="Microsoft YaHei" w:hAnsi="Microsoft YaHei" w:eastAsia="Microsoft YaHei" w:cs="Microsoft YaHei"/>
                <w:sz w:val="21"/>
                <w:szCs w:val="21"/>
                <w:spacing w:val="-2"/>
              </w:rPr>
              <w:t>碳元</w:t>
            </w:r>
          </w:p>
        </w:tc>
        <w:tc>
          <w:tcPr>
            <w:shd w:val="clear" w:fill="B8CCE4"/>
            <w:tcW w:w="5496" w:type="dxa"/>
            <w:vAlign w:val="top"/>
          </w:tcPr>
          <w:p>
            <w:pPr>
              <w:ind w:left="113"/>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内幕交易</w:t>
            </w:r>
            <w:r>
              <w:rPr>
                <w:rFonts w:ascii="Microsoft YaHei" w:hAnsi="Microsoft YaHei" w:eastAsia="Microsoft YaHei" w:cs="Microsoft YaHei"/>
                <w:sz w:val="21"/>
                <w:szCs w:val="21"/>
                <w:spacing w:val="-4"/>
              </w:rPr>
              <w:t>公司股票。</w:t>
            </w:r>
          </w:p>
        </w:tc>
      </w:tr>
      <w:tr>
        <w:trPr>
          <w:trHeight w:val="723" w:hRule="atLeast"/>
        </w:trPr>
        <w:tc>
          <w:tcPr>
            <w:tcW w:w="8055" w:type="dxa"/>
            <w:vAlign w:val="top"/>
            <w:gridSpan w:val="3"/>
          </w:tcPr>
          <w:p>
            <w:pPr>
              <w:ind w:left="106" w:right="98" w:firstLine="12"/>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【行政处罚决定】</w:t>
            </w:r>
            <w:r>
              <w:rPr>
                <w:rFonts w:ascii="Microsoft YaHei" w:hAnsi="Microsoft YaHei" w:eastAsia="Microsoft YaHei" w:cs="Microsoft YaHei"/>
                <w:sz w:val="21"/>
                <w:szCs w:val="21"/>
                <w:spacing w:val="-4"/>
              </w:rPr>
              <w:t>河北证监局决定： 没收王某茶违法所得</w:t>
            </w:r>
            <w:r>
              <w:rPr>
                <w:rFonts w:ascii="Microsoft YaHei" w:hAnsi="Microsoft YaHei" w:eastAsia="Microsoft YaHei" w:cs="Microsoft YaHei"/>
                <w:sz w:val="21"/>
                <w:szCs w:val="21"/>
                <w:spacing w:val="35"/>
              </w:rPr>
              <w:t xml:space="preserve"> </w:t>
            </w:r>
            <w:r>
              <w:rPr>
                <w:rFonts w:ascii="Microsoft YaHei" w:hAnsi="Microsoft YaHei" w:eastAsia="Microsoft YaHei" w:cs="Microsoft YaHei"/>
                <w:sz w:val="21"/>
                <w:szCs w:val="21"/>
                <w:spacing w:val="-4"/>
              </w:rPr>
              <w:t>159,604.87 元， 并处以</w:t>
            </w:r>
            <w:r>
              <w:rPr>
                <w:rFonts w:ascii="Microsoft YaHei" w:hAnsi="Microsoft YaHei" w:eastAsia="Microsoft YaHei" w:cs="Microsoft YaHei"/>
                <w:sz w:val="21"/>
                <w:szCs w:val="21"/>
                <w:spacing w:val="23"/>
              </w:rPr>
              <w:t xml:space="preserve"> </w:t>
            </w:r>
            <w:r>
              <w:rPr>
                <w:rFonts w:ascii="Microsoft YaHei" w:hAnsi="Microsoft YaHei" w:eastAsia="Microsoft YaHei" w:cs="Microsoft YaHei"/>
                <w:sz w:val="21"/>
                <w:szCs w:val="21"/>
                <w:spacing w:val="-4"/>
              </w:rPr>
              <w:t>50</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万元罚款。</w:t>
            </w:r>
          </w:p>
        </w:tc>
      </w:tr>
      <w:tr>
        <w:trPr>
          <w:trHeight w:val="1096" w:hRule="atLeast"/>
        </w:trPr>
        <w:tc>
          <w:tcPr>
            <w:shd w:val="clear" w:fill="B8CCE4"/>
            <w:tcW w:w="1214" w:type="dxa"/>
            <w:vAlign w:val="top"/>
          </w:tcPr>
          <w:p>
            <w:pPr>
              <w:spacing w:line="381"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002503</w:t>
            </w:r>
          </w:p>
        </w:tc>
        <w:tc>
          <w:tcPr>
            <w:shd w:val="clear" w:fill="B8CCE4"/>
            <w:tcW w:w="1345" w:type="dxa"/>
            <w:vAlign w:val="top"/>
          </w:tcPr>
          <w:p>
            <w:pPr>
              <w:spacing w:line="372" w:lineRule="auto"/>
              <w:rPr>
                <w:rFonts w:ascii="Arial"/>
                <w:sz w:val="21"/>
              </w:rPr>
            </w:pPr>
            <w:r/>
          </w:p>
          <w:p>
            <w:pPr>
              <w:ind w:left="10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搜特</w:t>
            </w:r>
          </w:p>
        </w:tc>
        <w:tc>
          <w:tcPr>
            <w:shd w:val="clear" w:fill="B8CCE4"/>
            <w:tcW w:w="5496" w:type="dxa"/>
            <w:vAlign w:val="top"/>
          </w:tcPr>
          <w:p>
            <w:pPr>
              <w:ind w:left="101" w:right="174" w:firstLine="8"/>
              <w:spacing w:before="102"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2020 年半年报、</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7"/>
              </w:rPr>
              <w:t>2020 年年报、</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spacing w:val="-7"/>
              </w:rPr>
              <w:t>2021 年</w:t>
            </w:r>
            <w:r>
              <w:rPr>
                <w:rFonts w:ascii="Microsoft YaHei" w:hAnsi="Microsoft YaHei" w:eastAsia="Microsoft YaHei" w:cs="Microsoft YaHei"/>
                <w:sz w:val="21"/>
                <w:szCs w:val="21"/>
                <w:spacing w:val="-8"/>
              </w:rPr>
              <w:t>年报存在</w:t>
            </w:r>
            <w:r>
              <w:rPr>
                <w:rFonts w:ascii="Microsoft YaHei" w:hAnsi="Microsoft YaHei" w:eastAsia="Microsoft YaHei" w:cs="Microsoft YaHei"/>
                <w:sz w:val="21"/>
                <w:szCs w:val="21"/>
                <w:b/>
                <w:bCs/>
                <w:spacing w:val="-8"/>
              </w:rPr>
              <w:t>虚假记</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2"/>
              </w:rPr>
              <w:t>载</w:t>
            </w:r>
            <w:r>
              <w:rPr>
                <w:rFonts w:ascii="Microsoft YaHei" w:hAnsi="Microsoft YaHei" w:eastAsia="Microsoft YaHei" w:cs="Microsoft YaHei"/>
                <w:sz w:val="21"/>
                <w:szCs w:val="21"/>
                <w:spacing w:val="-2"/>
              </w:rPr>
              <w:t>；未按规定披露</w:t>
            </w:r>
            <w:r>
              <w:rPr>
                <w:rFonts w:ascii="Microsoft YaHei" w:hAnsi="Microsoft YaHei" w:eastAsia="Microsoft YaHei" w:cs="Microsoft YaHei"/>
                <w:sz w:val="21"/>
                <w:szCs w:val="21"/>
                <w:b/>
                <w:bCs/>
                <w:spacing w:val="-2"/>
              </w:rPr>
              <w:t>关联交易</w:t>
            </w:r>
            <w:r>
              <w:rPr>
                <w:rFonts w:ascii="Microsoft YaHei" w:hAnsi="Microsoft YaHei" w:eastAsia="Microsoft YaHei" w:cs="Microsoft YaHei"/>
                <w:sz w:val="21"/>
                <w:szCs w:val="21"/>
                <w:b/>
                <w:bCs/>
                <w:spacing w:val="-20"/>
              </w:rPr>
              <w:t xml:space="preserve"> </w:t>
            </w:r>
            <w:r>
              <w:rPr>
                <w:rFonts w:ascii="Microsoft YaHei" w:hAnsi="Microsoft YaHei" w:eastAsia="Microsoft YaHei" w:cs="Microsoft YaHei"/>
                <w:sz w:val="21"/>
                <w:szCs w:val="21"/>
                <w:spacing w:val="-2"/>
              </w:rPr>
              <w:t>，2021 年年报存在重大遗</w:t>
            </w:r>
          </w:p>
          <w:p>
            <w:pPr>
              <w:ind w:left="99"/>
              <w:spacing w:before="67"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1"/>
              </w:rPr>
              <w:t>漏。</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33" w:hRule="atLeast"/>
        </w:trPr>
        <w:tc>
          <w:tcPr>
            <w:tcW w:w="8055" w:type="dxa"/>
            <w:vAlign w:val="top"/>
            <w:gridSpan w:val="3"/>
            <w:tcBorders>
              <w:top w:val="single" w:color="4F81BD" w:sz="2" w:space="0"/>
            </w:tcBorders>
          </w:tcPr>
          <w:p>
            <w:pPr>
              <w:ind w:left="108" w:right="100" w:firstLine="10"/>
              <w:spacing w:before="9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中国证券监督管理委员会广东监管局决定：对时任独董何某给予警</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告，并处以 50 万元的罚款。</w:t>
            </w:r>
          </w:p>
        </w:tc>
      </w:tr>
      <w:tr>
        <w:trPr>
          <w:trHeight w:val="364" w:hRule="atLeast"/>
        </w:trPr>
        <w:tc>
          <w:tcPr>
            <w:shd w:val="clear" w:fill="B8CCE4"/>
            <w:tcW w:w="1214" w:type="dxa"/>
            <w:vAlign w:val="top"/>
          </w:tcPr>
          <w:p>
            <w:pPr>
              <w:ind w:left="117"/>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300586</w:t>
            </w:r>
          </w:p>
        </w:tc>
        <w:tc>
          <w:tcPr>
            <w:shd w:val="clear" w:fill="B8CCE4"/>
            <w:tcW w:w="1345" w:type="dxa"/>
            <w:vAlign w:val="top"/>
          </w:tcPr>
          <w:p>
            <w:pPr>
              <w:ind w:left="99"/>
              <w:spacing w:before="88"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美联新材</w:t>
            </w:r>
          </w:p>
        </w:tc>
        <w:tc>
          <w:tcPr>
            <w:shd w:val="clear" w:fill="B8CCE4"/>
            <w:tcW w:w="5496" w:type="dxa"/>
            <w:vAlign w:val="top"/>
          </w:tcPr>
          <w:p>
            <w:pPr>
              <w:ind w:left="109"/>
              <w:spacing w:before="88"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时任董事</w:t>
            </w:r>
            <w:r>
              <w:rPr>
                <w:rFonts w:ascii="Microsoft YaHei" w:hAnsi="Microsoft YaHei" w:eastAsia="Microsoft YaHei" w:cs="Microsoft YaHei"/>
                <w:sz w:val="21"/>
                <w:szCs w:val="21"/>
                <w:b/>
                <w:bCs/>
                <w:spacing w:val="-3"/>
              </w:rPr>
              <w:t>短线交易。</w:t>
            </w:r>
          </w:p>
        </w:tc>
      </w:tr>
      <w:tr>
        <w:trPr>
          <w:trHeight w:val="726" w:hRule="atLeast"/>
        </w:trPr>
        <w:tc>
          <w:tcPr>
            <w:tcW w:w="8055" w:type="dxa"/>
            <w:vAlign w:val="top"/>
            <w:gridSpan w:val="3"/>
          </w:tcPr>
          <w:p>
            <w:pPr>
              <w:ind w:left="112" w:right="102" w:firstLine="5"/>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【行政处罚决定】</w:t>
            </w:r>
            <w:r>
              <w:rPr>
                <w:rFonts w:ascii="Microsoft YaHei" w:hAnsi="Microsoft YaHei" w:eastAsia="Microsoft YaHei" w:cs="Microsoft YaHei"/>
                <w:sz w:val="21"/>
                <w:szCs w:val="21"/>
              </w:rPr>
              <w:t>中国证券监督管理委员会广东监管局决定:对刘某胶给予警告</w:t>
            </w:r>
            <w:r>
              <w:rPr>
                <w:rFonts w:ascii="Microsoft YaHei" w:hAnsi="Microsoft YaHei" w:eastAsia="Microsoft YaHei" w:cs="Microsoft YaHei"/>
                <w:sz w:val="21"/>
                <w:szCs w:val="21"/>
                <w:spacing w:val="-1"/>
              </w:rPr>
              <w:t>，并处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以 10 万元罚款。</w:t>
            </w:r>
          </w:p>
        </w:tc>
      </w:tr>
      <w:tr>
        <w:trPr>
          <w:trHeight w:val="1086" w:hRule="atLeast"/>
        </w:trPr>
        <w:tc>
          <w:tcPr>
            <w:shd w:val="clear" w:fill="B8CCE4"/>
            <w:tcW w:w="1214" w:type="dxa"/>
            <w:vAlign w:val="top"/>
          </w:tcPr>
          <w:p>
            <w:pPr>
              <w:spacing w:line="366"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002503</w:t>
            </w:r>
          </w:p>
        </w:tc>
        <w:tc>
          <w:tcPr>
            <w:shd w:val="clear" w:fill="B8CCE4"/>
            <w:tcW w:w="1345" w:type="dxa"/>
            <w:vAlign w:val="top"/>
          </w:tcPr>
          <w:p>
            <w:pPr>
              <w:spacing w:line="357" w:lineRule="auto"/>
              <w:rPr>
                <w:rFonts w:ascii="Arial"/>
                <w:sz w:val="21"/>
              </w:rPr>
            </w:pPr>
            <w:r/>
          </w:p>
          <w:p>
            <w:pPr>
              <w:ind w:left="10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搜特</w:t>
            </w:r>
          </w:p>
        </w:tc>
        <w:tc>
          <w:tcPr>
            <w:shd w:val="clear" w:fill="B8CCE4"/>
            <w:tcW w:w="5496" w:type="dxa"/>
            <w:vAlign w:val="top"/>
          </w:tcPr>
          <w:p>
            <w:pPr>
              <w:ind w:left="101" w:right="174" w:firstLine="8"/>
              <w:spacing w:before="90"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2020 年半年报、</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7"/>
              </w:rPr>
              <w:t>2020 年年报、</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spacing w:val="-7"/>
              </w:rPr>
              <w:t>2021 年</w:t>
            </w:r>
            <w:r>
              <w:rPr>
                <w:rFonts w:ascii="Microsoft YaHei" w:hAnsi="Microsoft YaHei" w:eastAsia="Microsoft YaHei" w:cs="Microsoft YaHei"/>
                <w:sz w:val="21"/>
                <w:szCs w:val="21"/>
                <w:spacing w:val="-8"/>
              </w:rPr>
              <w:t>年报存在</w:t>
            </w:r>
            <w:r>
              <w:rPr>
                <w:rFonts w:ascii="Microsoft YaHei" w:hAnsi="Microsoft YaHei" w:eastAsia="Microsoft YaHei" w:cs="Microsoft YaHei"/>
                <w:sz w:val="21"/>
                <w:szCs w:val="21"/>
                <w:b/>
                <w:bCs/>
                <w:spacing w:val="-8"/>
              </w:rPr>
              <w:t>虚假记</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2"/>
              </w:rPr>
              <w:t>载</w:t>
            </w:r>
            <w:r>
              <w:rPr>
                <w:rFonts w:ascii="Microsoft YaHei" w:hAnsi="Microsoft YaHei" w:eastAsia="Microsoft YaHei" w:cs="Microsoft YaHei"/>
                <w:sz w:val="21"/>
                <w:szCs w:val="21"/>
                <w:spacing w:val="-2"/>
              </w:rPr>
              <w:t>；未按规定披露</w:t>
            </w:r>
            <w:r>
              <w:rPr>
                <w:rFonts w:ascii="Microsoft YaHei" w:hAnsi="Microsoft YaHei" w:eastAsia="Microsoft YaHei" w:cs="Microsoft YaHei"/>
                <w:sz w:val="21"/>
                <w:szCs w:val="21"/>
                <w:b/>
                <w:bCs/>
                <w:spacing w:val="-2"/>
              </w:rPr>
              <w:t>关联交易</w:t>
            </w:r>
            <w:r>
              <w:rPr>
                <w:rFonts w:ascii="Microsoft YaHei" w:hAnsi="Microsoft YaHei" w:eastAsia="Microsoft YaHei" w:cs="Microsoft YaHei"/>
                <w:sz w:val="21"/>
                <w:szCs w:val="21"/>
                <w:b/>
                <w:bCs/>
                <w:spacing w:val="-20"/>
              </w:rPr>
              <w:t xml:space="preserve"> </w:t>
            </w:r>
            <w:r>
              <w:rPr>
                <w:rFonts w:ascii="Microsoft YaHei" w:hAnsi="Microsoft YaHei" w:eastAsia="Microsoft YaHei" w:cs="Microsoft YaHei"/>
                <w:sz w:val="21"/>
                <w:szCs w:val="21"/>
                <w:spacing w:val="-2"/>
              </w:rPr>
              <w:t>，2021 年年报存在重大遗</w:t>
            </w:r>
          </w:p>
          <w:p>
            <w:pPr>
              <w:ind w:left="99"/>
              <w:spacing w:before="67" w:line="17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1"/>
              </w:rPr>
              <w:t>漏。</w:t>
            </w:r>
          </w:p>
        </w:tc>
      </w:tr>
      <w:tr>
        <w:trPr>
          <w:trHeight w:val="723" w:hRule="atLeast"/>
        </w:trPr>
        <w:tc>
          <w:tcPr>
            <w:tcW w:w="8055" w:type="dxa"/>
            <w:vAlign w:val="top"/>
            <w:gridSpan w:val="3"/>
          </w:tcPr>
          <w:p>
            <w:pPr>
              <w:ind w:left="104" w:right="105" w:firstLine="14"/>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中国证券监督管理委员会广东监管局决定：对黎某望给予警告，并</w:t>
            </w:r>
            <w:r>
              <w:rPr>
                <w:rFonts w:ascii="Microsoft YaHei" w:hAnsi="Microsoft YaHei" w:eastAsia="Microsoft YaHei" w:cs="Microsoft YaHei"/>
                <w:sz w:val="21"/>
                <w:szCs w:val="21"/>
                <w:spacing w:val="8"/>
              </w:rPr>
              <w:t xml:space="preserve"> </w:t>
            </w:r>
            <w:r>
              <w:rPr>
                <w:rFonts w:ascii="Microsoft YaHei" w:hAnsi="Microsoft YaHei" w:eastAsia="Microsoft YaHei" w:cs="Microsoft YaHei"/>
                <w:sz w:val="21"/>
                <w:szCs w:val="21"/>
                <w:spacing w:val="-2"/>
              </w:rPr>
              <w:t>处以 50 万元的罚款。</w:t>
            </w:r>
          </w:p>
        </w:tc>
      </w:tr>
      <w:tr>
        <w:trPr>
          <w:trHeight w:val="1086" w:hRule="atLeast"/>
        </w:trPr>
        <w:tc>
          <w:tcPr>
            <w:shd w:val="clear" w:fill="B8CCE4"/>
            <w:tcW w:w="1214" w:type="dxa"/>
            <w:vAlign w:val="top"/>
          </w:tcPr>
          <w:p>
            <w:pPr>
              <w:spacing w:line="370"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002503</w:t>
            </w:r>
          </w:p>
        </w:tc>
        <w:tc>
          <w:tcPr>
            <w:shd w:val="clear" w:fill="B8CCE4"/>
            <w:tcW w:w="1345" w:type="dxa"/>
            <w:vAlign w:val="top"/>
          </w:tcPr>
          <w:p>
            <w:pPr>
              <w:spacing w:line="361" w:lineRule="auto"/>
              <w:rPr>
                <w:rFonts w:ascii="Arial"/>
                <w:sz w:val="21"/>
              </w:rPr>
            </w:pPr>
            <w:r/>
          </w:p>
          <w:p>
            <w:pPr>
              <w:ind w:left="10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搜特</w:t>
            </w:r>
          </w:p>
        </w:tc>
        <w:tc>
          <w:tcPr>
            <w:shd w:val="clear" w:fill="B8CCE4"/>
            <w:tcW w:w="5496" w:type="dxa"/>
            <w:vAlign w:val="top"/>
          </w:tcPr>
          <w:p>
            <w:pPr>
              <w:ind w:left="101" w:right="174" w:firstLine="8"/>
              <w:spacing w:before="91"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2020 年半年报、</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7"/>
              </w:rPr>
              <w:t>2020 年年报、</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spacing w:val="-7"/>
              </w:rPr>
              <w:t>2021 年</w:t>
            </w:r>
            <w:r>
              <w:rPr>
                <w:rFonts w:ascii="Microsoft YaHei" w:hAnsi="Microsoft YaHei" w:eastAsia="Microsoft YaHei" w:cs="Microsoft YaHei"/>
                <w:sz w:val="21"/>
                <w:szCs w:val="21"/>
                <w:spacing w:val="-8"/>
              </w:rPr>
              <w:t>年报存在</w:t>
            </w:r>
            <w:r>
              <w:rPr>
                <w:rFonts w:ascii="Microsoft YaHei" w:hAnsi="Microsoft YaHei" w:eastAsia="Microsoft YaHei" w:cs="Microsoft YaHei"/>
                <w:sz w:val="21"/>
                <w:szCs w:val="21"/>
                <w:b/>
                <w:bCs/>
                <w:spacing w:val="-8"/>
              </w:rPr>
              <w:t>虚假记</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2"/>
              </w:rPr>
              <w:t>载</w:t>
            </w:r>
            <w:r>
              <w:rPr>
                <w:rFonts w:ascii="Microsoft YaHei" w:hAnsi="Microsoft YaHei" w:eastAsia="Microsoft YaHei" w:cs="Microsoft YaHei"/>
                <w:sz w:val="21"/>
                <w:szCs w:val="21"/>
                <w:spacing w:val="-2"/>
              </w:rPr>
              <w:t>；未按规定披露</w:t>
            </w:r>
            <w:r>
              <w:rPr>
                <w:rFonts w:ascii="Microsoft YaHei" w:hAnsi="Microsoft YaHei" w:eastAsia="Microsoft YaHei" w:cs="Microsoft YaHei"/>
                <w:sz w:val="21"/>
                <w:szCs w:val="21"/>
                <w:b/>
                <w:bCs/>
                <w:spacing w:val="-2"/>
              </w:rPr>
              <w:t>关联交易</w:t>
            </w:r>
            <w:r>
              <w:rPr>
                <w:rFonts w:ascii="Microsoft YaHei" w:hAnsi="Microsoft YaHei" w:eastAsia="Microsoft YaHei" w:cs="Microsoft YaHei"/>
                <w:sz w:val="21"/>
                <w:szCs w:val="21"/>
                <w:b/>
                <w:bCs/>
                <w:spacing w:val="-20"/>
              </w:rPr>
              <w:t xml:space="preserve"> </w:t>
            </w:r>
            <w:r>
              <w:rPr>
                <w:rFonts w:ascii="Microsoft YaHei" w:hAnsi="Microsoft YaHei" w:eastAsia="Microsoft YaHei" w:cs="Microsoft YaHei"/>
                <w:sz w:val="21"/>
                <w:szCs w:val="21"/>
                <w:spacing w:val="-2"/>
              </w:rPr>
              <w:t>，2021 年年报存在重大遗</w:t>
            </w:r>
          </w:p>
          <w:p>
            <w:pPr>
              <w:ind w:left="99"/>
              <w:spacing w:before="67"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1"/>
              </w:rPr>
              <w:t>漏。</w:t>
            </w:r>
          </w:p>
        </w:tc>
      </w:tr>
      <w:tr>
        <w:trPr>
          <w:trHeight w:val="724" w:hRule="atLeast"/>
        </w:trPr>
        <w:tc>
          <w:tcPr>
            <w:tcW w:w="8055" w:type="dxa"/>
            <w:vAlign w:val="top"/>
            <w:gridSpan w:val="3"/>
          </w:tcPr>
          <w:p>
            <w:pPr>
              <w:ind w:left="107" w:right="100" w:firstLine="11"/>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中国证券监督管理委员会广东监管局决定：对时任独董周某权给予</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9"/>
              </w:rPr>
              <w:t>警告，</w:t>
            </w:r>
            <w:r>
              <w:rPr>
                <w:rFonts w:ascii="Microsoft YaHei" w:hAnsi="Microsoft YaHei" w:eastAsia="Microsoft YaHei" w:cs="Microsoft YaHei"/>
                <w:sz w:val="21"/>
                <w:szCs w:val="21"/>
                <w:spacing w:val="38"/>
              </w:rPr>
              <w:t xml:space="preserve"> </w:t>
            </w:r>
            <w:r>
              <w:rPr>
                <w:rFonts w:ascii="Microsoft YaHei" w:hAnsi="Microsoft YaHei" w:eastAsia="Microsoft YaHei" w:cs="Microsoft YaHei"/>
                <w:sz w:val="21"/>
                <w:szCs w:val="21"/>
                <w:spacing w:val="-9"/>
              </w:rPr>
              <w:t>并处以 50 万元的罚款。</w:t>
            </w:r>
          </w:p>
        </w:tc>
      </w:tr>
      <w:tr>
        <w:trPr>
          <w:trHeight w:val="366" w:hRule="atLeast"/>
        </w:trPr>
        <w:tc>
          <w:tcPr>
            <w:shd w:val="clear" w:fill="B8CCE4"/>
            <w:tcW w:w="1214" w:type="dxa"/>
            <w:vAlign w:val="top"/>
          </w:tcPr>
          <w:p>
            <w:pPr>
              <w:ind w:left="117"/>
              <w:spacing w:before="103"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300174</w:t>
            </w:r>
          </w:p>
        </w:tc>
        <w:tc>
          <w:tcPr>
            <w:shd w:val="clear" w:fill="B8CCE4"/>
            <w:tcW w:w="1345" w:type="dxa"/>
            <w:vAlign w:val="top"/>
          </w:tcPr>
          <w:p>
            <w:pPr>
              <w:ind w:left="99"/>
              <w:spacing w:before="94"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元力股份</w:t>
            </w:r>
          </w:p>
        </w:tc>
        <w:tc>
          <w:tcPr>
            <w:shd w:val="clear" w:fill="B8CCE4"/>
            <w:tcW w:w="5496" w:type="dxa"/>
            <w:vAlign w:val="top"/>
          </w:tcPr>
          <w:p>
            <w:pPr>
              <w:ind w:left="100"/>
              <w:spacing w:before="94"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大股东</w:t>
            </w:r>
            <w:r>
              <w:rPr>
                <w:rFonts w:ascii="Microsoft YaHei" w:hAnsi="Microsoft YaHei" w:eastAsia="Microsoft YaHei" w:cs="Microsoft YaHei"/>
                <w:sz w:val="21"/>
                <w:szCs w:val="21"/>
                <w:b/>
                <w:bCs/>
              </w:rPr>
              <w:t>短线交易。</w:t>
            </w:r>
          </w:p>
        </w:tc>
      </w:tr>
      <w:tr>
        <w:trPr>
          <w:trHeight w:val="723" w:hRule="atLeast"/>
        </w:trPr>
        <w:tc>
          <w:tcPr>
            <w:tcW w:w="8055" w:type="dxa"/>
            <w:vAlign w:val="top"/>
            <w:gridSpan w:val="3"/>
          </w:tcPr>
          <w:p>
            <w:pPr>
              <w:ind w:left="108" w:right="111" w:firstLine="430"/>
              <w:spacing w:before="94"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6"/>
              </w:rPr>
              <w:t>【行政处罚决定】</w:t>
            </w:r>
            <w:r>
              <w:rPr>
                <w:rFonts w:ascii="Microsoft YaHei" w:hAnsi="Microsoft YaHei" w:eastAsia="Microsoft YaHei" w:cs="Microsoft YaHei"/>
                <w:sz w:val="21"/>
                <w:szCs w:val="21"/>
                <w:b/>
                <w:bCs/>
                <w:spacing w:val="-18"/>
              </w:rPr>
              <w:t xml:space="preserve"> </w:t>
            </w:r>
            <w:r>
              <w:rPr>
                <w:rFonts w:ascii="Microsoft YaHei" w:hAnsi="Microsoft YaHei" w:eastAsia="Microsoft YaHei" w:cs="Microsoft YaHei"/>
                <w:sz w:val="21"/>
                <w:szCs w:val="21"/>
                <w:spacing w:val="6"/>
              </w:rPr>
              <w:t>中国证券监督管理委员会福建监管局决定：对林某强给予警</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告，并处以十五万元的罚款。</w:t>
            </w:r>
          </w:p>
        </w:tc>
      </w:tr>
      <w:tr>
        <w:trPr>
          <w:trHeight w:val="1086" w:hRule="atLeast"/>
        </w:trPr>
        <w:tc>
          <w:tcPr>
            <w:shd w:val="clear" w:fill="B8CCE4"/>
            <w:tcW w:w="1214" w:type="dxa"/>
            <w:vAlign w:val="top"/>
          </w:tcPr>
          <w:p>
            <w:pPr>
              <w:spacing w:line="374"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002503</w:t>
            </w:r>
          </w:p>
        </w:tc>
        <w:tc>
          <w:tcPr>
            <w:shd w:val="clear" w:fill="B8CCE4"/>
            <w:tcW w:w="1345" w:type="dxa"/>
            <w:vAlign w:val="top"/>
          </w:tcPr>
          <w:p>
            <w:pPr>
              <w:spacing w:line="364" w:lineRule="auto"/>
              <w:rPr>
                <w:rFonts w:ascii="Arial"/>
                <w:sz w:val="21"/>
              </w:rPr>
            </w:pPr>
            <w:r/>
          </w:p>
          <w:p>
            <w:pPr>
              <w:ind w:left="10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搜特</w:t>
            </w:r>
          </w:p>
        </w:tc>
        <w:tc>
          <w:tcPr>
            <w:shd w:val="clear" w:fill="B8CCE4"/>
            <w:tcW w:w="5496" w:type="dxa"/>
            <w:vAlign w:val="top"/>
          </w:tcPr>
          <w:p>
            <w:pPr>
              <w:ind w:left="101" w:right="174" w:firstLine="8"/>
              <w:spacing w:before="94"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2020 年半年报、</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7"/>
              </w:rPr>
              <w:t>2020 年年报、</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spacing w:val="-7"/>
              </w:rPr>
              <w:t>2021 年</w:t>
            </w:r>
            <w:r>
              <w:rPr>
                <w:rFonts w:ascii="Microsoft YaHei" w:hAnsi="Microsoft YaHei" w:eastAsia="Microsoft YaHei" w:cs="Microsoft YaHei"/>
                <w:sz w:val="21"/>
                <w:szCs w:val="21"/>
                <w:spacing w:val="-8"/>
              </w:rPr>
              <w:t>年报存在</w:t>
            </w:r>
            <w:r>
              <w:rPr>
                <w:rFonts w:ascii="Microsoft YaHei" w:hAnsi="Microsoft YaHei" w:eastAsia="Microsoft YaHei" w:cs="Microsoft YaHei"/>
                <w:sz w:val="21"/>
                <w:szCs w:val="21"/>
                <w:b/>
                <w:bCs/>
                <w:spacing w:val="-8"/>
              </w:rPr>
              <w:t>虚假记</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2"/>
              </w:rPr>
              <w:t>载</w:t>
            </w:r>
            <w:r>
              <w:rPr>
                <w:rFonts w:ascii="Microsoft YaHei" w:hAnsi="Microsoft YaHei" w:eastAsia="Microsoft YaHei" w:cs="Microsoft YaHei"/>
                <w:sz w:val="21"/>
                <w:szCs w:val="21"/>
                <w:spacing w:val="-2"/>
              </w:rPr>
              <w:t>；未按规定披露</w:t>
            </w:r>
            <w:r>
              <w:rPr>
                <w:rFonts w:ascii="Microsoft YaHei" w:hAnsi="Microsoft YaHei" w:eastAsia="Microsoft YaHei" w:cs="Microsoft YaHei"/>
                <w:sz w:val="21"/>
                <w:szCs w:val="21"/>
                <w:b/>
                <w:bCs/>
                <w:spacing w:val="-2"/>
              </w:rPr>
              <w:t>关联交易</w:t>
            </w:r>
            <w:r>
              <w:rPr>
                <w:rFonts w:ascii="Microsoft YaHei" w:hAnsi="Microsoft YaHei" w:eastAsia="Microsoft YaHei" w:cs="Microsoft YaHei"/>
                <w:sz w:val="21"/>
                <w:szCs w:val="21"/>
                <w:b/>
                <w:bCs/>
                <w:spacing w:val="-20"/>
              </w:rPr>
              <w:t xml:space="preserve"> </w:t>
            </w:r>
            <w:r>
              <w:rPr>
                <w:rFonts w:ascii="Microsoft YaHei" w:hAnsi="Microsoft YaHei" w:eastAsia="Microsoft YaHei" w:cs="Microsoft YaHei"/>
                <w:sz w:val="21"/>
                <w:szCs w:val="21"/>
                <w:spacing w:val="-2"/>
              </w:rPr>
              <w:t>，2021 年年报存在重大遗</w:t>
            </w:r>
          </w:p>
          <w:p>
            <w:pPr>
              <w:ind w:left="99"/>
              <w:spacing w:before="67"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1"/>
              </w:rPr>
              <w:t>漏。</w:t>
            </w:r>
          </w:p>
        </w:tc>
      </w:tr>
      <w:tr>
        <w:trPr>
          <w:trHeight w:val="724" w:hRule="atLeast"/>
        </w:trPr>
        <w:tc>
          <w:tcPr>
            <w:tcW w:w="8055" w:type="dxa"/>
            <w:vAlign w:val="top"/>
            <w:gridSpan w:val="3"/>
          </w:tcPr>
          <w:p>
            <w:pPr>
              <w:ind w:left="106" w:right="102" w:firstLine="11"/>
              <w:spacing w:before="95"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【行政处罚决定】</w:t>
            </w:r>
            <w:r>
              <w:rPr>
                <w:rFonts w:ascii="Microsoft YaHei" w:hAnsi="Microsoft YaHei" w:eastAsia="Microsoft YaHei" w:cs="Microsoft YaHei"/>
                <w:sz w:val="21"/>
                <w:szCs w:val="21"/>
              </w:rPr>
              <w:t>中国证券监督管理委员会广东监管局决定：对时任董事,时任</w:t>
            </w:r>
            <w:r>
              <w:rPr>
                <w:rFonts w:ascii="Microsoft YaHei" w:hAnsi="Microsoft YaHei" w:eastAsia="Microsoft YaHei" w:cs="Microsoft YaHei"/>
                <w:sz w:val="21"/>
                <w:szCs w:val="21"/>
                <w:spacing w:val="-1"/>
              </w:rPr>
              <w:t>财务总</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监徐某妮给予警告， 并处以 50 万元的罚款。</w:t>
            </w:r>
          </w:p>
        </w:tc>
      </w:tr>
      <w:tr>
        <w:trPr>
          <w:trHeight w:val="1086" w:hRule="atLeast"/>
        </w:trPr>
        <w:tc>
          <w:tcPr>
            <w:shd w:val="clear" w:fill="B8CCE4"/>
            <w:tcW w:w="1214" w:type="dxa"/>
            <w:vAlign w:val="top"/>
          </w:tcPr>
          <w:p>
            <w:pPr>
              <w:spacing w:line="375"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002503</w:t>
            </w:r>
          </w:p>
        </w:tc>
        <w:tc>
          <w:tcPr>
            <w:shd w:val="clear" w:fill="B8CCE4"/>
            <w:tcW w:w="1345" w:type="dxa"/>
            <w:vAlign w:val="top"/>
          </w:tcPr>
          <w:p>
            <w:pPr>
              <w:spacing w:line="366" w:lineRule="auto"/>
              <w:rPr>
                <w:rFonts w:ascii="Arial"/>
                <w:sz w:val="21"/>
              </w:rPr>
            </w:pPr>
            <w:r/>
          </w:p>
          <w:p>
            <w:pPr>
              <w:ind w:left="10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搜特</w:t>
            </w:r>
          </w:p>
        </w:tc>
        <w:tc>
          <w:tcPr>
            <w:shd w:val="clear" w:fill="B8CCE4"/>
            <w:tcW w:w="5496" w:type="dxa"/>
            <w:vAlign w:val="top"/>
          </w:tcPr>
          <w:p>
            <w:pPr>
              <w:ind w:left="101" w:right="174" w:firstLine="8"/>
              <w:spacing w:before="98"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2020 年半年报、</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7"/>
              </w:rPr>
              <w:t>2020 年年报、</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spacing w:val="-7"/>
              </w:rPr>
              <w:t>2021 年</w:t>
            </w:r>
            <w:r>
              <w:rPr>
                <w:rFonts w:ascii="Microsoft YaHei" w:hAnsi="Microsoft YaHei" w:eastAsia="Microsoft YaHei" w:cs="Microsoft YaHei"/>
                <w:sz w:val="21"/>
                <w:szCs w:val="21"/>
                <w:spacing w:val="-8"/>
              </w:rPr>
              <w:t>年报存在</w:t>
            </w:r>
            <w:r>
              <w:rPr>
                <w:rFonts w:ascii="Microsoft YaHei" w:hAnsi="Microsoft YaHei" w:eastAsia="Microsoft YaHei" w:cs="Microsoft YaHei"/>
                <w:sz w:val="21"/>
                <w:szCs w:val="21"/>
                <w:b/>
                <w:bCs/>
                <w:spacing w:val="-8"/>
              </w:rPr>
              <w:t>虚假记</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2"/>
              </w:rPr>
              <w:t>载</w:t>
            </w:r>
            <w:r>
              <w:rPr>
                <w:rFonts w:ascii="Microsoft YaHei" w:hAnsi="Microsoft YaHei" w:eastAsia="Microsoft YaHei" w:cs="Microsoft YaHei"/>
                <w:sz w:val="21"/>
                <w:szCs w:val="21"/>
                <w:spacing w:val="-2"/>
              </w:rPr>
              <w:t>；未按规定披露</w:t>
            </w:r>
            <w:r>
              <w:rPr>
                <w:rFonts w:ascii="Microsoft YaHei" w:hAnsi="Microsoft YaHei" w:eastAsia="Microsoft YaHei" w:cs="Microsoft YaHei"/>
                <w:sz w:val="21"/>
                <w:szCs w:val="21"/>
                <w:b/>
                <w:bCs/>
                <w:spacing w:val="-2"/>
              </w:rPr>
              <w:t>关联交易</w:t>
            </w:r>
            <w:r>
              <w:rPr>
                <w:rFonts w:ascii="Microsoft YaHei" w:hAnsi="Microsoft YaHei" w:eastAsia="Microsoft YaHei" w:cs="Microsoft YaHei"/>
                <w:sz w:val="21"/>
                <w:szCs w:val="21"/>
                <w:b/>
                <w:bCs/>
                <w:spacing w:val="-20"/>
              </w:rPr>
              <w:t xml:space="preserve"> </w:t>
            </w:r>
            <w:r>
              <w:rPr>
                <w:rFonts w:ascii="Microsoft YaHei" w:hAnsi="Microsoft YaHei" w:eastAsia="Microsoft YaHei" w:cs="Microsoft YaHei"/>
                <w:sz w:val="21"/>
                <w:szCs w:val="21"/>
                <w:spacing w:val="-2"/>
              </w:rPr>
              <w:t>，2021 年年报存在重大遗</w:t>
            </w:r>
          </w:p>
          <w:p>
            <w:pPr>
              <w:ind w:left="99"/>
              <w:spacing w:before="67"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1"/>
              </w:rPr>
              <w:t>漏。</w:t>
            </w:r>
          </w:p>
        </w:tc>
      </w:tr>
      <w:tr>
        <w:trPr>
          <w:trHeight w:val="723" w:hRule="atLeast"/>
        </w:trPr>
        <w:tc>
          <w:tcPr>
            <w:tcW w:w="8055" w:type="dxa"/>
            <w:vAlign w:val="top"/>
            <w:gridSpan w:val="3"/>
          </w:tcPr>
          <w:p>
            <w:pPr>
              <w:ind w:left="113" w:right="99" w:firstLine="4"/>
              <w:spacing w:before="97"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【行政处罚决定】</w:t>
            </w:r>
            <w:r>
              <w:rPr>
                <w:rFonts w:ascii="Microsoft YaHei" w:hAnsi="Microsoft YaHei" w:eastAsia="Microsoft YaHei" w:cs="Microsoft YaHei"/>
                <w:sz w:val="21"/>
                <w:szCs w:val="21"/>
                <w:b/>
                <w:bCs/>
                <w:spacing w:val="-17"/>
              </w:rPr>
              <w:t xml:space="preserve"> </w:t>
            </w:r>
            <w:r>
              <w:rPr>
                <w:rFonts w:ascii="Microsoft YaHei" w:hAnsi="Microsoft YaHei" w:eastAsia="Microsoft YaHei" w:cs="Microsoft YaHei"/>
                <w:sz w:val="21"/>
                <w:szCs w:val="21"/>
                <w:spacing w:val="3"/>
              </w:rPr>
              <w:t>中国证券监督管理委员会广东监管局决定：对时任高管,时任董事,</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时任总经理林某强给予警告，并处以 50 万元的</w:t>
            </w:r>
            <w:r>
              <w:rPr>
                <w:rFonts w:ascii="Microsoft YaHei" w:hAnsi="Microsoft YaHei" w:eastAsia="Microsoft YaHei" w:cs="Microsoft YaHei"/>
                <w:sz w:val="21"/>
                <w:szCs w:val="21"/>
                <w:spacing w:val="-2"/>
              </w:rPr>
              <w:t>罚款。</w:t>
            </w:r>
          </w:p>
        </w:tc>
      </w:tr>
      <w:tr>
        <w:trPr>
          <w:trHeight w:val="1086" w:hRule="atLeast"/>
        </w:trPr>
        <w:tc>
          <w:tcPr>
            <w:shd w:val="clear" w:fill="B8CCE4"/>
            <w:tcW w:w="1214" w:type="dxa"/>
            <w:vAlign w:val="top"/>
          </w:tcPr>
          <w:p>
            <w:pPr>
              <w:spacing w:line="377"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002503</w:t>
            </w:r>
          </w:p>
        </w:tc>
        <w:tc>
          <w:tcPr>
            <w:shd w:val="clear" w:fill="B8CCE4"/>
            <w:tcW w:w="1345" w:type="dxa"/>
            <w:vAlign w:val="top"/>
          </w:tcPr>
          <w:p>
            <w:pPr>
              <w:spacing w:line="367" w:lineRule="auto"/>
              <w:rPr>
                <w:rFonts w:ascii="Arial"/>
                <w:sz w:val="21"/>
              </w:rPr>
            </w:pPr>
            <w:r/>
          </w:p>
          <w:p>
            <w:pPr>
              <w:ind w:left="10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搜特</w:t>
            </w:r>
          </w:p>
        </w:tc>
        <w:tc>
          <w:tcPr>
            <w:shd w:val="clear" w:fill="B8CCE4"/>
            <w:tcW w:w="5496" w:type="dxa"/>
            <w:vAlign w:val="top"/>
          </w:tcPr>
          <w:p>
            <w:pPr>
              <w:ind w:left="101" w:right="174" w:firstLine="8"/>
              <w:spacing w:before="100"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2020 年半年报、</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7"/>
              </w:rPr>
              <w:t>2020 年年报、</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spacing w:val="-7"/>
              </w:rPr>
              <w:t>2021 年</w:t>
            </w:r>
            <w:r>
              <w:rPr>
                <w:rFonts w:ascii="Microsoft YaHei" w:hAnsi="Microsoft YaHei" w:eastAsia="Microsoft YaHei" w:cs="Microsoft YaHei"/>
                <w:sz w:val="21"/>
                <w:szCs w:val="21"/>
                <w:spacing w:val="-8"/>
              </w:rPr>
              <w:t>年报存在</w:t>
            </w:r>
            <w:r>
              <w:rPr>
                <w:rFonts w:ascii="Microsoft YaHei" w:hAnsi="Microsoft YaHei" w:eastAsia="Microsoft YaHei" w:cs="Microsoft YaHei"/>
                <w:sz w:val="21"/>
                <w:szCs w:val="21"/>
                <w:b/>
                <w:bCs/>
                <w:spacing w:val="-8"/>
              </w:rPr>
              <w:t>虚假记</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2"/>
              </w:rPr>
              <w:t>载</w:t>
            </w:r>
            <w:r>
              <w:rPr>
                <w:rFonts w:ascii="Microsoft YaHei" w:hAnsi="Microsoft YaHei" w:eastAsia="Microsoft YaHei" w:cs="Microsoft YaHei"/>
                <w:sz w:val="21"/>
                <w:szCs w:val="21"/>
                <w:spacing w:val="-2"/>
              </w:rPr>
              <w:t>；未按规定披露</w:t>
            </w:r>
            <w:r>
              <w:rPr>
                <w:rFonts w:ascii="Microsoft YaHei" w:hAnsi="Microsoft YaHei" w:eastAsia="Microsoft YaHei" w:cs="Microsoft YaHei"/>
                <w:sz w:val="21"/>
                <w:szCs w:val="21"/>
                <w:b/>
                <w:bCs/>
                <w:spacing w:val="-2"/>
              </w:rPr>
              <w:t>关联交易</w:t>
            </w:r>
            <w:r>
              <w:rPr>
                <w:rFonts w:ascii="Microsoft YaHei" w:hAnsi="Microsoft YaHei" w:eastAsia="Microsoft YaHei" w:cs="Microsoft YaHei"/>
                <w:sz w:val="21"/>
                <w:szCs w:val="21"/>
                <w:b/>
                <w:bCs/>
                <w:spacing w:val="-20"/>
              </w:rPr>
              <w:t xml:space="preserve"> </w:t>
            </w:r>
            <w:r>
              <w:rPr>
                <w:rFonts w:ascii="Microsoft YaHei" w:hAnsi="Microsoft YaHei" w:eastAsia="Microsoft YaHei" w:cs="Microsoft YaHei"/>
                <w:sz w:val="21"/>
                <w:szCs w:val="21"/>
                <w:spacing w:val="-2"/>
              </w:rPr>
              <w:t>，2021 年年报存在重大遗</w:t>
            </w:r>
          </w:p>
          <w:p>
            <w:pPr>
              <w:ind w:left="99"/>
              <w:spacing w:before="6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1"/>
              </w:rPr>
              <w:t>漏。</w:t>
            </w:r>
          </w:p>
        </w:tc>
      </w:tr>
      <w:tr>
        <w:trPr>
          <w:trHeight w:val="726" w:hRule="atLeast"/>
        </w:trPr>
        <w:tc>
          <w:tcPr>
            <w:tcW w:w="8055" w:type="dxa"/>
            <w:vAlign w:val="top"/>
            <w:gridSpan w:val="3"/>
          </w:tcPr>
          <w:p>
            <w:pPr>
              <w:ind w:left="113" w:right="99" w:firstLine="4"/>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3"/>
              </w:rPr>
              <w:t>【行政处罚决定】</w:t>
            </w:r>
            <w:r>
              <w:rPr>
                <w:rFonts w:ascii="Microsoft YaHei" w:hAnsi="Microsoft YaHei" w:eastAsia="Microsoft YaHei" w:cs="Microsoft YaHei"/>
                <w:sz w:val="21"/>
                <w:szCs w:val="21"/>
                <w:b/>
                <w:bCs/>
                <w:spacing w:val="-17"/>
              </w:rPr>
              <w:t xml:space="preserve"> </w:t>
            </w:r>
            <w:r>
              <w:rPr>
                <w:rFonts w:ascii="Microsoft YaHei" w:hAnsi="Microsoft YaHei" w:eastAsia="Microsoft YaHei" w:cs="Microsoft YaHei"/>
                <w:sz w:val="21"/>
                <w:szCs w:val="21"/>
                <w:spacing w:val="3"/>
              </w:rPr>
              <w:t>中国证券监督管理委员会广东监管局决定：对时任高管,时任董事,</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时任总经理伍某给予警告，并处以 50 万元的</w:t>
            </w:r>
            <w:r>
              <w:rPr>
                <w:rFonts w:ascii="Microsoft YaHei" w:hAnsi="Microsoft YaHei" w:eastAsia="Microsoft YaHei" w:cs="Microsoft YaHei"/>
                <w:sz w:val="21"/>
                <w:szCs w:val="21"/>
                <w:spacing w:val="-2"/>
              </w:rPr>
              <w:t>罚款。</w:t>
            </w:r>
          </w:p>
        </w:tc>
      </w:tr>
      <w:tr>
        <w:trPr>
          <w:trHeight w:val="1083" w:hRule="atLeast"/>
        </w:trPr>
        <w:tc>
          <w:tcPr>
            <w:shd w:val="clear" w:fill="B8CCE4"/>
            <w:tcW w:w="1214" w:type="dxa"/>
            <w:vAlign w:val="top"/>
          </w:tcPr>
          <w:p>
            <w:pPr>
              <w:spacing w:line="376"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002503</w:t>
            </w:r>
          </w:p>
        </w:tc>
        <w:tc>
          <w:tcPr>
            <w:shd w:val="clear" w:fill="B8CCE4"/>
            <w:tcW w:w="1345" w:type="dxa"/>
            <w:vAlign w:val="top"/>
          </w:tcPr>
          <w:p>
            <w:pPr>
              <w:spacing w:line="367" w:lineRule="auto"/>
              <w:rPr>
                <w:rFonts w:ascii="Arial"/>
                <w:sz w:val="21"/>
              </w:rPr>
            </w:pPr>
            <w:r/>
          </w:p>
          <w:p>
            <w:pPr>
              <w:ind w:left="10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搜特</w:t>
            </w:r>
          </w:p>
        </w:tc>
        <w:tc>
          <w:tcPr>
            <w:shd w:val="clear" w:fill="B8CCE4"/>
            <w:tcW w:w="5496" w:type="dxa"/>
            <w:vAlign w:val="top"/>
          </w:tcPr>
          <w:p>
            <w:pPr>
              <w:ind w:left="101" w:right="174" w:firstLine="8"/>
              <w:spacing w:before="99"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2020 年半年报、</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7"/>
              </w:rPr>
              <w:t>2020 年年报、</w:t>
            </w:r>
            <w:r>
              <w:rPr>
                <w:rFonts w:ascii="Microsoft YaHei" w:hAnsi="Microsoft YaHei" w:eastAsia="Microsoft YaHei" w:cs="Microsoft YaHei"/>
                <w:sz w:val="21"/>
                <w:szCs w:val="21"/>
                <w:spacing w:val="46"/>
              </w:rPr>
              <w:t xml:space="preserve"> </w:t>
            </w:r>
            <w:r>
              <w:rPr>
                <w:rFonts w:ascii="Microsoft YaHei" w:hAnsi="Microsoft YaHei" w:eastAsia="Microsoft YaHei" w:cs="Microsoft YaHei"/>
                <w:sz w:val="21"/>
                <w:szCs w:val="21"/>
                <w:spacing w:val="-7"/>
              </w:rPr>
              <w:t>2021 年</w:t>
            </w:r>
            <w:r>
              <w:rPr>
                <w:rFonts w:ascii="Microsoft YaHei" w:hAnsi="Microsoft YaHei" w:eastAsia="Microsoft YaHei" w:cs="Microsoft YaHei"/>
                <w:sz w:val="21"/>
                <w:szCs w:val="21"/>
                <w:spacing w:val="-8"/>
              </w:rPr>
              <w:t>年报存在</w:t>
            </w:r>
            <w:r>
              <w:rPr>
                <w:rFonts w:ascii="Microsoft YaHei" w:hAnsi="Microsoft YaHei" w:eastAsia="Microsoft YaHei" w:cs="Microsoft YaHei"/>
                <w:sz w:val="21"/>
                <w:szCs w:val="21"/>
                <w:b/>
                <w:bCs/>
                <w:spacing w:val="-8"/>
              </w:rPr>
              <w:t>虚假记</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2"/>
              </w:rPr>
              <w:t>载</w:t>
            </w:r>
            <w:r>
              <w:rPr>
                <w:rFonts w:ascii="Microsoft YaHei" w:hAnsi="Microsoft YaHei" w:eastAsia="Microsoft YaHei" w:cs="Microsoft YaHei"/>
                <w:sz w:val="21"/>
                <w:szCs w:val="21"/>
                <w:spacing w:val="-2"/>
              </w:rPr>
              <w:t>；未按规定披露</w:t>
            </w:r>
            <w:r>
              <w:rPr>
                <w:rFonts w:ascii="Microsoft YaHei" w:hAnsi="Microsoft YaHei" w:eastAsia="Microsoft YaHei" w:cs="Microsoft YaHei"/>
                <w:sz w:val="21"/>
                <w:szCs w:val="21"/>
                <w:b/>
                <w:bCs/>
                <w:spacing w:val="-2"/>
              </w:rPr>
              <w:t>关联交易</w:t>
            </w:r>
            <w:r>
              <w:rPr>
                <w:rFonts w:ascii="Microsoft YaHei" w:hAnsi="Microsoft YaHei" w:eastAsia="Microsoft YaHei" w:cs="Microsoft YaHei"/>
                <w:sz w:val="21"/>
                <w:szCs w:val="21"/>
                <w:b/>
                <w:bCs/>
                <w:spacing w:val="-20"/>
              </w:rPr>
              <w:t xml:space="preserve"> </w:t>
            </w:r>
            <w:r>
              <w:rPr>
                <w:rFonts w:ascii="Microsoft YaHei" w:hAnsi="Microsoft YaHei" w:eastAsia="Microsoft YaHei" w:cs="Microsoft YaHei"/>
                <w:sz w:val="21"/>
                <w:szCs w:val="21"/>
                <w:spacing w:val="-2"/>
              </w:rPr>
              <w:t>，2021 年年报存在重大遗</w:t>
            </w:r>
          </w:p>
          <w:p>
            <w:pPr>
              <w:ind w:left="99"/>
              <w:spacing w:before="67"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1"/>
              </w:rPr>
              <w:t>漏。</w:t>
            </w:r>
          </w:p>
        </w:tc>
      </w:tr>
      <w:tr>
        <w:trPr>
          <w:trHeight w:val="726" w:hRule="atLeast"/>
        </w:trPr>
        <w:tc>
          <w:tcPr>
            <w:tcW w:w="8055" w:type="dxa"/>
            <w:vAlign w:val="top"/>
            <w:gridSpan w:val="3"/>
          </w:tcPr>
          <w:p>
            <w:pPr>
              <w:ind w:left="107" w:right="100" w:firstLine="11"/>
              <w:spacing w:before="100"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中国证券监督管理委员会广东监管局决定：对时任董事长马某给予</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9"/>
              </w:rPr>
              <w:t>警告，</w:t>
            </w:r>
            <w:r>
              <w:rPr>
                <w:rFonts w:ascii="Microsoft YaHei" w:hAnsi="Microsoft YaHei" w:eastAsia="Microsoft YaHei" w:cs="Microsoft YaHei"/>
                <w:sz w:val="21"/>
                <w:szCs w:val="21"/>
                <w:spacing w:val="41"/>
                <w:w w:val="101"/>
              </w:rPr>
              <w:t xml:space="preserve"> </w:t>
            </w:r>
            <w:r>
              <w:rPr>
                <w:rFonts w:ascii="Microsoft YaHei" w:hAnsi="Microsoft YaHei" w:eastAsia="Microsoft YaHei" w:cs="Microsoft YaHei"/>
                <w:sz w:val="21"/>
                <w:szCs w:val="21"/>
                <w:spacing w:val="-9"/>
              </w:rPr>
              <w:t>并处以 100 万元的罚款。</w:t>
            </w:r>
          </w:p>
        </w:tc>
      </w:tr>
      <w:tr>
        <w:trPr>
          <w:trHeight w:val="1815" w:hRule="atLeast"/>
        </w:trPr>
        <w:tc>
          <w:tcPr>
            <w:shd w:val="clear" w:fill="B8CCE4"/>
            <w:tcW w:w="1214"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ind w:left="11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600185</w:t>
            </w:r>
          </w:p>
        </w:tc>
        <w:tc>
          <w:tcPr>
            <w:shd w:val="clear" w:fill="B8CCE4"/>
            <w:tcW w:w="1345"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格力地产</w:t>
            </w:r>
          </w:p>
        </w:tc>
        <w:tc>
          <w:tcPr>
            <w:shd w:val="clear" w:fill="B8CCE4"/>
            <w:tcW w:w="5496" w:type="dxa"/>
            <w:vAlign w:val="top"/>
          </w:tcPr>
          <w:p>
            <w:pPr>
              <w:ind w:left="99" w:right="121" w:firstLine="1"/>
              <w:spacing w:before="101" w:line="22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格力地产 2018 年年度报告、</w:t>
            </w:r>
            <w:r>
              <w:rPr>
                <w:rFonts w:ascii="Microsoft YaHei" w:hAnsi="Microsoft YaHei" w:eastAsia="Microsoft YaHei" w:cs="Microsoft YaHei"/>
                <w:sz w:val="21"/>
                <w:szCs w:val="21"/>
                <w:spacing w:val="31"/>
              </w:rPr>
              <w:t xml:space="preserve"> </w:t>
            </w:r>
            <w:r>
              <w:rPr>
                <w:rFonts w:ascii="Microsoft YaHei" w:hAnsi="Microsoft YaHei" w:eastAsia="Microsoft YaHei" w:cs="Microsoft YaHei"/>
                <w:sz w:val="21"/>
                <w:szCs w:val="21"/>
                <w:spacing w:val="-4"/>
              </w:rPr>
              <w:t>2019 年年度报告、2020 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年度报告、</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6"/>
              </w:rPr>
              <w:t>2021 年年度报告、</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6"/>
              </w:rPr>
              <w:t>2022</w:t>
            </w:r>
            <w:r>
              <w:rPr>
                <w:rFonts w:ascii="Microsoft YaHei" w:hAnsi="Microsoft YaHei" w:eastAsia="Microsoft YaHei" w:cs="Microsoft YaHei"/>
                <w:sz w:val="21"/>
                <w:szCs w:val="21"/>
                <w:spacing w:val="-7"/>
              </w:rPr>
              <w:t xml:space="preserve"> 年年度报告，“21   </w:t>
            </w:r>
            <w:r>
              <w:rPr>
                <w:rFonts w:ascii="Microsoft YaHei" w:hAnsi="Microsoft YaHei" w:eastAsia="Microsoft YaHei" w:cs="Microsoft YaHei"/>
                <w:sz w:val="21"/>
                <w:szCs w:val="21"/>
                <w:spacing w:val="-3"/>
              </w:rPr>
              <w:t>格地 02”“22 格地 02”“23 格地 01”债券发行公告、</w:t>
            </w:r>
            <w:r>
              <w:rPr>
                <w:rFonts w:ascii="Microsoft YaHei" w:hAnsi="Microsoft YaHei" w:eastAsia="Microsoft YaHei" w:cs="Microsoft YaHei"/>
                <w:sz w:val="21"/>
                <w:szCs w:val="21"/>
                <w:spacing w:val="9"/>
              </w:rPr>
              <w:t xml:space="preserve"> </w:t>
            </w:r>
            <w:r>
              <w:rPr>
                <w:rFonts w:ascii="Microsoft YaHei" w:hAnsi="Microsoft YaHei" w:eastAsia="Microsoft YaHei" w:cs="Microsoft YaHei"/>
                <w:sz w:val="21"/>
                <w:szCs w:val="21"/>
                <w:spacing w:val="-4"/>
              </w:rPr>
              <w:t>募集说明书等文件， 银行间债券市场 2018 年</w:t>
            </w:r>
            <w:r>
              <w:rPr>
                <w:rFonts w:ascii="Microsoft YaHei" w:hAnsi="Microsoft YaHei" w:eastAsia="Microsoft YaHei" w:cs="Microsoft YaHei"/>
                <w:sz w:val="21"/>
                <w:szCs w:val="21"/>
                <w:spacing w:val="-5"/>
              </w:rPr>
              <w:t>年度报告、</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2019 年年度报告、2020 年年度报告存在</w:t>
            </w:r>
            <w:r>
              <w:rPr>
                <w:rFonts w:ascii="Microsoft YaHei" w:hAnsi="Microsoft YaHei" w:eastAsia="Microsoft YaHei" w:cs="Microsoft YaHei"/>
                <w:sz w:val="21"/>
                <w:szCs w:val="21"/>
                <w:b/>
                <w:bCs/>
                <w:spacing w:val="-1"/>
              </w:rPr>
              <w:t>错报。</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33" w:hRule="atLeast"/>
        </w:trPr>
        <w:tc>
          <w:tcPr>
            <w:tcW w:w="8055" w:type="dxa"/>
            <w:vAlign w:val="top"/>
            <w:gridSpan w:val="3"/>
            <w:tcBorders>
              <w:top w:val="single" w:color="4F81BD" w:sz="2" w:space="0"/>
            </w:tcBorders>
          </w:tcPr>
          <w:p>
            <w:pPr>
              <w:ind w:left="110" w:right="100" w:firstLine="8"/>
              <w:spacing w:before="9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中国证券监督管理委员会广东监管局决定：对时任董事长鲁某四给</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3"/>
              </w:rPr>
              <w:t>予警告，并处以 150 万元罚款。</w:t>
            </w:r>
          </w:p>
        </w:tc>
      </w:tr>
      <w:tr>
        <w:trPr>
          <w:trHeight w:val="364" w:hRule="atLeast"/>
        </w:trPr>
        <w:tc>
          <w:tcPr>
            <w:shd w:val="clear" w:fill="B8CCE4"/>
            <w:tcW w:w="1214" w:type="dxa"/>
            <w:vAlign w:val="top"/>
          </w:tcPr>
          <w:p>
            <w:pPr>
              <w:ind w:left="111"/>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002092</w:t>
            </w:r>
          </w:p>
        </w:tc>
        <w:tc>
          <w:tcPr>
            <w:shd w:val="clear" w:fill="B8CCE4"/>
            <w:tcW w:w="1345" w:type="dxa"/>
            <w:vAlign w:val="top"/>
          </w:tcPr>
          <w:p>
            <w:pPr>
              <w:ind w:left="113"/>
              <w:spacing w:before="88"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中泰化学</w:t>
            </w:r>
          </w:p>
        </w:tc>
        <w:tc>
          <w:tcPr>
            <w:shd w:val="clear" w:fill="B8CCE4"/>
            <w:tcW w:w="5496" w:type="dxa"/>
            <w:vAlign w:val="top"/>
          </w:tcPr>
          <w:p>
            <w:pPr>
              <w:ind w:left="113"/>
              <w:spacing w:before="88"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内幕交易</w:t>
            </w:r>
            <w:r>
              <w:rPr>
                <w:rFonts w:ascii="Microsoft YaHei" w:hAnsi="Microsoft YaHei" w:eastAsia="Microsoft YaHei" w:cs="Microsoft YaHei"/>
                <w:sz w:val="21"/>
                <w:szCs w:val="21"/>
                <w:spacing w:val="-4"/>
              </w:rPr>
              <w:t>公司股票。</w:t>
            </w:r>
          </w:p>
        </w:tc>
      </w:tr>
      <w:tr>
        <w:trPr>
          <w:trHeight w:val="726" w:hRule="atLeast"/>
        </w:trPr>
        <w:tc>
          <w:tcPr>
            <w:tcW w:w="8055" w:type="dxa"/>
            <w:vAlign w:val="top"/>
            <w:gridSpan w:val="3"/>
          </w:tcPr>
          <w:p>
            <w:pPr>
              <w:ind w:left="107" w:right="108" w:firstLine="11"/>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7"/>
              </w:rPr>
              <w:t>【行政处罚决定】</w:t>
            </w:r>
            <w:r>
              <w:rPr>
                <w:rFonts w:ascii="Microsoft YaHei" w:hAnsi="Microsoft YaHei" w:eastAsia="Microsoft YaHei" w:cs="Microsoft YaHei"/>
                <w:sz w:val="21"/>
                <w:szCs w:val="21"/>
                <w:spacing w:val="7"/>
              </w:rPr>
              <w:t>新疆证监局决定：责令员工张某萍依法处置非法持有的“中泰化</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学”股票， 没收违法所得 19,522.62 元并处以 50 万元罚款。</w:t>
            </w:r>
          </w:p>
        </w:tc>
      </w:tr>
      <w:tr>
        <w:trPr>
          <w:trHeight w:val="364" w:hRule="atLeast"/>
        </w:trPr>
        <w:tc>
          <w:tcPr>
            <w:shd w:val="clear" w:fill="B8CCE4"/>
            <w:tcW w:w="1214" w:type="dxa"/>
            <w:vAlign w:val="top"/>
          </w:tcPr>
          <w:p>
            <w:pPr>
              <w:ind w:left="111"/>
              <w:spacing w:before="98"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002092</w:t>
            </w:r>
          </w:p>
        </w:tc>
        <w:tc>
          <w:tcPr>
            <w:shd w:val="clear" w:fill="B8CCE4"/>
            <w:tcW w:w="1345" w:type="dxa"/>
            <w:vAlign w:val="top"/>
          </w:tcPr>
          <w:p>
            <w:pPr>
              <w:ind w:left="113"/>
              <w:spacing w:before="89"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中泰化学</w:t>
            </w:r>
          </w:p>
        </w:tc>
        <w:tc>
          <w:tcPr>
            <w:shd w:val="clear" w:fill="B8CCE4"/>
            <w:tcW w:w="5496" w:type="dxa"/>
            <w:vAlign w:val="top"/>
          </w:tcPr>
          <w:p>
            <w:pPr>
              <w:ind w:left="113"/>
              <w:spacing w:before="89"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内幕交易</w:t>
            </w:r>
            <w:r>
              <w:rPr>
                <w:rFonts w:ascii="Microsoft YaHei" w:hAnsi="Microsoft YaHei" w:eastAsia="Microsoft YaHei" w:cs="Microsoft YaHei"/>
                <w:sz w:val="21"/>
                <w:szCs w:val="21"/>
                <w:spacing w:val="-4"/>
              </w:rPr>
              <w:t>公司股票。</w:t>
            </w:r>
          </w:p>
        </w:tc>
      </w:tr>
      <w:tr>
        <w:trPr>
          <w:trHeight w:val="1086" w:hRule="atLeast"/>
        </w:trPr>
        <w:tc>
          <w:tcPr>
            <w:tcW w:w="8055" w:type="dxa"/>
            <w:vAlign w:val="top"/>
            <w:gridSpan w:val="3"/>
          </w:tcPr>
          <w:p>
            <w:pPr>
              <w:ind w:left="105" w:right="99" w:firstLine="13"/>
              <w:spacing w:before="94"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w:t>
            </w:r>
            <w:r>
              <w:rPr>
                <w:rFonts w:ascii="Microsoft YaHei" w:hAnsi="Microsoft YaHei" w:eastAsia="Microsoft YaHei" w:cs="Microsoft YaHei"/>
                <w:sz w:val="21"/>
                <w:szCs w:val="21"/>
                <w:spacing w:val="-2"/>
              </w:rPr>
              <w:t>新疆证监局决定：没收颐和银丰天元（天津）</w:t>
            </w:r>
            <w:r>
              <w:rPr>
                <w:rFonts w:ascii="Microsoft YaHei" w:hAnsi="Microsoft YaHei" w:eastAsia="Microsoft YaHei" w:cs="Microsoft YaHei"/>
                <w:sz w:val="21"/>
                <w:szCs w:val="21"/>
                <w:spacing w:val="61"/>
              </w:rPr>
              <w:t xml:space="preserve"> </w:t>
            </w:r>
            <w:r>
              <w:rPr>
                <w:rFonts w:ascii="Microsoft YaHei" w:hAnsi="Microsoft YaHei" w:eastAsia="Microsoft YaHei" w:cs="Microsoft YaHei"/>
                <w:sz w:val="21"/>
                <w:szCs w:val="21"/>
                <w:spacing w:val="-2"/>
              </w:rPr>
              <w:t>集团有限公司违法所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得</w:t>
            </w:r>
            <w:r>
              <w:rPr>
                <w:rFonts w:ascii="Microsoft YaHei" w:hAnsi="Microsoft YaHei" w:eastAsia="Microsoft YaHei" w:cs="Microsoft YaHei"/>
                <w:sz w:val="21"/>
                <w:szCs w:val="21"/>
                <w:spacing w:val="34"/>
              </w:rPr>
              <w:t xml:space="preserve"> </w:t>
            </w:r>
            <w:r>
              <w:rPr>
                <w:rFonts w:ascii="Microsoft YaHei" w:hAnsi="Microsoft YaHei" w:eastAsia="Microsoft YaHei" w:cs="Microsoft YaHei"/>
                <w:sz w:val="21"/>
                <w:szCs w:val="21"/>
                <w:spacing w:val="-2"/>
              </w:rPr>
              <w:t>37,513.32</w:t>
            </w:r>
            <w:r>
              <w:rPr>
                <w:rFonts w:ascii="Microsoft YaHei" w:hAnsi="Microsoft YaHei" w:eastAsia="Microsoft YaHei" w:cs="Microsoft YaHei"/>
                <w:sz w:val="21"/>
                <w:szCs w:val="21"/>
                <w:spacing w:val="24"/>
                <w:w w:val="101"/>
              </w:rPr>
              <w:t xml:space="preserve"> </w:t>
            </w:r>
            <w:r>
              <w:rPr>
                <w:rFonts w:ascii="Microsoft YaHei" w:hAnsi="Microsoft YaHei" w:eastAsia="Microsoft YaHei" w:cs="Microsoft YaHei"/>
                <w:sz w:val="21"/>
                <w:szCs w:val="21"/>
                <w:spacing w:val="-2"/>
              </w:rPr>
              <w:t>元并处以</w:t>
            </w:r>
            <w:r>
              <w:rPr>
                <w:rFonts w:ascii="Microsoft YaHei" w:hAnsi="Microsoft YaHei" w:eastAsia="Microsoft YaHei" w:cs="Microsoft YaHei"/>
                <w:sz w:val="21"/>
                <w:szCs w:val="21"/>
                <w:spacing w:val="35"/>
                <w:w w:val="101"/>
              </w:rPr>
              <w:t xml:space="preserve"> </w:t>
            </w:r>
            <w:r>
              <w:rPr>
                <w:rFonts w:ascii="Microsoft YaHei" w:hAnsi="Microsoft YaHei" w:eastAsia="Microsoft YaHei" w:cs="Microsoft YaHei"/>
                <w:sz w:val="21"/>
                <w:szCs w:val="21"/>
                <w:spacing w:val="-2"/>
              </w:rPr>
              <w:t>50</w:t>
            </w:r>
            <w:r>
              <w:rPr>
                <w:rFonts w:ascii="Microsoft YaHei" w:hAnsi="Microsoft YaHei" w:eastAsia="Microsoft YaHei" w:cs="Microsoft YaHei"/>
                <w:sz w:val="21"/>
                <w:szCs w:val="21"/>
                <w:spacing w:val="24"/>
              </w:rPr>
              <w:t xml:space="preserve"> </w:t>
            </w:r>
            <w:r>
              <w:rPr>
                <w:rFonts w:ascii="Microsoft YaHei" w:hAnsi="Microsoft YaHei" w:eastAsia="Microsoft YaHei" w:cs="Microsoft YaHei"/>
                <w:sz w:val="21"/>
                <w:szCs w:val="21"/>
                <w:spacing w:val="-2"/>
              </w:rPr>
              <w:t>万元罚款，</w:t>
            </w:r>
            <w:r>
              <w:rPr>
                <w:rFonts w:ascii="Microsoft YaHei" w:hAnsi="Microsoft YaHei" w:eastAsia="Microsoft YaHei" w:cs="Microsoft YaHei"/>
                <w:sz w:val="21"/>
                <w:szCs w:val="21"/>
                <w:spacing w:val="-3"/>
              </w:rPr>
              <w:t xml:space="preserve"> 对直接负责的主管人员方某云予以警告并处以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20 万元罚款。</w:t>
            </w:r>
          </w:p>
        </w:tc>
      </w:tr>
      <w:tr>
        <w:trPr>
          <w:trHeight w:val="364" w:hRule="atLeast"/>
        </w:trPr>
        <w:tc>
          <w:tcPr>
            <w:shd w:val="clear" w:fill="B8CCE4"/>
            <w:tcW w:w="1214" w:type="dxa"/>
            <w:vAlign w:val="top"/>
          </w:tcPr>
          <w:p>
            <w:pPr>
              <w:ind w:left="114"/>
              <w:spacing w:before="98"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688676</w:t>
            </w:r>
          </w:p>
        </w:tc>
        <w:tc>
          <w:tcPr>
            <w:shd w:val="clear" w:fill="B8CCE4"/>
            <w:tcW w:w="1345" w:type="dxa"/>
            <w:vAlign w:val="top"/>
          </w:tcPr>
          <w:p>
            <w:pPr>
              <w:ind w:left="97"/>
              <w:spacing w:before="89"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金盘科技</w:t>
            </w:r>
          </w:p>
        </w:tc>
        <w:tc>
          <w:tcPr>
            <w:shd w:val="clear" w:fill="B8CCE4"/>
            <w:tcW w:w="5496" w:type="dxa"/>
            <w:vAlign w:val="top"/>
          </w:tcPr>
          <w:p>
            <w:pPr>
              <w:ind w:left="109"/>
              <w:spacing w:before="89"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时任监事配偶</w:t>
            </w:r>
            <w:r>
              <w:rPr>
                <w:rFonts w:ascii="Microsoft YaHei" w:hAnsi="Microsoft YaHei" w:eastAsia="Microsoft YaHei" w:cs="Microsoft YaHei"/>
                <w:sz w:val="21"/>
                <w:szCs w:val="21"/>
                <w:b/>
                <w:bCs/>
                <w:spacing w:val="-3"/>
              </w:rPr>
              <w:t>短线交易。</w:t>
            </w:r>
          </w:p>
        </w:tc>
      </w:tr>
      <w:tr>
        <w:trPr>
          <w:trHeight w:val="726" w:hRule="atLeast"/>
        </w:trPr>
        <w:tc>
          <w:tcPr>
            <w:tcW w:w="8055" w:type="dxa"/>
            <w:vAlign w:val="top"/>
            <w:gridSpan w:val="3"/>
          </w:tcPr>
          <w:p>
            <w:pPr>
              <w:ind w:left="108" w:right="100" w:firstLine="10"/>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中国证券监督管理委员会海南监管局决定：对时任监事林某给予警</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告，并处以 10 万元罚款。</w:t>
            </w:r>
          </w:p>
        </w:tc>
      </w:tr>
      <w:tr>
        <w:trPr>
          <w:trHeight w:val="724" w:hRule="atLeast"/>
        </w:trPr>
        <w:tc>
          <w:tcPr>
            <w:shd w:val="clear" w:fill="B8CCE4"/>
            <w:tcW w:w="1214" w:type="dxa"/>
            <w:vAlign w:val="top"/>
          </w:tcPr>
          <w:p>
            <w:pPr>
              <w:ind w:left="117"/>
              <w:spacing w:before="279"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300715</w:t>
            </w:r>
          </w:p>
        </w:tc>
        <w:tc>
          <w:tcPr>
            <w:shd w:val="clear" w:fill="B8CCE4"/>
            <w:tcW w:w="1345" w:type="dxa"/>
            <w:vAlign w:val="top"/>
          </w:tcPr>
          <w:p>
            <w:pPr>
              <w:ind w:left="104"/>
              <w:spacing w:before="27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凯伦股份</w:t>
            </w:r>
          </w:p>
        </w:tc>
        <w:tc>
          <w:tcPr>
            <w:shd w:val="clear" w:fill="B8CCE4"/>
            <w:tcW w:w="5496" w:type="dxa"/>
            <w:vAlign w:val="top"/>
          </w:tcPr>
          <w:p>
            <w:pPr>
              <w:ind w:left="100" w:right="126"/>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未及时披露</w:t>
            </w:r>
            <w:r>
              <w:rPr>
                <w:rFonts w:ascii="Microsoft YaHei" w:hAnsi="Microsoft YaHei" w:eastAsia="Microsoft YaHei" w:cs="Microsoft YaHei"/>
                <w:sz w:val="21"/>
                <w:szCs w:val="21"/>
                <w:b/>
                <w:bCs/>
              </w:rPr>
              <w:t>关联方非经营性资金占用</w:t>
            </w:r>
            <w:r>
              <w:rPr>
                <w:rFonts w:ascii="Microsoft YaHei" w:hAnsi="Microsoft YaHei" w:eastAsia="Microsoft YaHei" w:cs="Microsoft YaHei"/>
                <w:sz w:val="21"/>
                <w:szCs w:val="21"/>
              </w:rPr>
              <w:t>；定期报告存在</w:t>
            </w:r>
            <w:r>
              <w:rPr>
                <w:rFonts w:ascii="Microsoft YaHei" w:hAnsi="Microsoft YaHei" w:eastAsia="Microsoft YaHei" w:cs="Microsoft YaHei"/>
                <w:sz w:val="21"/>
                <w:szCs w:val="21"/>
                <w:b/>
                <w:bCs/>
              </w:rPr>
              <w:t>重大</w:t>
            </w:r>
            <w:r>
              <w:rPr>
                <w:rFonts w:ascii="Microsoft YaHei" w:hAnsi="Microsoft YaHei" w:eastAsia="Microsoft YaHei" w:cs="Microsoft YaHei"/>
                <w:sz w:val="21"/>
                <w:szCs w:val="21"/>
                <w:b/>
                <w:bCs/>
                <w:spacing w:val="3"/>
              </w:rPr>
              <w:t xml:space="preserve"> </w:t>
            </w:r>
            <w:r>
              <w:rPr>
                <w:rFonts w:ascii="Microsoft YaHei" w:hAnsi="Microsoft YaHei" w:eastAsia="Microsoft YaHei" w:cs="Microsoft YaHei"/>
                <w:sz w:val="21"/>
                <w:szCs w:val="21"/>
                <w:b/>
                <w:bCs/>
                <w:spacing w:val="-9"/>
              </w:rPr>
              <w:t>遗漏。</w:t>
            </w:r>
          </w:p>
        </w:tc>
      </w:tr>
      <w:tr>
        <w:trPr>
          <w:trHeight w:val="2886" w:hRule="atLeast"/>
        </w:trPr>
        <w:tc>
          <w:tcPr>
            <w:tcW w:w="8055" w:type="dxa"/>
            <w:vAlign w:val="top"/>
            <w:gridSpan w:val="3"/>
          </w:tcPr>
          <w:p>
            <w:pPr>
              <w:ind w:left="105" w:right="105" w:firstLine="13"/>
              <w:spacing w:before="94"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【行政处罚决定】</w:t>
            </w:r>
            <w:r>
              <w:rPr>
                <w:rFonts w:ascii="Microsoft YaHei" w:hAnsi="Microsoft YaHei" w:eastAsia="Microsoft YaHei" w:cs="Microsoft YaHei"/>
                <w:sz w:val="21"/>
                <w:szCs w:val="21"/>
              </w:rPr>
              <w:t>中国证券监督管理委员会江苏监管局决定:（一）对江</w:t>
            </w:r>
            <w:r>
              <w:rPr>
                <w:rFonts w:ascii="Microsoft YaHei" w:hAnsi="Microsoft YaHei" w:eastAsia="Microsoft YaHei" w:cs="Microsoft YaHei"/>
                <w:sz w:val="21"/>
                <w:szCs w:val="21"/>
                <w:spacing w:val="-1"/>
              </w:rPr>
              <w:t>苏凯伦建材股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份有限公司给予警告，并处以一百七十万元罚款;</w:t>
            </w:r>
          </w:p>
          <w:p>
            <w:pPr>
              <w:ind w:left="135"/>
              <w:spacing w:before="68"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（二）</w:t>
            </w:r>
            <w:r>
              <w:rPr>
                <w:rFonts w:ascii="Microsoft YaHei" w:hAnsi="Microsoft YaHei" w:eastAsia="Microsoft YaHei" w:cs="Microsoft YaHei"/>
                <w:sz w:val="21"/>
                <w:szCs w:val="21"/>
                <w:spacing w:val="35"/>
              </w:rPr>
              <w:t xml:space="preserve"> </w:t>
            </w:r>
            <w:r>
              <w:rPr>
                <w:rFonts w:ascii="Microsoft YaHei" w:hAnsi="Microsoft YaHei" w:eastAsia="Microsoft YaHei" w:cs="Microsoft YaHei"/>
                <w:sz w:val="21"/>
                <w:szCs w:val="21"/>
                <w:spacing w:val="-5"/>
              </w:rPr>
              <w:t>对凯伦控股投资有限公司处以一百七十万元罚款;</w:t>
            </w:r>
          </w:p>
          <w:p>
            <w:pPr>
              <w:ind w:left="104" w:right="101" w:firstLine="30"/>
              <w:spacing w:before="73" w:line="22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（三）对董事长钱某弟给予警告，并处以一百八十万元罚款，其中以江</w:t>
            </w:r>
            <w:r>
              <w:rPr>
                <w:rFonts w:ascii="Microsoft YaHei" w:hAnsi="Microsoft YaHei" w:eastAsia="Microsoft YaHei" w:cs="Microsoft YaHei"/>
                <w:sz w:val="21"/>
                <w:szCs w:val="21"/>
              </w:rPr>
              <w:t>苏凯伦建材股 </w:t>
            </w:r>
            <w:r>
              <w:rPr>
                <w:rFonts w:ascii="Microsoft YaHei" w:hAnsi="Microsoft YaHei" w:eastAsia="Microsoft YaHei" w:cs="Microsoft YaHei"/>
                <w:sz w:val="21"/>
                <w:szCs w:val="21"/>
                <w:spacing w:val="2"/>
              </w:rPr>
              <w:t>份有限公司董事长身份处以一百万元罚款，以凯伦控股投</w:t>
            </w:r>
            <w:r>
              <w:rPr>
                <w:rFonts w:ascii="Microsoft YaHei" w:hAnsi="Microsoft YaHei" w:eastAsia="Microsoft YaHei" w:cs="Microsoft YaHei"/>
                <w:sz w:val="21"/>
                <w:szCs w:val="21"/>
                <w:spacing w:val="1"/>
              </w:rPr>
              <w:t>资有限公司负责人身份处以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八十万元罚款;</w:t>
            </w:r>
          </w:p>
          <w:p>
            <w:pPr>
              <w:ind w:left="105" w:right="104" w:firstLine="29"/>
              <w:spacing w:before="67"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（四）对财务总监,董事,高管季某宇、董事,高管张某给予警告，并各处以六十万元罚</w:t>
            </w:r>
            <w:r>
              <w:rPr>
                <w:rFonts w:ascii="Microsoft YaHei" w:hAnsi="Microsoft YaHei" w:eastAsia="Microsoft YaHei" w:cs="Microsoft YaHei"/>
                <w:sz w:val="21"/>
                <w:szCs w:val="21"/>
                <w:spacing w:val="9"/>
              </w:rPr>
              <w:t xml:space="preserve"> </w:t>
            </w:r>
            <w:r>
              <w:rPr>
                <w:rFonts w:ascii="Microsoft YaHei" w:hAnsi="Microsoft YaHei" w:eastAsia="Microsoft YaHei" w:cs="Microsoft YaHei"/>
                <w:sz w:val="21"/>
                <w:szCs w:val="21"/>
                <w:spacing w:val="-11"/>
              </w:rPr>
              <w:t>款。</w:t>
            </w:r>
          </w:p>
        </w:tc>
      </w:tr>
      <w:tr>
        <w:trPr>
          <w:trHeight w:val="1084" w:hRule="atLeast"/>
        </w:trPr>
        <w:tc>
          <w:tcPr>
            <w:shd w:val="clear" w:fill="B8CCE4"/>
            <w:tcW w:w="1214" w:type="dxa"/>
            <w:vAlign w:val="top"/>
          </w:tcPr>
          <w:p>
            <w:pPr>
              <w:spacing w:line="371" w:lineRule="auto"/>
              <w:rPr>
                <w:rFonts w:ascii="Arial"/>
                <w:sz w:val="21"/>
              </w:rPr>
            </w:pPr>
            <w:r/>
          </w:p>
          <w:p>
            <w:pPr>
              <w:ind w:left="117"/>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300331</w:t>
            </w:r>
          </w:p>
        </w:tc>
        <w:tc>
          <w:tcPr>
            <w:shd w:val="clear" w:fill="B8CCE4"/>
            <w:tcW w:w="1345" w:type="dxa"/>
            <w:vAlign w:val="top"/>
          </w:tcPr>
          <w:p>
            <w:pPr>
              <w:spacing w:line="363"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苏大维格</w:t>
            </w:r>
          </w:p>
        </w:tc>
        <w:tc>
          <w:tcPr>
            <w:shd w:val="clear" w:fill="B8CCE4"/>
            <w:tcW w:w="5496" w:type="dxa"/>
            <w:vAlign w:val="top"/>
          </w:tcPr>
          <w:p>
            <w:pPr>
              <w:ind w:left="100" w:right="126"/>
              <w:spacing w:before="95"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公司未能准确、完整地披露公司销售的光刻设备的种类和</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3"/>
              </w:rPr>
              <w:t>具体应用领域， 且在回复中将“光刻机”和“芯片光刻</w:t>
            </w:r>
          </w:p>
          <w:p>
            <w:pPr>
              <w:ind w:left="100"/>
              <w:spacing w:before="68"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机”并用， 具有</w:t>
            </w:r>
            <w:r>
              <w:rPr>
                <w:rFonts w:ascii="Microsoft YaHei" w:hAnsi="Microsoft YaHei" w:eastAsia="Microsoft YaHei" w:cs="Microsoft YaHei"/>
                <w:sz w:val="21"/>
                <w:szCs w:val="21"/>
                <w:b/>
                <w:bCs/>
                <w:spacing w:val="-7"/>
              </w:rPr>
              <w:t>误导性。</w:t>
            </w:r>
          </w:p>
        </w:tc>
      </w:tr>
      <w:tr>
        <w:trPr>
          <w:trHeight w:val="1086" w:hRule="atLeast"/>
        </w:trPr>
        <w:tc>
          <w:tcPr>
            <w:tcW w:w="8055" w:type="dxa"/>
            <w:vAlign w:val="top"/>
            <w:gridSpan w:val="3"/>
          </w:tcPr>
          <w:p>
            <w:pPr>
              <w:ind w:left="118"/>
              <w:spacing w:before="95"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中国证券监督管理委员会江苏监管局</w:t>
            </w:r>
            <w:r>
              <w:rPr>
                <w:rFonts w:ascii="Microsoft YaHei" w:hAnsi="Microsoft YaHei" w:eastAsia="Microsoft YaHei" w:cs="Microsoft YaHei"/>
                <w:sz w:val="21"/>
                <w:szCs w:val="21"/>
                <w:spacing w:val="-2"/>
              </w:rPr>
              <w:t>决定：</w:t>
            </w:r>
          </w:p>
          <w:p>
            <w:pPr>
              <w:ind w:left="135" w:right="200"/>
              <w:spacing w:before="70"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（一）对苏州苏大维格科技集团股份有限公司给予警告，</w:t>
            </w:r>
            <w:r>
              <w:rPr>
                <w:rFonts w:ascii="Microsoft YaHei" w:hAnsi="Microsoft YaHei" w:eastAsia="Microsoft YaHei" w:cs="Microsoft YaHei"/>
                <w:sz w:val="21"/>
                <w:szCs w:val="21"/>
                <w:spacing w:val="56"/>
              </w:rPr>
              <w:t xml:space="preserve"> </w:t>
            </w:r>
            <w:r>
              <w:rPr>
                <w:rFonts w:ascii="Microsoft YaHei" w:hAnsi="Microsoft YaHei" w:eastAsia="Microsoft YaHei" w:cs="Microsoft YaHei"/>
                <w:sz w:val="21"/>
                <w:szCs w:val="21"/>
                <w:spacing w:val="-5"/>
              </w:rPr>
              <w:t>并处以一百五十万元罚款；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7"/>
              </w:rPr>
              <w:t>（二）</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7"/>
              </w:rPr>
              <w:t>对董事会秘书蒋某给予警告，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7"/>
              </w:rPr>
              <w:t>并处以一百万</w:t>
            </w:r>
            <w:r>
              <w:rPr>
                <w:rFonts w:ascii="Microsoft YaHei" w:hAnsi="Microsoft YaHei" w:eastAsia="Microsoft YaHei" w:cs="Microsoft YaHei"/>
                <w:sz w:val="21"/>
                <w:szCs w:val="21"/>
                <w:spacing w:val="-8"/>
              </w:rPr>
              <w:t>元罚款。</w:t>
            </w:r>
          </w:p>
        </w:tc>
      </w:tr>
      <w:tr>
        <w:trPr>
          <w:trHeight w:val="364" w:hRule="atLeast"/>
        </w:trPr>
        <w:tc>
          <w:tcPr>
            <w:shd w:val="clear" w:fill="B8CCE4"/>
            <w:tcW w:w="1214" w:type="dxa"/>
            <w:vAlign w:val="top"/>
          </w:tcPr>
          <w:p>
            <w:pPr>
              <w:ind w:left="114"/>
              <w:spacing w:before="104" w:line="16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600520</w:t>
            </w:r>
          </w:p>
        </w:tc>
        <w:tc>
          <w:tcPr>
            <w:shd w:val="clear" w:fill="B8CCE4"/>
            <w:tcW w:w="1345" w:type="dxa"/>
            <w:vAlign w:val="top"/>
          </w:tcPr>
          <w:p>
            <w:pPr>
              <w:ind w:left="100"/>
              <w:spacing w:before="9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文一科技</w:t>
            </w:r>
          </w:p>
        </w:tc>
        <w:tc>
          <w:tcPr>
            <w:shd w:val="clear" w:fill="B8CCE4"/>
            <w:tcW w:w="5496" w:type="dxa"/>
            <w:vAlign w:val="top"/>
          </w:tcPr>
          <w:p>
            <w:pPr>
              <w:ind w:left="109"/>
              <w:spacing w:before="9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2023 年半年度报告存在</w:t>
            </w:r>
            <w:r>
              <w:rPr>
                <w:rFonts w:ascii="Microsoft YaHei" w:hAnsi="Microsoft YaHei" w:eastAsia="Microsoft YaHei" w:cs="Microsoft YaHei"/>
                <w:sz w:val="21"/>
                <w:szCs w:val="21"/>
                <w:b/>
                <w:bCs/>
                <w:spacing w:val="-1"/>
              </w:rPr>
              <w:t>虚假记载。</w:t>
            </w:r>
          </w:p>
        </w:tc>
      </w:tr>
      <w:tr>
        <w:trPr>
          <w:trHeight w:val="1805" w:hRule="atLeast"/>
        </w:trPr>
        <w:tc>
          <w:tcPr>
            <w:tcW w:w="8055" w:type="dxa"/>
            <w:vAlign w:val="top"/>
            <w:gridSpan w:val="3"/>
          </w:tcPr>
          <w:p>
            <w:pPr>
              <w:ind w:left="118"/>
              <w:spacing w:before="96" w:line="24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中国证券监督管理委员会安徽监管局</w:t>
            </w:r>
            <w:r>
              <w:rPr>
                <w:rFonts w:ascii="Microsoft YaHei" w:hAnsi="Microsoft YaHei" w:eastAsia="Microsoft YaHei" w:cs="Microsoft YaHei"/>
                <w:sz w:val="21"/>
                <w:szCs w:val="21"/>
                <w:spacing w:val="-2"/>
              </w:rPr>
              <w:t>决定：</w:t>
            </w:r>
          </w:p>
          <w:p>
            <w:pPr>
              <w:ind w:left="135"/>
              <w:spacing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（一）对文一科技给予警告，并处以 200 万元罚款；</w:t>
            </w:r>
          </w:p>
          <w:p>
            <w:pPr>
              <w:ind w:left="135"/>
              <w:spacing w:before="74"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9"/>
              </w:rPr>
              <w:t>（二）</w:t>
            </w:r>
            <w:r>
              <w:rPr>
                <w:rFonts w:ascii="Microsoft YaHei" w:hAnsi="Microsoft YaHei" w:eastAsia="Microsoft YaHei" w:cs="Microsoft YaHei"/>
                <w:sz w:val="21"/>
                <w:szCs w:val="21"/>
                <w:spacing w:val="39"/>
              </w:rPr>
              <w:t xml:space="preserve"> </w:t>
            </w:r>
            <w:r>
              <w:rPr>
                <w:rFonts w:ascii="Microsoft YaHei" w:hAnsi="Microsoft YaHei" w:eastAsia="Microsoft YaHei" w:cs="Microsoft YaHei"/>
                <w:sz w:val="21"/>
                <w:szCs w:val="21"/>
                <w:spacing w:val="-9"/>
              </w:rPr>
              <w:t>对时任董事长杨某给予警告，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9"/>
              </w:rPr>
              <w:t>并处以 70 万元罚款；</w:t>
            </w:r>
          </w:p>
          <w:p>
            <w:pPr>
              <w:ind w:left="135"/>
              <w:spacing w:before="74"/>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（三）</w:t>
            </w:r>
            <w:r>
              <w:rPr>
                <w:rFonts w:ascii="Microsoft YaHei" w:hAnsi="Microsoft YaHei" w:eastAsia="Microsoft YaHei" w:cs="Microsoft YaHei"/>
                <w:sz w:val="21"/>
                <w:szCs w:val="21"/>
                <w:spacing w:val="34"/>
                <w:w w:val="101"/>
              </w:rPr>
              <w:t xml:space="preserve"> </w:t>
            </w:r>
            <w:r>
              <w:rPr>
                <w:rFonts w:ascii="Microsoft YaHei" w:hAnsi="Microsoft YaHei" w:eastAsia="Microsoft YaHei" w:cs="Microsoft YaHei"/>
                <w:sz w:val="21"/>
                <w:szCs w:val="21"/>
                <w:spacing w:val="-5"/>
              </w:rPr>
              <w:t>对时任财务总监胡某给予警告，并处以 60 万元罚款；</w:t>
            </w:r>
          </w:p>
          <w:p>
            <w:pPr>
              <w:ind w:left="135"/>
              <w:spacing w:before="1"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9"/>
              </w:rPr>
              <w:t>（四）</w:t>
            </w:r>
            <w:r>
              <w:rPr>
                <w:rFonts w:ascii="Microsoft YaHei" w:hAnsi="Microsoft YaHei" w:eastAsia="Microsoft YaHei" w:cs="Microsoft YaHei"/>
                <w:sz w:val="21"/>
                <w:szCs w:val="21"/>
                <w:spacing w:val="38"/>
              </w:rPr>
              <w:t xml:space="preserve"> </w:t>
            </w:r>
            <w:r>
              <w:rPr>
                <w:rFonts w:ascii="Microsoft YaHei" w:hAnsi="Microsoft YaHei" w:eastAsia="Microsoft YaHei" w:cs="Microsoft YaHei"/>
                <w:sz w:val="21"/>
                <w:szCs w:val="21"/>
                <w:spacing w:val="-9"/>
              </w:rPr>
              <w:t>对时任总经理丁某给予警告，</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9"/>
              </w:rPr>
              <w:t>并处以 50 万元罚款。</w:t>
            </w:r>
          </w:p>
        </w:tc>
      </w:tr>
      <w:tr>
        <w:trPr>
          <w:trHeight w:val="723" w:hRule="atLeast"/>
        </w:trPr>
        <w:tc>
          <w:tcPr>
            <w:shd w:val="clear" w:fill="B8CCE4"/>
            <w:tcW w:w="1214" w:type="dxa"/>
            <w:vAlign w:val="top"/>
          </w:tcPr>
          <w:p>
            <w:pPr>
              <w:ind w:left="117"/>
              <w:spacing w:before="288"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300398</w:t>
            </w:r>
          </w:p>
        </w:tc>
        <w:tc>
          <w:tcPr>
            <w:shd w:val="clear" w:fill="B8CCE4"/>
            <w:tcW w:w="1345" w:type="dxa"/>
            <w:vAlign w:val="top"/>
          </w:tcPr>
          <w:p>
            <w:pPr>
              <w:ind w:left="99"/>
              <w:spacing w:before="278"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飞凯材料</w:t>
            </w:r>
          </w:p>
        </w:tc>
        <w:tc>
          <w:tcPr>
            <w:shd w:val="clear" w:fill="B8CCE4"/>
            <w:tcW w:w="5496" w:type="dxa"/>
            <w:vAlign w:val="top"/>
          </w:tcPr>
          <w:p>
            <w:pPr>
              <w:ind w:left="99" w:right="129"/>
              <w:spacing w:before="97"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未按规定报送有关</w:t>
            </w:r>
            <w:r>
              <w:rPr>
                <w:rFonts w:ascii="Microsoft YaHei" w:hAnsi="Microsoft YaHei" w:eastAsia="Microsoft YaHei" w:cs="Microsoft YaHei"/>
                <w:sz w:val="21"/>
                <w:szCs w:val="21"/>
                <w:b/>
                <w:bCs/>
              </w:rPr>
              <w:t>权益变动报告</w:t>
            </w:r>
            <w:r>
              <w:rPr>
                <w:rFonts w:ascii="Microsoft YaHei" w:hAnsi="Microsoft YaHei" w:eastAsia="Microsoft YaHei" w:cs="Microsoft YaHei"/>
                <w:sz w:val="21"/>
                <w:szCs w:val="21"/>
              </w:rPr>
              <w:t>、履行信息披露义务；股 </w:t>
            </w:r>
            <w:r>
              <w:rPr>
                <w:rFonts w:ascii="Microsoft YaHei" w:hAnsi="Microsoft YaHei" w:eastAsia="Microsoft YaHei" w:cs="Microsoft YaHei"/>
                <w:sz w:val="21"/>
                <w:szCs w:val="21"/>
                <w:spacing w:val="-2"/>
              </w:rPr>
              <w:t>东</w:t>
            </w:r>
            <w:r>
              <w:rPr>
                <w:rFonts w:ascii="Microsoft YaHei" w:hAnsi="Microsoft YaHei" w:eastAsia="Microsoft YaHei" w:cs="Microsoft YaHei"/>
                <w:sz w:val="21"/>
                <w:szCs w:val="21"/>
                <w:b/>
                <w:bCs/>
                <w:spacing w:val="-2"/>
              </w:rPr>
              <w:t>限制转让期内转让</w:t>
            </w:r>
            <w:r>
              <w:rPr>
                <w:rFonts w:ascii="Microsoft YaHei" w:hAnsi="Microsoft YaHei" w:eastAsia="Microsoft YaHei" w:cs="Microsoft YaHei"/>
                <w:sz w:val="21"/>
                <w:szCs w:val="21"/>
                <w:spacing w:val="-2"/>
              </w:rPr>
              <w:t>飞凯材料股份。</w:t>
            </w:r>
          </w:p>
        </w:tc>
      </w:tr>
      <w:tr>
        <w:trPr>
          <w:trHeight w:val="2896" w:hRule="atLeast"/>
        </w:trPr>
        <w:tc>
          <w:tcPr>
            <w:tcW w:w="8055" w:type="dxa"/>
            <w:vAlign w:val="top"/>
            <w:gridSpan w:val="3"/>
          </w:tcPr>
          <w:p>
            <w:pPr>
              <w:ind w:left="118"/>
              <w:spacing w:before="10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w:t>
            </w:r>
            <w:r>
              <w:rPr>
                <w:rFonts w:ascii="Microsoft YaHei" w:hAnsi="Microsoft YaHei" w:eastAsia="Microsoft YaHei" w:cs="Microsoft YaHei"/>
                <w:sz w:val="21"/>
                <w:szCs w:val="21"/>
                <w:spacing w:val="-2"/>
              </w:rPr>
              <w:t>上海证监局决定：</w:t>
            </w:r>
          </w:p>
          <w:p>
            <w:pPr>
              <w:ind w:left="105" w:right="97" w:firstLine="29"/>
              <w:spacing w:before="65" w:line="225"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（一）对飞凯控股未按规定报送有关报告、履行信息披露义务的行为给予警告，</w:t>
            </w:r>
            <w:r>
              <w:rPr>
                <w:rFonts w:ascii="Microsoft YaHei" w:hAnsi="Microsoft YaHei" w:eastAsia="Microsoft YaHei" w:cs="Microsoft YaHei"/>
                <w:sz w:val="21"/>
                <w:szCs w:val="21"/>
                <w:spacing w:val="44"/>
              </w:rPr>
              <w:t xml:space="preserve"> </w:t>
            </w:r>
            <w:r>
              <w:rPr>
                <w:rFonts w:ascii="Microsoft YaHei" w:hAnsi="Microsoft YaHei" w:eastAsia="Microsoft YaHei" w:cs="Microsoft YaHei"/>
                <w:sz w:val="21"/>
                <w:szCs w:val="21"/>
                <w:spacing w:val="-2"/>
              </w:rPr>
              <w:t>并处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以 200 万元罚款。对飞凯控股未按规定报送有关报告、履行信息</w:t>
            </w:r>
            <w:r>
              <w:rPr>
                <w:rFonts w:ascii="Microsoft YaHei" w:hAnsi="Microsoft YaHei" w:eastAsia="Microsoft YaHei" w:cs="Microsoft YaHei"/>
                <w:sz w:val="21"/>
                <w:szCs w:val="21"/>
                <w:spacing w:val="-1"/>
              </w:rPr>
              <w:t>披露义务的行为直接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负责的主管人员 ZHANG *SHAN 给予警告，并处以 50 万元罚款。</w:t>
            </w:r>
          </w:p>
          <w:p>
            <w:pPr>
              <w:ind w:left="107" w:right="100" w:firstLine="27"/>
              <w:spacing w:before="67"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（二）对飞凯控股、实际控制人张某霞在限制转让期内转让飞凯材料股</w:t>
            </w:r>
            <w:r>
              <w:rPr>
                <w:rFonts w:ascii="Microsoft YaHei" w:hAnsi="Microsoft YaHei" w:eastAsia="Microsoft YaHei" w:cs="Microsoft YaHei"/>
                <w:sz w:val="21"/>
                <w:szCs w:val="21"/>
              </w:rPr>
              <w:t>份的行为给予 </w:t>
            </w:r>
            <w:r>
              <w:rPr>
                <w:rFonts w:ascii="Microsoft YaHei" w:hAnsi="Microsoft YaHei" w:eastAsia="Microsoft YaHei" w:cs="Microsoft YaHei"/>
                <w:sz w:val="21"/>
                <w:szCs w:val="21"/>
                <w:spacing w:val="-4"/>
              </w:rPr>
              <w:t>警告，</w:t>
            </w:r>
            <w:r>
              <w:rPr>
                <w:rFonts w:ascii="Microsoft YaHei" w:hAnsi="Microsoft YaHei" w:eastAsia="Microsoft YaHei" w:cs="Microsoft YaHei"/>
                <w:sz w:val="21"/>
                <w:szCs w:val="21"/>
                <w:spacing w:val="52"/>
              </w:rPr>
              <w:t xml:space="preserve"> </w:t>
            </w:r>
            <w:r>
              <w:rPr>
                <w:rFonts w:ascii="Microsoft YaHei" w:hAnsi="Microsoft YaHei" w:eastAsia="Microsoft YaHei" w:cs="Microsoft YaHei"/>
                <w:sz w:val="21"/>
                <w:szCs w:val="21"/>
                <w:spacing w:val="-4"/>
              </w:rPr>
              <w:t>没收违法所得</w:t>
            </w:r>
            <w:r>
              <w:rPr>
                <w:rFonts w:ascii="Microsoft YaHei" w:hAnsi="Microsoft YaHei" w:eastAsia="Microsoft YaHei" w:cs="Microsoft YaHei"/>
                <w:sz w:val="21"/>
                <w:szCs w:val="21"/>
                <w:spacing w:val="20"/>
                <w:w w:val="101"/>
              </w:rPr>
              <w:t xml:space="preserve"> </w:t>
            </w:r>
            <w:r>
              <w:rPr>
                <w:rFonts w:ascii="Microsoft YaHei" w:hAnsi="Microsoft YaHei" w:eastAsia="Microsoft YaHei" w:cs="Microsoft YaHei"/>
                <w:sz w:val="21"/>
                <w:szCs w:val="21"/>
                <w:spacing w:val="-4"/>
              </w:rPr>
              <w:t>970,870.58 元， 并处以</w:t>
            </w:r>
            <w:r>
              <w:rPr>
                <w:rFonts w:ascii="Microsoft YaHei" w:hAnsi="Microsoft YaHei" w:eastAsia="Microsoft YaHei" w:cs="Microsoft YaHei"/>
                <w:sz w:val="21"/>
                <w:szCs w:val="21"/>
                <w:spacing w:val="20"/>
              </w:rPr>
              <w:t xml:space="preserve"> </w:t>
            </w:r>
            <w:r>
              <w:rPr>
                <w:rFonts w:ascii="Microsoft YaHei" w:hAnsi="Microsoft YaHei" w:eastAsia="Microsoft YaHei" w:cs="Microsoft YaHei"/>
                <w:sz w:val="21"/>
                <w:szCs w:val="21"/>
                <w:spacing w:val="-4"/>
              </w:rPr>
              <w:t>670 万元罚款。其中，对飞凯控股给予</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警告，</w:t>
            </w:r>
            <w:r>
              <w:rPr>
                <w:rFonts w:ascii="Microsoft YaHei" w:hAnsi="Microsoft YaHei" w:eastAsia="Microsoft YaHei" w:cs="Microsoft YaHei"/>
                <w:sz w:val="21"/>
                <w:szCs w:val="21"/>
                <w:spacing w:val="40"/>
              </w:rPr>
              <w:t xml:space="preserve"> </w:t>
            </w:r>
            <w:r>
              <w:rPr>
                <w:rFonts w:ascii="Microsoft YaHei" w:hAnsi="Microsoft YaHei" w:eastAsia="Microsoft YaHei" w:cs="Microsoft YaHei"/>
                <w:sz w:val="21"/>
                <w:szCs w:val="21"/>
                <w:spacing w:val="-5"/>
              </w:rPr>
              <w:t>没收违法所得</w:t>
            </w:r>
            <w:r>
              <w:rPr>
                <w:rFonts w:ascii="Microsoft YaHei" w:hAnsi="Microsoft YaHei" w:eastAsia="Microsoft YaHei" w:cs="Microsoft YaHei"/>
                <w:sz w:val="21"/>
                <w:szCs w:val="21"/>
                <w:spacing w:val="20"/>
                <w:w w:val="101"/>
              </w:rPr>
              <w:t xml:space="preserve"> </w:t>
            </w:r>
            <w:r>
              <w:rPr>
                <w:rFonts w:ascii="Microsoft YaHei" w:hAnsi="Microsoft YaHei" w:eastAsia="Microsoft YaHei" w:cs="Microsoft YaHei"/>
                <w:sz w:val="21"/>
                <w:szCs w:val="21"/>
                <w:spacing w:val="-5"/>
              </w:rPr>
              <w:t>970,870.58 元， 并处以</w:t>
            </w:r>
            <w:r>
              <w:rPr>
                <w:rFonts w:ascii="Microsoft YaHei" w:hAnsi="Microsoft YaHei" w:eastAsia="Microsoft YaHei" w:cs="Microsoft YaHei"/>
                <w:sz w:val="21"/>
                <w:szCs w:val="21"/>
                <w:spacing w:val="20"/>
              </w:rPr>
              <w:t xml:space="preserve"> </w:t>
            </w:r>
            <w:r>
              <w:rPr>
                <w:rFonts w:ascii="Microsoft YaHei" w:hAnsi="Microsoft YaHei" w:eastAsia="Microsoft YaHei" w:cs="Microsoft YaHei"/>
                <w:sz w:val="21"/>
                <w:szCs w:val="21"/>
                <w:spacing w:val="-5"/>
              </w:rPr>
              <w:t>620 万元罚款； 对实际控制人张某霞给</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予警告，并处以 50 万元罚款。</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374" w:hRule="atLeast"/>
        </w:trPr>
        <w:tc>
          <w:tcPr>
            <w:shd w:val="clear" w:fill="B8CCE4"/>
            <w:tcW w:w="1214" w:type="dxa"/>
            <w:vAlign w:val="top"/>
            <w:tcBorders>
              <w:top w:val="single" w:color="4F81BD" w:sz="2" w:space="0"/>
            </w:tcBorders>
          </w:tcPr>
          <w:p>
            <w:pPr>
              <w:ind w:left="114"/>
              <w:spacing w:before="10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601989</w:t>
            </w:r>
          </w:p>
        </w:tc>
        <w:tc>
          <w:tcPr>
            <w:shd w:val="clear" w:fill="B8CCE4"/>
            <w:tcW w:w="1345" w:type="dxa"/>
            <w:vAlign w:val="top"/>
            <w:tcBorders>
              <w:top w:val="single" w:color="4F81BD" w:sz="2" w:space="0"/>
            </w:tcBorders>
          </w:tcPr>
          <w:p>
            <w:pPr>
              <w:ind w:left="113"/>
              <w:spacing w:before="96" w:line="17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中国重工</w:t>
            </w:r>
          </w:p>
        </w:tc>
        <w:tc>
          <w:tcPr>
            <w:shd w:val="clear" w:fill="B8CCE4"/>
            <w:tcW w:w="5496" w:type="dxa"/>
            <w:vAlign w:val="top"/>
            <w:tcBorders>
              <w:top w:val="single" w:color="4F81BD" w:sz="2" w:space="0"/>
            </w:tcBorders>
          </w:tcPr>
          <w:p>
            <w:pPr>
              <w:ind w:left="109"/>
              <w:spacing w:before="96" w:line="17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2018 年、</w:t>
            </w:r>
            <w:r>
              <w:rPr>
                <w:rFonts w:ascii="Microsoft YaHei" w:hAnsi="Microsoft YaHei" w:eastAsia="Microsoft YaHei" w:cs="Microsoft YaHei"/>
                <w:sz w:val="21"/>
                <w:szCs w:val="21"/>
                <w:spacing w:val="19"/>
              </w:rPr>
              <w:t xml:space="preserve"> </w:t>
            </w:r>
            <w:r>
              <w:rPr>
                <w:rFonts w:ascii="Microsoft YaHei" w:hAnsi="Microsoft YaHei" w:eastAsia="Microsoft YaHei" w:cs="Microsoft YaHei"/>
                <w:sz w:val="21"/>
                <w:szCs w:val="21"/>
                <w:spacing w:val="-7"/>
              </w:rPr>
              <w:t>2019 年、</w:t>
            </w:r>
            <w:r>
              <w:rPr>
                <w:rFonts w:ascii="Microsoft YaHei" w:hAnsi="Microsoft YaHei" w:eastAsia="Microsoft YaHei" w:cs="Microsoft YaHei"/>
                <w:sz w:val="21"/>
                <w:szCs w:val="21"/>
                <w:spacing w:val="21"/>
                <w:w w:val="101"/>
              </w:rPr>
              <w:t xml:space="preserve"> </w:t>
            </w:r>
            <w:r>
              <w:rPr>
                <w:rFonts w:ascii="Microsoft YaHei" w:hAnsi="Microsoft YaHei" w:eastAsia="Microsoft YaHei" w:cs="Microsoft YaHei"/>
                <w:sz w:val="21"/>
                <w:szCs w:val="21"/>
                <w:spacing w:val="-7"/>
              </w:rPr>
              <w:t>2020 年年度报告存在</w:t>
            </w:r>
            <w:r>
              <w:rPr>
                <w:rFonts w:ascii="Microsoft YaHei" w:hAnsi="Microsoft YaHei" w:eastAsia="Microsoft YaHei" w:cs="Microsoft YaHei"/>
                <w:sz w:val="21"/>
                <w:szCs w:val="21"/>
                <w:b/>
                <w:bCs/>
                <w:spacing w:val="-7"/>
              </w:rPr>
              <w:t>错报。</w:t>
            </w:r>
          </w:p>
        </w:tc>
      </w:tr>
      <w:tr>
        <w:trPr>
          <w:trHeight w:val="1446" w:hRule="atLeast"/>
        </w:trPr>
        <w:tc>
          <w:tcPr>
            <w:tcW w:w="8055" w:type="dxa"/>
            <w:vAlign w:val="top"/>
            <w:gridSpan w:val="3"/>
          </w:tcPr>
          <w:p>
            <w:pPr>
              <w:ind w:left="118"/>
              <w:spacing w:before="86"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w:t>
            </w:r>
            <w:r>
              <w:rPr>
                <w:rFonts w:ascii="Microsoft YaHei" w:hAnsi="Microsoft YaHei" w:eastAsia="Microsoft YaHei" w:cs="Microsoft YaHei"/>
                <w:sz w:val="21"/>
                <w:szCs w:val="21"/>
                <w:spacing w:val="-2"/>
              </w:rPr>
              <w:t>北京证监局决定：</w:t>
            </w:r>
          </w:p>
          <w:p>
            <w:pPr>
              <w:ind w:left="135" w:right="1196"/>
              <w:spacing w:before="67" w:line="21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（一）对中国船舶重工股份有限公司给予警告，并处以 150 万元的罚款；</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spacing w:val="-4"/>
              </w:rPr>
              <w:t>（二）</w:t>
            </w:r>
            <w:r>
              <w:rPr>
                <w:rFonts w:ascii="Microsoft YaHei" w:hAnsi="Microsoft YaHei" w:eastAsia="Microsoft YaHei" w:cs="Microsoft YaHei"/>
                <w:sz w:val="21"/>
                <w:szCs w:val="21"/>
                <w:spacing w:val="30"/>
                <w:w w:val="101"/>
              </w:rPr>
              <w:t xml:space="preserve"> </w:t>
            </w:r>
            <w:r>
              <w:rPr>
                <w:rFonts w:ascii="Microsoft YaHei" w:hAnsi="Microsoft YaHei" w:eastAsia="Microsoft YaHei" w:cs="Microsoft YaHei"/>
                <w:sz w:val="21"/>
                <w:szCs w:val="21"/>
                <w:spacing w:val="-4"/>
              </w:rPr>
              <w:t>对时任董事长,时任总经理王某给予警告，并处以 60 万元的罚款；</w:t>
            </w:r>
          </w:p>
          <w:p>
            <w:pPr>
              <w:ind w:left="135"/>
              <w:spacing w:before="77"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6"/>
              </w:rPr>
              <w:t>（三）</w:t>
            </w:r>
            <w:r>
              <w:rPr>
                <w:rFonts w:ascii="Microsoft YaHei" w:hAnsi="Microsoft YaHei" w:eastAsia="Microsoft YaHei" w:cs="Microsoft YaHei"/>
                <w:sz w:val="21"/>
                <w:szCs w:val="21"/>
                <w:spacing w:val="20"/>
                <w:w w:val="101"/>
              </w:rPr>
              <w:t xml:space="preserve"> </w:t>
            </w:r>
            <w:r>
              <w:rPr>
                <w:rFonts w:ascii="Microsoft YaHei" w:hAnsi="Microsoft YaHei" w:eastAsia="Microsoft YaHei" w:cs="Microsoft YaHei"/>
                <w:sz w:val="21"/>
                <w:szCs w:val="21"/>
                <w:spacing w:val="-6"/>
              </w:rPr>
              <w:t>对时任高管,时任财务总监姚某辉给予警告，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6"/>
              </w:rPr>
              <w:t>并处以</w:t>
            </w:r>
            <w:r>
              <w:rPr>
                <w:rFonts w:ascii="Microsoft YaHei" w:hAnsi="Microsoft YaHei" w:eastAsia="Microsoft YaHei" w:cs="Microsoft YaHei"/>
                <w:sz w:val="21"/>
                <w:szCs w:val="21"/>
                <w:spacing w:val="-7"/>
              </w:rPr>
              <w:t xml:space="preserve"> 60 万元的罚款。</w:t>
            </w:r>
          </w:p>
        </w:tc>
      </w:tr>
      <w:tr>
        <w:trPr>
          <w:trHeight w:val="1083" w:hRule="atLeast"/>
        </w:trPr>
        <w:tc>
          <w:tcPr>
            <w:shd w:val="clear" w:fill="B8CCE4"/>
            <w:tcW w:w="1214" w:type="dxa"/>
            <w:vAlign w:val="top"/>
          </w:tcPr>
          <w:p>
            <w:pPr>
              <w:spacing w:line="365" w:lineRule="auto"/>
              <w:rPr>
                <w:rFonts w:ascii="Arial"/>
                <w:sz w:val="21"/>
              </w:rPr>
            </w:pPr>
            <w:r/>
          </w:p>
          <w:p>
            <w:pPr>
              <w:ind w:left="117"/>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300282</w:t>
            </w:r>
          </w:p>
        </w:tc>
        <w:tc>
          <w:tcPr>
            <w:shd w:val="clear" w:fill="B8CCE4"/>
            <w:tcW w:w="1345" w:type="dxa"/>
            <w:vAlign w:val="top"/>
          </w:tcPr>
          <w:p>
            <w:pPr>
              <w:spacing w:line="347" w:lineRule="auto"/>
              <w:rPr>
                <w:rFonts w:ascii="Arial"/>
                <w:sz w:val="21"/>
              </w:rPr>
            </w:pPr>
            <w:r/>
          </w:p>
          <w:p>
            <w:pPr>
              <w:ind w:left="104"/>
              <w:spacing w:before="90" w:line="18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 三盛</w:t>
            </w:r>
          </w:p>
        </w:tc>
        <w:tc>
          <w:tcPr>
            <w:shd w:val="clear" w:fill="B8CCE4"/>
            <w:tcW w:w="5496" w:type="dxa"/>
            <w:vAlign w:val="top"/>
          </w:tcPr>
          <w:p>
            <w:pPr>
              <w:ind w:left="98" w:right="97" w:firstLine="1"/>
              <w:spacing w:before="86"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未及时披露</w:t>
            </w:r>
            <w:r>
              <w:rPr>
                <w:rFonts w:ascii="Microsoft YaHei" w:hAnsi="Microsoft YaHei" w:eastAsia="Microsoft YaHei" w:cs="Microsoft YaHei"/>
                <w:sz w:val="21"/>
                <w:szCs w:val="21"/>
                <w:b/>
                <w:bCs/>
                <w:spacing w:val="-4"/>
              </w:rPr>
              <w:t>违规担保</w:t>
            </w:r>
            <w:r>
              <w:rPr>
                <w:rFonts w:ascii="Microsoft YaHei" w:hAnsi="Microsoft YaHei" w:eastAsia="Microsoft YaHei" w:cs="Microsoft YaHei"/>
                <w:sz w:val="21"/>
                <w:szCs w:val="21"/>
                <w:spacing w:val="-4"/>
              </w:rPr>
              <w:t>事项；2020</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4"/>
              </w:rPr>
              <w:t>年年度报告、</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4"/>
              </w:rPr>
              <w:t>2021 年半</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年度报告存在</w:t>
            </w:r>
            <w:r>
              <w:rPr>
                <w:rFonts w:ascii="Microsoft YaHei" w:hAnsi="Microsoft YaHei" w:eastAsia="Microsoft YaHei" w:cs="Microsoft YaHei"/>
                <w:sz w:val="21"/>
                <w:szCs w:val="21"/>
                <w:b/>
                <w:bCs/>
                <w:spacing w:val="-4"/>
              </w:rPr>
              <w:t>重大遗漏</w:t>
            </w:r>
            <w:r>
              <w:rPr>
                <w:rFonts w:ascii="Microsoft YaHei" w:hAnsi="Microsoft YaHei" w:eastAsia="Microsoft YaHei" w:cs="Microsoft YaHei"/>
                <w:sz w:val="21"/>
                <w:szCs w:val="21"/>
                <w:spacing w:val="-4"/>
              </w:rPr>
              <w:t>；2020</w:t>
            </w:r>
            <w:r>
              <w:rPr>
                <w:rFonts w:ascii="Microsoft YaHei" w:hAnsi="Microsoft YaHei" w:eastAsia="Microsoft YaHei" w:cs="Microsoft YaHei"/>
                <w:sz w:val="21"/>
                <w:szCs w:val="21"/>
                <w:spacing w:val="6"/>
              </w:rPr>
              <w:t xml:space="preserve"> </w:t>
            </w:r>
            <w:r>
              <w:rPr>
                <w:rFonts w:ascii="Microsoft YaHei" w:hAnsi="Microsoft YaHei" w:eastAsia="Microsoft YaHei" w:cs="Microsoft YaHei"/>
                <w:sz w:val="21"/>
                <w:szCs w:val="21"/>
                <w:spacing w:val="-4"/>
              </w:rPr>
              <w:t>年年度报告、</w:t>
            </w:r>
            <w:r>
              <w:rPr>
                <w:rFonts w:ascii="Microsoft YaHei" w:hAnsi="Microsoft YaHei" w:eastAsia="Microsoft YaHei" w:cs="Microsoft YaHei"/>
                <w:sz w:val="21"/>
                <w:szCs w:val="21"/>
                <w:spacing w:val="21"/>
                <w:w w:val="101"/>
              </w:rPr>
              <w:t xml:space="preserve"> </w:t>
            </w:r>
            <w:r>
              <w:rPr>
                <w:rFonts w:ascii="Microsoft YaHei" w:hAnsi="Microsoft YaHei" w:eastAsia="Microsoft YaHei" w:cs="Microsoft YaHei"/>
                <w:sz w:val="21"/>
                <w:szCs w:val="21"/>
                <w:spacing w:val="-4"/>
              </w:rPr>
              <w:t>2021 年半年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度报告存在</w:t>
            </w:r>
            <w:r>
              <w:rPr>
                <w:rFonts w:ascii="Microsoft YaHei" w:hAnsi="Microsoft YaHei" w:eastAsia="Microsoft YaHei" w:cs="Microsoft YaHei"/>
                <w:sz w:val="21"/>
                <w:szCs w:val="21"/>
                <w:b/>
                <w:bCs/>
              </w:rPr>
              <w:t>虚假记载。</w:t>
            </w:r>
          </w:p>
        </w:tc>
      </w:tr>
      <w:tr>
        <w:trPr>
          <w:trHeight w:val="1445" w:hRule="atLeast"/>
        </w:trPr>
        <w:tc>
          <w:tcPr>
            <w:tcW w:w="8055" w:type="dxa"/>
            <w:vAlign w:val="top"/>
            <w:gridSpan w:val="3"/>
          </w:tcPr>
          <w:p>
            <w:pPr>
              <w:ind w:left="118"/>
              <w:spacing w:before="92"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中国证券监督管理委员会北京监管局决定:</w:t>
            </w:r>
          </w:p>
          <w:p>
            <w:pPr>
              <w:ind w:left="135" w:right="1054"/>
              <w:spacing w:before="68" w:line="21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（一）对三盛智慧教育科技股份有限公司给予警告,并处以 1</w:t>
            </w:r>
            <w:r>
              <w:rPr>
                <w:rFonts w:ascii="Microsoft YaHei" w:hAnsi="Microsoft YaHei" w:eastAsia="Microsoft YaHei" w:cs="Microsoft YaHei"/>
                <w:sz w:val="21"/>
                <w:szCs w:val="21"/>
                <w:spacing w:val="-2"/>
              </w:rPr>
              <w:t>10 万元的罚款;</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（二）</w:t>
            </w:r>
            <w:r>
              <w:rPr>
                <w:rFonts w:ascii="Microsoft YaHei" w:hAnsi="Microsoft YaHei" w:eastAsia="Microsoft YaHei" w:cs="Microsoft YaHei"/>
                <w:sz w:val="21"/>
                <w:szCs w:val="21"/>
                <w:spacing w:val="31"/>
              </w:rPr>
              <w:t xml:space="preserve"> </w:t>
            </w:r>
            <w:r>
              <w:rPr>
                <w:rFonts w:ascii="Microsoft YaHei" w:hAnsi="Microsoft YaHei" w:eastAsia="Microsoft YaHei" w:cs="Microsoft YaHei"/>
                <w:sz w:val="21"/>
                <w:szCs w:val="21"/>
                <w:spacing w:val="-6"/>
              </w:rPr>
              <w:t>对时任高管曹某给予警告,并处以 60 万元的罚款。</w:t>
            </w:r>
          </w:p>
          <w:p>
            <w:pPr>
              <w:ind w:left="105"/>
              <w:spacing w:before="74"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对董事长林某滨另行处理。</w:t>
            </w:r>
          </w:p>
        </w:tc>
      </w:tr>
      <w:tr>
        <w:trPr>
          <w:trHeight w:val="364" w:hRule="atLeast"/>
        </w:trPr>
        <w:tc>
          <w:tcPr>
            <w:shd w:val="clear" w:fill="B8CCE4"/>
            <w:tcW w:w="1214" w:type="dxa"/>
            <w:vAlign w:val="top"/>
          </w:tcPr>
          <w:p>
            <w:pPr>
              <w:ind w:left="111"/>
              <w:spacing w:before="100"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002642</w:t>
            </w:r>
          </w:p>
        </w:tc>
        <w:tc>
          <w:tcPr>
            <w:shd w:val="clear" w:fill="B8CCE4"/>
            <w:tcW w:w="1345" w:type="dxa"/>
            <w:vAlign w:val="top"/>
          </w:tcPr>
          <w:p>
            <w:pPr>
              <w:ind w:left="98"/>
              <w:spacing w:before="91"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荣联科技</w:t>
            </w:r>
          </w:p>
        </w:tc>
        <w:tc>
          <w:tcPr>
            <w:shd w:val="clear" w:fill="B8CCE4"/>
            <w:tcW w:w="5496" w:type="dxa"/>
            <w:vAlign w:val="top"/>
          </w:tcPr>
          <w:p>
            <w:pPr>
              <w:ind w:left="109"/>
              <w:spacing w:before="91"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2016 年、</w:t>
            </w:r>
            <w:r>
              <w:rPr>
                <w:rFonts w:ascii="Microsoft YaHei" w:hAnsi="Microsoft YaHei" w:eastAsia="Microsoft YaHei" w:cs="Microsoft YaHei"/>
                <w:sz w:val="21"/>
                <w:szCs w:val="21"/>
                <w:spacing w:val="20"/>
              </w:rPr>
              <w:t xml:space="preserve"> </w:t>
            </w:r>
            <w:r>
              <w:rPr>
                <w:rFonts w:ascii="Microsoft YaHei" w:hAnsi="Microsoft YaHei" w:eastAsia="Microsoft YaHei" w:cs="Microsoft YaHei"/>
                <w:sz w:val="21"/>
                <w:szCs w:val="21"/>
                <w:spacing w:val="-7"/>
              </w:rPr>
              <w:t>2017 年、</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7"/>
              </w:rPr>
              <w:t>2018 年年度报</w:t>
            </w:r>
            <w:r>
              <w:rPr>
                <w:rFonts w:ascii="Microsoft YaHei" w:hAnsi="Microsoft YaHei" w:eastAsia="Microsoft YaHei" w:cs="Microsoft YaHei"/>
                <w:sz w:val="21"/>
                <w:szCs w:val="21"/>
                <w:spacing w:val="-8"/>
              </w:rPr>
              <w:t>告存在</w:t>
            </w:r>
            <w:r>
              <w:rPr>
                <w:rFonts w:ascii="Microsoft YaHei" w:hAnsi="Microsoft YaHei" w:eastAsia="Microsoft YaHei" w:cs="Microsoft YaHei"/>
                <w:sz w:val="21"/>
                <w:szCs w:val="21"/>
                <w:b/>
                <w:bCs/>
                <w:spacing w:val="-8"/>
              </w:rPr>
              <w:t>虚假记载。</w:t>
            </w:r>
          </w:p>
        </w:tc>
      </w:tr>
      <w:tr>
        <w:trPr>
          <w:trHeight w:val="1805" w:hRule="atLeast"/>
        </w:trPr>
        <w:tc>
          <w:tcPr>
            <w:tcW w:w="8055" w:type="dxa"/>
            <w:vAlign w:val="top"/>
            <w:gridSpan w:val="3"/>
          </w:tcPr>
          <w:p>
            <w:pPr>
              <w:ind w:left="118"/>
              <w:spacing w:before="94"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中国证券监督管理委员会北京监管局</w:t>
            </w:r>
            <w:r>
              <w:rPr>
                <w:rFonts w:ascii="Microsoft YaHei" w:hAnsi="Microsoft YaHei" w:eastAsia="Microsoft YaHei" w:cs="Microsoft YaHei"/>
                <w:sz w:val="21"/>
                <w:szCs w:val="21"/>
                <w:spacing w:val="-2"/>
              </w:rPr>
              <w:t>决定：</w:t>
            </w:r>
          </w:p>
          <w:p>
            <w:pPr>
              <w:ind w:left="135" w:right="1320"/>
              <w:spacing w:before="68" w:line="21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（一）对荣联科技集团股份有限公司给予警告，并处以 50 万元的罚款；</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5"/>
              </w:rPr>
              <w:t>（二）</w:t>
            </w:r>
            <w:r>
              <w:rPr>
                <w:rFonts w:ascii="Microsoft YaHei" w:hAnsi="Microsoft YaHei" w:eastAsia="Microsoft YaHei" w:cs="Microsoft YaHei"/>
                <w:sz w:val="21"/>
                <w:szCs w:val="21"/>
                <w:spacing w:val="20"/>
              </w:rPr>
              <w:t xml:space="preserve"> </w:t>
            </w:r>
            <w:r>
              <w:rPr>
                <w:rFonts w:ascii="Microsoft YaHei" w:hAnsi="Microsoft YaHei" w:eastAsia="Microsoft YaHei" w:cs="Microsoft YaHei"/>
                <w:sz w:val="21"/>
                <w:szCs w:val="21"/>
                <w:spacing w:val="-5"/>
              </w:rPr>
              <w:t>对时任董事长王某辉给予警告，并处以 25 万元的罚款；</w:t>
            </w:r>
          </w:p>
          <w:p>
            <w:pPr>
              <w:ind w:left="135"/>
              <w:spacing w:before="74"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（三）</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7"/>
              </w:rPr>
              <w:t>对时任总经理张某给予警告，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7"/>
              </w:rPr>
              <w:t>并处以 25 万元</w:t>
            </w:r>
            <w:r>
              <w:rPr>
                <w:rFonts w:ascii="Microsoft YaHei" w:hAnsi="Microsoft YaHei" w:eastAsia="Microsoft YaHei" w:cs="Microsoft YaHei"/>
                <w:sz w:val="21"/>
                <w:szCs w:val="21"/>
                <w:spacing w:val="-8"/>
              </w:rPr>
              <w:t>的罚款；</w:t>
            </w:r>
          </w:p>
          <w:p>
            <w:pPr>
              <w:ind w:left="135"/>
              <w:spacing w:before="74"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（四）</w:t>
            </w:r>
            <w:r>
              <w:rPr>
                <w:rFonts w:ascii="Microsoft YaHei" w:hAnsi="Microsoft YaHei" w:eastAsia="Microsoft YaHei" w:cs="Microsoft YaHei"/>
                <w:sz w:val="21"/>
                <w:szCs w:val="21"/>
                <w:spacing w:val="31"/>
              </w:rPr>
              <w:t xml:space="preserve"> </w:t>
            </w:r>
            <w:r>
              <w:rPr>
                <w:rFonts w:ascii="Microsoft YaHei" w:hAnsi="Microsoft YaHei" w:eastAsia="Microsoft YaHei" w:cs="Microsoft YaHei"/>
                <w:sz w:val="21"/>
                <w:szCs w:val="21"/>
                <w:spacing w:val="-7"/>
              </w:rPr>
              <w:t>对时任财务总监鞠某涛给予警告，</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7"/>
              </w:rPr>
              <w:t>并处以 25 万元的罚款。</w:t>
            </w:r>
          </w:p>
        </w:tc>
      </w:tr>
      <w:tr>
        <w:trPr>
          <w:trHeight w:val="366" w:hRule="atLeast"/>
        </w:trPr>
        <w:tc>
          <w:tcPr>
            <w:shd w:val="clear" w:fill="B8CCE4"/>
            <w:tcW w:w="1214" w:type="dxa"/>
            <w:vAlign w:val="top"/>
          </w:tcPr>
          <w:p>
            <w:pPr>
              <w:ind w:left="112"/>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831415</w:t>
            </w:r>
          </w:p>
        </w:tc>
        <w:tc>
          <w:tcPr>
            <w:shd w:val="clear" w:fill="B8CCE4"/>
            <w:tcW w:w="1345" w:type="dxa"/>
            <w:vAlign w:val="top"/>
          </w:tcPr>
          <w:p>
            <w:pPr>
              <w:ind w:left="97"/>
              <w:spacing w:before="9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城兴股份</w:t>
            </w:r>
          </w:p>
        </w:tc>
        <w:tc>
          <w:tcPr>
            <w:shd w:val="clear" w:fill="B8CCE4"/>
            <w:tcW w:w="5496" w:type="dxa"/>
            <w:vAlign w:val="top"/>
          </w:tcPr>
          <w:p>
            <w:pPr>
              <w:ind w:left="100"/>
              <w:spacing w:before="9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未在 2023 年 4 月 30</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3"/>
              </w:rPr>
              <w:t>日前披露 2022 年</w:t>
            </w:r>
            <w:r>
              <w:rPr>
                <w:rFonts w:ascii="Microsoft YaHei" w:hAnsi="Microsoft YaHei" w:eastAsia="Microsoft YaHei" w:cs="Microsoft YaHei"/>
                <w:sz w:val="21"/>
                <w:szCs w:val="21"/>
                <w:b/>
                <w:bCs/>
                <w:spacing w:val="-3"/>
              </w:rPr>
              <w:t>年度报告。</w:t>
            </w:r>
          </w:p>
        </w:tc>
      </w:tr>
      <w:tr>
        <w:trPr>
          <w:trHeight w:val="724" w:hRule="atLeast"/>
        </w:trPr>
        <w:tc>
          <w:tcPr>
            <w:tcW w:w="8055" w:type="dxa"/>
            <w:vAlign w:val="top"/>
            <w:gridSpan w:val="3"/>
          </w:tcPr>
          <w:p>
            <w:pPr>
              <w:ind w:left="108" w:right="100" w:firstLine="10"/>
              <w:spacing w:before="95"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中国证券监督管理委员会河北监管局决定：对董事长庄某青给予警</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告，并处以 20 万元罚款。</w:t>
            </w:r>
          </w:p>
        </w:tc>
      </w:tr>
      <w:tr>
        <w:trPr>
          <w:trHeight w:val="726" w:hRule="atLeast"/>
        </w:trPr>
        <w:tc>
          <w:tcPr>
            <w:shd w:val="clear" w:fill="B8CCE4"/>
            <w:tcW w:w="1214" w:type="dxa"/>
            <w:vAlign w:val="top"/>
          </w:tcPr>
          <w:p>
            <w:pPr>
              <w:ind w:left="124"/>
              <w:spacing w:before="282"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1011013</w:t>
            </w:r>
          </w:p>
        </w:tc>
        <w:tc>
          <w:tcPr>
            <w:shd w:val="clear" w:fill="B8CCE4"/>
            <w:tcW w:w="1345" w:type="dxa"/>
            <w:vAlign w:val="top"/>
          </w:tcPr>
          <w:p>
            <w:pPr>
              <w:ind w:left="99" w:right="104" w:hanging="1"/>
              <w:spacing w:before="94"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5"/>
              </w:rPr>
              <w:t>北京泽盈投</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资有限公司</w:t>
            </w:r>
          </w:p>
        </w:tc>
        <w:tc>
          <w:tcPr>
            <w:shd w:val="clear" w:fill="B8CCE4"/>
            <w:tcW w:w="5496" w:type="dxa"/>
            <w:vAlign w:val="top"/>
          </w:tcPr>
          <w:p>
            <w:pPr>
              <w:ind w:left="100"/>
              <w:spacing w:before="274"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利用未公开信息交易。</w:t>
            </w:r>
          </w:p>
        </w:tc>
      </w:tr>
      <w:tr>
        <w:trPr>
          <w:trHeight w:val="724" w:hRule="atLeast"/>
        </w:trPr>
        <w:tc>
          <w:tcPr>
            <w:tcW w:w="8055" w:type="dxa"/>
            <w:vAlign w:val="top"/>
            <w:gridSpan w:val="3"/>
          </w:tcPr>
          <w:p>
            <w:pPr>
              <w:ind w:left="123" w:right="108" w:hanging="5"/>
              <w:spacing w:before="95"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6"/>
              </w:rPr>
              <w:t>【行政处罚决定】</w:t>
            </w:r>
            <w:r>
              <w:rPr>
                <w:rFonts w:ascii="Microsoft YaHei" w:hAnsi="Microsoft YaHei" w:eastAsia="Microsoft YaHei" w:cs="Microsoft YaHei"/>
                <w:sz w:val="21"/>
                <w:szCs w:val="21"/>
                <w:b/>
                <w:bCs/>
                <w:spacing w:val="-28"/>
              </w:rPr>
              <w:t xml:space="preserve"> </w:t>
            </w:r>
            <w:r>
              <w:rPr>
                <w:rFonts w:ascii="Microsoft YaHei" w:hAnsi="Microsoft YaHei" w:eastAsia="Microsoft YaHei" w:cs="Microsoft YaHei"/>
                <w:sz w:val="21"/>
                <w:szCs w:val="21"/>
                <w:spacing w:val="6"/>
              </w:rPr>
              <w:t>中国证券监督管理委员会安徽监管局决定：没收当事人违法所得</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146,945.56 元， 并处以 293</w:t>
            </w:r>
            <w:r>
              <w:rPr>
                <w:rFonts w:ascii="Microsoft YaHei" w:hAnsi="Microsoft YaHei" w:eastAsia="Microsoft YaHei" w:cs="Microsoft YaHei"/>
                <w:sz w:val="21"/>
                <w:szCs w:val="21"/>
                <w:spacing w:val="-4"/>
              </w:rPr>
              <w:t>,891.12 元罚款。</w:t>
            </w:r>
          </w:p>
        </w:tc>
      </w:tr>
      <w:tr>
        <w:trPr>
          <w:trHeight w:val="366" w:hRule="atLeast"/>
        </w:trPr>
        <w:tc>
          <w:tcPr>
            <w:shd w:val="clear" w:fill="B8CCE4"/>
            <w:tcW w:w="1214" w:type="dxa"/>
            <w:vAlign w:val="top"/>
          </w:tcPr>
          <w:p>
            <w:pPr>
              <w:ind w:left="112"/>
              <w:spacing w:before="103"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831415</w:t>
            </w:r>
          </w:p>
        </w:tc>
        <w:tc>
          <w:tcPr>
            <w:shd w:val="clear" w:fill="B8CCE4"/>
            <w:tcW w:w="1345" w:type="dxa"/>
            <w:vAlign w:val="top"/>
          </w:tcPr>
          <w:p>
            <w:pPr>
              <w:ind w:left="97"/>
              <w:spacing w:before="94"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城兴股份</w:t>
            </w:r>
          </w:p>
        </w:tc>
        <w:tc>
          <w:tcPr>
            <w:shd w:val="clear" w:fill="B8CCE4"/>
            <w:tcW w:w="5496" w:type="dxa"/>
            <w:vAlign w:val="top"/>
          </w:tcPr>
          <w:p>
            <w:pPr>
              <w:ind w:left="100"/>
              <w:spacing w:before="94"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未在 2023 年 4 月 30</w:t>
            </w:r>
            <w:r>
              <w:rPr>
                <w:rFonts w:ascii="Microsoft YaHei" w:hAnsi="Microsoft YaHei" w:eastAsia="Microsoft YaHei" w:cs="Microsoft YaHei"/>
                <w:sz w:val="21"/>
                <w:szCs w:val="21"/>
                <w:spacing w:val="21"/>
              </w:rPr>
              <w:t xml:space="preserve"> </w:t>
            </w:r>
            <w:r>
              <w:rPr>
                <w:rFonts w:ascii="Microsoft YaHei" w:hAnsi="Microsoft YaHei" w:eastAsia="Microsoft YaHei" w:cs="Microsoft YaHei"/>
                <w:sz w:val="21"/>
                <w:szCs w:val="21"/>
                <w:spacing w:val="-3"/>
              </w:rPr>
              <w:t>日前披露 2022 年</w:t>
            </w:r>
            <w:r>
              <w:rPr>
                <w:rFonts w:ascii="Microsoft YaHei" w:hAnsi="Microsoft YaHei" w:eastAsia="Microsoft YaHei" w:cs="Microsoft YaHei"/>
                <w:sz w:val="21"/>
                <w:szCs w:val="21"/>
                <w:b/>
                <w:bCs/>
                <w:spacing w:val="-3"/>
              </w:rPr>
              <w:t>年度报告。</w:t>
            </w:r>
          </w:p>
        </w:tc>
      </w:tr>
      <w:tr>
        <w:trPr>
          <w:trHeight w:val="723" w:hRule="atLeast"/>
        </w:trPr>
        <w:tc>
          <w:tcPr>
            <w:tcW w:w="8055" w:type="dxa"/>
            <w:vAlign w:val="top"/>
            <w:gridSpan w:val="3"/>
          </w:tcPr>
          <w:p>
            <w:pPr>
              <w:ind w:left="105" w:right="100" w:firstLine="13"/>
              <w:spacing w:before="97"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w:t>
            </w:r>
            <w:r>
              <w:rPr>
                <w:rFonts w:ascii="Microsoft YaHei" w:hAnsi="Microsoft YaHei" w:eastAsia="Microsoft YaHei" w:cs="Microsoft YaHei"/>
                <w:sz w:val="21"/>
                <w:szCs w:val="21"/>
                <w:spacing w:val="-2"/>
              </w:rPr>
              <w:t>中国证监会河北监管局决定：</w:t>
            </w:r>
            <w:r>
              <w:rPr>
                <w:rFonts w:ascii="Microsoft YaHei" w:hAnsi="Microsoft YaHei" w:eastAsia="Microsoft YaHei" w:cs="Microsoft YaHei"/>
                <w:sz w:val="21"/>
                <w:szCs w:val="21"/>
                <w:spacing w:val="61"/>
              </w:rPr>
              <w:t xml:space="preserve"> </w:t>
            </w:r>
            <w:r>
              <w:rPr>
                <w:rFonts w:ascii="Microsoft YaHei" w:hAnsi="Microsoft YaHei" w:eastAsia="Microsoft YaHei" w:cs="Microsoft YaHei"/>
                <w:sz w:val="21"/>
                <w:szCs w:val="21"/>
                <w:spacing w:val="-2"/>
              </w:rPr>
              <w:t>对城兴设计集团股份有限公司责令改</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7"/>
              </w:rPr>
              <w:t>正、给予警告，</w:t>
            </w:r>
            <w:r>
              <w:rPr>
                <w:rFonts w:ascii="Microsoft YaHei" w:hAnsi="Microsoft YaHei" w:eastAsia="Microsoft YaHei" w:cs="Microsoft YaHei"/>
                <w:sz w:val="21"/>
                <w:szCs w:val="21"/>
                <w:spacing w:val="30"/>
              </w:rPr>
              <w:t xml:space="preserve"> </w:t>
            </w:r>
            <w:r>
              <w:rPr>
                <w:rFonts w:ascii="Microsoft YaHei" w:hAnsi="Microsoft YaHei" w:eastAsia="Microsoft YaHei" w:cs="Microsoft YaHei"/>
                <w:sz w:val="21"/>
                <w:szCs w:val="21"/>
                <w:spacing w:val="-7"/>
              </w:rPr>
              <w:t>并处以 50 万元罚款。</w:t>
            </w:r>
          </w:p>
        </w:tc>
      </w:tr>
      <w:tr>
        <w:trPr>
          <w:trHeight w:val="1086" w:hRule="atLeast"/>
        </w:trPr>
        <w:tc>
          <w:tcPr>
            <w:shd w:val="clear" w:fill="B8CCE4"/>
            <w:tcW w:w="1214" w:type="dxa"/>
            <w:vAlign w:val="top"/>
          </w:tcPr>
          <w:p>
            <w:pPr>
              <w:spacing w:line="373" w:lineRule="auto"/>
              <w:rPr>
                <w:rFonts w:ascii="Arial"/>
                <w:sz w:val="21"/>
              </w:rPr>
            </w:pPr>
            <w:r/>
          </w:p>
          <w:p>
            <w:pPr>
              <w:ind w:left="12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1067646</w:t>
            </w:r>
          </w:p>
        </w:tc>
        <w:tc>
          <w:tcPr>
            <w:shd w:val="clear" w:fill="B8CCE4"/>
            <w:tcW w:w="1345" w:type="dxa"/>
            <w:vAlign w:val="top"/>
          </w:tcPr>
          <w:p>
            <w:pPr>
              <w:ind w:left="97" w:right="180"/>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广东珠光基 </w:t>
            </w:r>
            <w:r>
              <w:rPr>
                <w:rFonts w:ascii="Microsoft YaHei" w:hAnsi="Microsoft YaHei" w:eastAsia="Microsoft YaHei" w:cs="Microsoft YaHei"/>
                <w:sz w:val="21"/>
                <w:szCs w:val="21"/>
              </w:rPr>
              <w:t>金管理有限 </w:t>
            </w:r>
            <w:r>
              <w:rPr>
                <w:rFonts w:ascii="Microsoft YaHei" w:hAnsi="Microsoft YaHei" w:eastAsia="Microsoft YaHei" w:cs="Microsoft YaHei"/>
                <w:sz w:val="21"/>
                <w:szCs w:val="21"/>
              </w:rPr>
              <w:t>公司</w:t>
            </w:r>
          </w:p>
        </w:tc>
        <w:tc>
          <w:tcPr>
            <w:shd w:val="clear" w:fill="B8CCE4"/>
            <w:tcW w:w="5496" w:type="dxa"/>
            <w:vAlign w:val="top"/>
          </w:tcPr>
          <w:p>
            <w:pPr>
              <w:spacing w:line="365" w:lineRule="auto"/>
              <w:rPr>
                <w:rFonts w:ascii="Arial"/>
                <w:sz w:val="21"/>
              </w:rPr>
            </w:pPr>
            <w:r/>
          </w:p>
          <w:p>
            <w:pPr>
              <w:ind w:left="100"/>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利用未公开信息交易。</w:t>
            </w:r>
          </w:p>
        </w:tc>
      </w:tr>
      <w:tr>
        <w:trPr>
          <w:trHeight w:val="724" w:hRule="atLeast"/>
        </w:trPr>
        <w:tc>
          <w:tcPr>
            <w:tcW w:w="8055" w:type="dxa"/>
            <w:vAlign w:val="top"/>
            <w:gridSpan w:val="3"/>
          </w:tcPr>
          <w:p>
            <w:pPr>
              <w:ind w:left="107" w:right="100" w:firstLine="11"/>
              <w:spacing w:before="98"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w:t>
            </w:r>
            <w:r>
              <w:rPr>
                <w:rFonts w:ascii="Microsoft YaHei" w:hAnsi="Microsoft YaHei" w:eastAsia="Microsoft YaHei" w:cs="Microsoft YaHei"/>
                <w:sz w:val="21"/>
                <w:szCs w:val="21"/>
                <w:spacing w:val="-2"/>
              </w:rPr>
              <w:t>中国证券监督管理委员会广东监管局决定：责令朱某才改正，</w:t>
            </w:r>
            <w:r>
              <w:rPr>
                <w:rFonts w:ascii="Microsoft YaHei" w:hAnsi="Microsoft YaHei" w:eastAsia="Microsoft YaHei" w:cs="Microsoft YaHei"/>
                <w:sz w:val="21"/>
                <w:szCs w:val="21"/>
                <w:spacing w:val="61"/>
              </w:rPr>
              <w:t xml:space="preserve"> </w:t>
            </w:r>
            <w:r>
              <w:rPr>
                <w:rFonts w:ascii="Microsoft YaHei" w:hAnsi="Microsoft YaHei" w:eastAsia="Microsoft YaHei" w:cs="Microsoft YaHei"/>
                <w:sz w:val="21"/>
                <w:szCs w:val="21"/>
                <w:spacing w:val="-2"/>
              </w:rPr>
              <w:t>给予</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9"/>
              </w:rPr>
              <w:t>警告，</w:t>
            </w:r>
            <w:r>
              <w:rPr>
                <w:rFonts w:ascii="Microsoft YaHei" w:hAnsi="Microsoft YaHei" w:eastAsia="Microsoft YaHei" w:cs="Microsoft YaHei"/>
                <w:sz w:val="21"/>
                <w:szCs w:val="21"/>
                <w:spacing w:val="49"/>
                <w:w w:val="101"/>
              </w:rPr>
              <w:t xml:space="preserve"> </w:t>
            </w:r>
            <w:r>
              <w:rPr>
                <w:rFonts w:ascii="Microsoft YaHei" w:hAnsi="Microsoft YaHei" w:eastAsia="Microsoft YaHei" w:cs="Microsoft YaHei"/>
                <w:sz w:val="21"/>
                <w:szCs w:val="21"/>
                <w:spacing w:val="-9"/>
              </w:rPr>
              <w:t>并处以 40 万元罚款。</w:t>
            </w:r>
          </w:p>
        </w:tc>
      </w:tr>
      <w:tr>
        <w:trPr>
          <w:trHeight w:val="366" w:hRule="atLeast"/>
        </w:trPr>
        <w:tc>
          <w:tcPr>
            <w:shd w:val="clear" w:fill="B8CCE4"/>
            <w:tcW w:w="1214" w:type="dxa"/>
            <w:vAlign w:val="top"/>
          </w:tcPr>
          <w:p>
            <w:pPr>
              <w:rPr>
                <w:rFonts w:ascii="Arial"/>
                <w:sz w:val="21"/>
              </w:rPr>
            </w:pPr>
            <w:r/>
          </w:p>
        </w:tc>
        <w:tc>
          <w:tcPr>
            <w:shd w:val="clear" w:fill="B8CCE4"/>
            <w:tcW w:w="1345" w:type="dxa"/>
            <w:vAlign w:val="top"/>
          </w:tcPr>
          <w:p>
            <w:pPr>
              <w:ind w:left="107"/>
              <w:spacing w:before="100"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当事人</w:t>
            </w:r>
          </w:p>
        </w:tc>
        <w:tc>
          <w:tcPr>
            <w:shd w:val="clear" w:fill="B8CCE4"/>
            <w:tcW w:w="5496" w:type="dxa"/>
            <w:vAlign w:val="top"/>
          </w:tcPr>
          <w:p>
            <w:pPr>
              <w:ind w:left="117"/>
              <w:spacing w:before="100"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出借证券账户或借用他人证券账户从事证券交易。</w:t>
            </w:r>
          </w:p>
        </w:tc>
      </w:tr>
      <w:tr>
        <w:trPr>
          <w:trHeight w:val="723" w:hRule="atLeast"/>
        </w:trPr>
        <w:tc>
          <w:tcPr>
            <w:tcW w:w="8055" w:type="dxa"/>
            <w:vAlign w:val="top"/>
            <w:gridSpan w:val="3"/>
          </w:tcPr>
          <w:p>
            <w:pPr>
              <w:ind w:left="104" w:right="105" w:firstLine="14"/>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中国证券监督管理委员会安徽监管局决定：对当事人给予警告，并</w:t>
            </w:r>
            <w:r>
              <w:rPr>
                <w:rFonts w:ascii="Microsoft YaHei" w:hAnsi="Microsoft YaHei" w:eastAsia="Microsoft YaHei" w:cs="Microsoft YaHei"/>
                <w:sz w:val="21"/>
                <w:szCs w:val="21"/>
                <w:spacing w:val="8"/>
              </w:rPr>
              <w:t xml:space="preserve"> </w:t>
            </w:r>
            <w:r>
              <w:rPr>
                <w:rFonts w:ascii="Microsoft YaHei" w:hAnsi="Microsoft YaHei" w:eastAsia="Microsoft YaHei" w:cs="Microsoft YaHei"/>
                <w:sz w:val="21"/>
                <w:szCs w:val="21"/>
                <w:spacing w:val="-4"/>
              </w:rPr>
              <w:t>处以 5 万元罚款。</w:t>
            </w:r>
          </w:p>
        </w:tc>
      </w:tr>
      <w:tr>
        <w:trPr>
          <w:trHeight w:val="366" w:hRule="atLeast"/>
        </w:trPr>
        <w:tc>
          <w:tcPr>
            <w:shd w:val="clear" w:fill="B8CCE4"/>
            <w:tcW w:w="1214" w:type="dxa"/>
            <w:vAlign w:val="top"/>
          </w:tcPr>
          <w:p>
            <w:pPr>
              <w:rPr>
                <w:rFonts w:ascii="Arial"/>
                <w:sz w:val="21"/>
              </w:rPr>
            </w:pPr>
            <w:r/>
          </w:p>
        </w:tc>
        <w:tc>
          <w:tcPr>
            <w:shd w:val="clear" w:fill="B8CCE4"/>
            <w:tcW w:w="1345" w:type="dxa"/>
            <w:vAlign w:val="top"/>
          </w:tcPr>
          <w:p>
            <w:pPr>
              <w:ind w:left="107"/>
              <w:spacing w:before="100"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当事人</w:t>
            </w:r>
          </w:p>
        </w:tc>
        <w:tc>
          <w:tcPr>
            <w:shd w:val="clear" w:fill="B8CCE4"/>
            <w:tcW w:w="5496" w:type="dxa"/>
            <w:vAlign w:val="top"/>
          </w:tcPr>
          <w:p>
            <w:pPr>
              <w:ind w:left="117"/>
              <w:spacing w:before="100"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出借证券账户或借用他人证券账户从事证券交易。</w:t>
            </w:r>
          </w:p>
        </w:tc>
      </w:tr>
      <w:tr>
        <w:trPr>
          <w:trHeight w:val="723" w:hRule="atLeast"/>
        </w:trPr>
        <w:tc>
          <w:tcPr>
            <w:tcW w:w="8055" w:type="dxa"/>
            <w:vAlign w:val="top"/>
            <w:gridSpan w:val="3"/>
          </w:tcPr>
          <w:p>
            <w:pPr>
              <w:ind w:left="104" w:right="105" w:firstLine="14"/>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w:t>
            </w:r>
            <w:r>
              <w:rPr>
                <w:rFonts w:ascii="Microsoft YaHei" w:hAnsi="Microsoft YaHei" w:eastAsia="Microsoft YaHei" w:cs="Microsoft YaHei"/>
                <w:sz w:val="21"/>
                <w:szCs w:val="21"/>
                <w:spacing w:val="1"/>
              </w:rPr>
              <w:t>中国证券监督管理委员会安徽监管局决定：对当事人给予警告，并</w:t>
            </w:r>
            <w:r>
              <w:rPr>
                <w:rFonts w:ascii="Microsoft YaHei" w:hAnsi="Microsoft YaHei" w:eastAsia="Microsoft YaHei" w:cs="Microsoft YaHei"/>
                <w:sz w:val="21"/>
                <w:szCs w:val="21"/>
                <w:spacing w:val="8"/>
              </w:rPr>
              <w:t xml:space="preserve"> </w:t>
            </w:r>
            <w:r>
              <w:rPr>
                <w:rFonts w:ascii="Microsoft YaHei" w:hAnsi="Microsoft YaHei" w:eastAsia="Microsoft YaHei" w:cs="Microsoft YaHei"/>
                <w:sz w:val="21"/>
                <w:szCs w:val="21"/>
                <w:spacing w:val="-4"/>
              </w:rPr>
              <w:t>处以 10 万元罚款。</w:t>
            </w:r>
          </w:p>
        </w:tc>
      </w:tr>
      <w:tr>
        <w:trPr>
          <w:trHeight w:val="726" w:hRule="atLeast"/>
        </w:trPr>
        <w:tc>
          <w:tcPr>
            <w:shd w:val="clear" w:fill="B8CCE4"/>
            <w:tcW w:w="1214" w:type="dxa"/>
            <w:vAlign w:val="top"/>
          </w:tcPr>
          <w:p>
            <w:pPr>
              <w:rPr>
                <w:rFonts w:ascii="Arial"/>
                <w:sz w:val="21"/>
              </w:rPr>
            </w:pPr>
            <w:r/>
          </w:p>
        </w:tc>
        <w:tc>
          <w:tcPr>
            <w:shd w:val="clear" w:fill="B8CCE4"/>
            <w:tcW w:w="1345" w:type="dxa"/>
            <w:vAlign w:val="top"/>
          </w:tcPr>
          <w:p>
            <w:pPr>
              <w:ind w:left="109" w:right="180" w:firstLine="4"/>
              <w:spacing w:before="103"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中山证券有</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限责任公司</w:t>
            </w:r>
          </w:p>
        </w:tc>
        <w:tc>
          <w:tcPr>
            <w:shd w:val="clear" w:fill="B8CCE4"/>
            <w:tcW w:w="5496" w:type="dxa"/>
            <w:vAlign w:val="top"/>
          </w:tcPr>
          <w:p>
            <w:pPr>
              <w:ind w:left="100"/>
              <w:spacing w:before="282"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私下接受投资者委托买卖证券。</w:t>
            </w:r>
          </w:p>
        </w:tc>
      </w:tr>
      <w:tr>
        <w:trPr>
          <w:trHeight w:val="734" w:hRule="atLeast"/>
        </w:trPr>
        <w:tc>
          <w:tcPr>
            <w:tcW w:w="8055" w:type="dxa"/>
            <w:vAlign w:val="top"/>
            <w:gridSpan w:val="3"/>
          </w:tcPr>
          <w:p>
            <w:pPr>
              <w:ind w:left="112" w:right="100" w:firstLine="5"/>
              <w:spacing w:before="10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w:t>
            </w:r>
            <w:r>
              <w:rPr>
                <w:rFonts w:ascii="Microsoft YaHei" w:hAnsi="Microsoft YaHei" w:eastAsia="Microsoft YaHei" w:cs="Microsoft YaHei"/>
                <w:sz w:val="21"/>
                <w:szCs w:val="21"/>
                <w:spacing w:val="-2"/>
              </w:rPr>
              <w:t>中国证券监督管理委员会深圳监管局决定：对贾某给予警告，</w:t>
            </w:r>
            <w:r>
              <w:rPr>
                <w:rFonts w:ascii="Microsoft YaHei" w:hAnsi="Microsoft YaHei" w:eastAsia="Microsoft YaHei" w:cs="Microsoft YaHei"/>
                <w:sz w:val="21"/>
                <w:szCs w:val="21"/>
                <w:spacing w:val="61"/>
              </w:rPr>
              <w:t xml:space="preserve"> </w:t>
            </w:r>
            <w:r>
              <w:rPr>
                <w:rFonts w:ascii="Microsoft YaHei" w:hAnsi="Microsoft YaHei" w:eastAsia="Microsoft YaHei" w:cs="Microsoft YaHei"/>
                <w:sz w:val="21"/>
                <w:szCs w:val="21"/>
                <w:spacing w:val="-2"/>
              </w:rPr>
              <w:t>并处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以三十万元罚款。</w:t>
            </w:r>
          </w:p>
        </w:tc>
      </w:tr>
    </w:tbl>
    <w:p>
      <w:pPr>
        <w:pStyle w:val="BodyText"/>
        <w:rPr/>
      </w:pPr>
      <w:r/>
    </w:p>
    <w:p>
      <w:pPr>
        <w:sectPr>
          <w:pgSz w:w="11912" w:h="16841"/>
          <w:pgMar w:top="400" w:right="1786" w:bottom="0" w:left="1786" w:header="0" w:footer="0" w:gutter="0"/>
        </w:sectPr>
        <w:rPr/>
      </w:pPr>
    </w:p>
    <w:p>
      <w:pPr>
        <w:pStyle w:val="BodyText"/>
        <w:spacing w:line="325" w:lineRule="auto"/>
        <w:rPr/>
      </w:pPr>
      <w:r/>
    </w:p>
    <w:p>
      <w:pPr>
        <w:pStyle w:val="BodyText"/>
        <w:spacing w:line="325" w:lineRule="auto"/>
        <w:rPr/>
      </w:pPr>
      <w:r/>
    </w:p>
    <w:p>
      <w:pPr>
        <w:spacing w:before="103" w:line="19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（2）行政处罚决定事先告知书</w:t>
      </w:r>
    </w:p>
    <w:p>
      <w:pPr>
        <w:spacing w:line="220" w:lineRule="exact"/>
        <w:rPr/>
      </w:pPr>
      <w:r/>
    </w:p>
    <w:tbl>
      <w:tblPr>
        <w:tblStyle w:val="TableNormal"/>
        <w:tblW w:w="8055" w:type="dxa"/>
        <w:tblInd w:w="52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388" w:hRule="atLeast"/>
        </w:trPr>
        <w:tc>
          <w:tcPr>
            <w:shd w:val="clear" w:fill="4F81BD"/>
            <w:tcW w:w="1214" w:type="dxa"/>
            <w:vAlign w:val="top"/>
            <w:tcBorders>
              <w:bottom w:val="single" w:color="4F81BD" w:sz="2" w:space="0"/>
            </w:tcBorders>
          </w:tcPr>
          <w:p>
            <w:pPr>
              <w:ind w:left="106"/>
              <w:spacing w:before="113"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公司代码</w:t>
            </w:r>
          </w:p>
        </w:tc>
        <w:tc>
          <w:tcPr>
            <w:shd w:val="clear" w:fill="4F81BD"/>
            <w:tcW w:w="1345" w:type="dxa"/>
            <w:vAlign w:val="top"/>
            <w:tcBorders>
              <w:bottom w:val="single" w:color="4F81BD" w:sz="2" w:space="0"/>
            </w:tcBorders>
          </w:tcPr>
          <w:p>
            <w:pPr>
              <w:ind w:left="99"/>
              <w:spacing w:before="113"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公司简称</w:t>
            </w:r>
          </w:p>
        </w:tc>
        <w:tc>
          <w:tcPr>
            <w:shd w:val="clear" w:fill="4F81BD"/>
            <w:tcW w:w="5496" w:type="dxa"/>
            <w:vAlign w:val="top"/>
            <w:tcBorders>
              <w:bottom w:val="single" w:color="4F81BD" w:sz="2" w:space="0"/>
            </w:tcBorders>
          </w:tcPr>
          <w:p>
            <w:pPr>
              <w:ind w:left="2530"/>
              <w:spacing w:before="113"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rPr>
              <w:t>违规行为</w:t>
            </w:r>
          </w:p>
        </w:tc>
      </w:tr>
      <w:tr>
        <w:trPr>
          <w:trHeight w:val="369" w:hRule="atLeast"/>
        </w:trPr>
        <w:tc>
          <w:tcPr>
            <w:shd w:val="clear" w:fill="B8CCE4"/>
            <w:tcW w:w="1214" w:type="dxa"/>
            <w:vAlign w:val="top"/>
            <w:tcBorders>
              <w:top w:val="single" w:color="4F81BD" w:sz="2" w:space="0"/>
            </w:tcBorders>
          </w:tcPr>
          <w:p>
            <w:pPr>
              <w:ind w:left="111"/>
              <w:spacing w:before="102"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002483</w:t>
            </w:r>
          </w:p>
        </w:tc>
        <w:tc>
          <w:tcPr>
            <w:shd w:val="clear" w:fill="B8CCE4"/>
            <w:tcW w:w="1345" w:type="dxa"/>
            <w:vAlign w:val="top"/>
            <w:tcBorders>
              <w:top w:val="single" w:color="4F81BD" w:sz="2" w:space="0"/>
            </w:tcBorders>
          </w:tcPr>
          <w:p>
            <w:pPr>
              <w:ind w:left="98"/>
              <w:spacing w:before="93"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润邦股份</w:t>
            </w:r>
          </w:p>
        </w:tc>
        <w:tc>
          <w:tcPr>
            <w:shd w:val="clear" w:fill="B8CCE4"/>
            <w:tcW w:w="5496" w:type="dxa"/>
            <w:vAlign w:val="top"/>
            <w:tcBorders>
              <w:top w:val="single" w:color="4F81BD" w:sz="2" w:space="0"/>
            </w:tcBorders>
          </w:tcPr>
          <w:p>
            <w:pPr>
              <w:ind w:left="100"/>
              <w:spacing w:before="93"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大股东</w:t>
            </w:r>
            <w:r>
              <w:rPr>
                <w:rFonts w:ascii="Microsoft YaHei" w:hAnsi="Microsoft YaHei" w:eastAsia="Microsoft YaHei" w:cs="Microsoft YaHei"/>
                <w:sz w:val="21"/>
                <w:szCs w:val="21"/>
                <w:b/>
                <w:bCs/>
              </w:rPr>
              <w:t>短线交易</w:t>
            </w:r>
            <w:r>
              <w:rPr>
                <w:rFonts w:ascii="Microsoft YaHei" w:hAnsi="Microsoft YaHei" w:eastAsia="Microsoft YaHei" w:cs="Microsoft YaHei"/>
                <w:sz w:val="21"/>
                <w:szCs w:val="21"/>
              </w:rPr>
              <w:t>。</w:t>
            </w:r>
          </w:p>
        </w:tc>
      </w:tr>
      <w:tr>
        <w:trPr>
          <w:trHeight w:val="723" w:hRule="atLeast"/>
        </w:trPr>
        <w:tc>
          <w:tcPr>
            <w:tcW w:w="8055" w:type="dxa"/>
            <w:vAlign w:val="top"/>
            <w:gridSpan w:val="3"/>
          </w:tcPr>
          <w:p>
            <w:pPr>
              <w:ind w:left="107" w:right="100" w:firstLine="11"/>
              <w:spacing w:before="8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【行政处罚决定（拟）</w:t>
            </w:r>
            <w:r>
              <w:rPr>
                <w:rFonts w:ascii="Microsoft YaHei" w:hAnsi="Microsoft YaHei" w:eastAsia="Microsoft YaHei" w:cs="Microsoft YaHei"/>
                <w:sz w:val="21"/>
                <w:szCs w:val="21"/>
                <w:b/>
                <w:bCs/>
                <w:spacing w:val="61"/>
              </w:rPr>
              <w:t xml:space="preserve"> </w:t>
            </w:r>
            <w:r>
              <w:rPr>
                <w:rFonts w:ascii="Microsoft YaHei" w:hAnsi="Microsoft YaHei" w:eastAsia="Microsoft YaHei" w:cs="Microsoft YaHei"/>
                <w:sz w:val="21"/>
                <w:szCs w:val="21"/>
                <w:b/>
                <w:bCs/>
                <w:spacing w:val="-2"/>
              </w:rPr>
              <w:t>】</w:t>
            </w:r>
            <w:r>
              <w:rPr>
                <w:rFonts w:ascii="Microsoft YaHei" w:hAnsi="Microsoft YaHei" w:eastAsia="Microsoft YaHei" w:cs="Microsoft YaHei"/>
                <w:sz w:val="21"/>
                <w:szCs w:val="21"/>
                <w:spacing w:val="-2"/>
              </w:rPr>
              <w:t>中国证券监督管理委员会江苏监管局拟决定：对王某山给予</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0"/>
              </w:rPr>
              <w:t>警告，</w:t>
            </w:r>
            <w:r>
              <w:rPr>
                <w:rFonts w:ascii="Microsoft YaHei" w:hAnsi="Microsoft YaHei" w:eastAsia="Microsoft YaHei" w:cs="Microsoft YaHei"/>
                <w:sz w:val="21"/>
                <w:szCs w:val="21"/>
                <w:spacing w:val="49"/>
              </w:rPr>
              <w:t xml:space="preserve"> </w:t>
            </w:r>
            <w:r>
              <w:rPr>
                <w:rFonts w:ascii="Microsoft YaHei" w:hAnsi="Microsoft YaHei" w:eastAsia="Microsoft YaHei" w:cs="Microsoft YaHei"/>
                <w:sz w:val="21"/>
                <w:szCs w:val="21"/>
                <w:spacing w:val="-10"/>
              </w:rPr>
              <w:t>并处以十五万元的罚款。</w:t>
            </w:r>
          </w:p>
        </w:tc>
      </w:tr>
      <w:tr>
        <w:trPr>
          <w:trHeight w:val="366" w:hRule="atLeast"/>
        </w:trPr>
        <w:tc>
          <w:tcPr>
            <w:shd w:val="clear" w:fill="B8CCE4"/>
            <w:tcW w:w="1214" w:type="dxa"/>
            <w:vAlign w:val="top"/>
          </w:tcPr>
          <w:p>
            <w:pPr>
              <w:ind w:left="117"/>
              <w:spacing w:before="100"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300280</w:t>
            </w:r>
          </w:p>
        </w:tc>
        <w:tc>
          <w:tcPr>
            <w:shd w:val="clear" w:fill="B8CCE4"/>
            <w:tcW w:w="1345" w:type="dxa"/>
            <w:vAlign w:val="top"/>
          </w:tcPr>
          <w:p>
            <w:pPr>
              <w:ind w:left="100"/>
              <w:spacing w:before="91"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紫天科技</w:t>
            </w:r>
          </w:p>
        </w:tc>
        <w:tc>
          <w:tcPr>
            <w:shd w:val="clear" w:fill="B8CCE4"/>
            <w:tcW w:w="5496" w:type="dxa"/>
            <w:vAlign w:val="top"/>
          </w:tcPr>
          <w:p>
            <w:pPr>
              <w:ind w:left="102"/>
              <w:spacing w:before="91" w:line="17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紫天科技未及时披露</w:t>
            </w:r>
            <w:r>
              <w:rPr>
                <w:rFonts w:ascii="Microsoft YaHei" w:hAnsi="Microsoft YaHei" w:eastAsia="Microsoft YaHei" w:cs="Microsoft YaHei"/>
                <w:sz w:val="21"/>
                <w:szCs w:val="21"/>
                <w:b/>
                <w:bCs/>
                <w:spacing w:val="-2"/>
              </w:rPr>
              <w:t>股份冻结</w:t>
            </w:r>
            <w:r>
              <w:rPr>
                <w:rFonts w:ascii="Microsoft YaHei" w:hAnsi="Microsoft YaHei" w:eastAsia="Microsoft YaHei" w:cs="Microsoft YaHei"/>
                <w:sz w:val="21"/>
                <w:szCs w:val="21"/>
                <w:spacing w:val="-2"/>
              </w:rPr>
              <w:t>情况。</w:t>
            </w:r>
          </w:p>
        </w:tc>
      </w:tr>
      <w:tr>
        <w:trPr>
          <w:trHeight w:val="2524" w:hRule="atLeast"/>
        </w:trPr>
        <w:tc>
          <w:tcPr>
            <w:tcW w:w="8055" w:type="dxa"/>
            <w:vAlign w:val="top"/>
            <w:gridSpan w:val="3"/>
          </w:tcPr>
          <w:p>
            <w:pPr>
              <w:ind w:left="105" w:right="104" w:firstLine="13"/>
              <w:spacing w:before="90"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【行政处罚决定（拟）</w:t>
            </w:r>
            <w:r>
              <w:rPr>
                <w:rFonts w:ascii="Microsoft YaHei" w:hAnsi="Microsoft YaHei" w:eastAsia="Microsoft YaHei" w:cs="Microsoft YaHei"/>
                <w:sz w:val="21"/>
                <w:szCs w:val="21"/>
                <w:b/>
                <w:bCs/>
                <w:spacing w:val="-21"/>
              </w:rPr>
              <w:t xml:space="preserve"> </w:t>
            </w:r>
            <w:r>
              <w:rPr>
                <w:rFonts w:ascii="Microsoft YaHei" w:hAnsi="Microsoft YaHei" w:eastAsia="Microsoft YaHei" w:cs="Microsoft YaHei"/>
                <w:sz w:val="21"/>
                <w:szCs w:val="21"/>
                <w:b/>
                <w:bCs/>
                <w:spacing w:val="1"/>
              </w:rPr>
              <w:t>】</w:t>
            </w:r>
            <w:r>
              <w:rPr>
                <w:rFonts w:ascii="Microsoft YaHei" w:hAnsi="Microsoft YaHei" w:eastAsia="Microsoft YaHei" w:cs="Microsoft YaHei"/>
                <w:sz w:val="21"/>
                <w:szCs w:val="21"/>
                <w:b/>
                <w:bCs/>
                <w:spacing w:val="-43"/>
              </w:rPr>
              <w:t xml:space="preserve"> </w:t>
            </w:r>
            <w:r>
              <w:rPr>
                <w:rFonts w:ascii="Microsoft YaHei" w:hAnsi="Microsoft YaHei" w:eastAsia="Microsoft YaHei" w:cs="Microsoft YaHei"/>
                <w:sz w:val="21"/>
                <w:szCs w:val="21"/>
                <w:spacing w:val="1"/>
              </w:rPr>
              <w:t>中国证券监督管理委员会福建监管局拟决定：</w:t>
            </w:r>
            <w:r>
              <w:rPr>
                <w:rFonts w:ascii="Microsoft YaHei" w:hAnsi="Microsoft YaHei" w:eastAsia="Microsoft YaHei" w:cs="Microsoft YaHei"/>
                <w:sz w:val="21"/>
                <w:szCs w:val="21"/>
                <w:spacing w:val="-28"/>
              </w:rPr>
              <w:t xml:space="preserve"> </w:t>
            </w:r>
            <w:r>
              <w:rPr>
                <w:rFonts w:ascii="Microsoft YaHei" w:hAnsi="Microsoft YaHei" w:eastAsia="Microsoft YaHei" w:cs="Microsoft YaHei"/>
                <w:sz w:val="21"/>
                <w:szCs w:val="21"/>
                <w:spacing w:val="1"/>
              </w:rPr>
              <w:t>1、对紫天科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技给予警告，并处以50万元罚款；</w:t>
            </w:r>
          </w:p>
          <w:p>
            <w:pPr>
              <w:ind w:left="114"/>
              <w:spacing w:before="68"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2、对安常投资给予警告， 并处以75万元罚款；</w:t>
            </w:r>
          </w:p>
          <w:p>
            <w:pPr>
              <w:ind w:left="105" w:right="100" w:firstLine="12"/>
              <w:spacing w:before="69" w:line="225"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3、对时任董事长,时任总经理姚某欣给予警告，并处以50万元罚款，其中作为紫天科</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spacing w:val="1"/>
              </w:rPr>
              <w:t>技违法行为直接负责的主管人员罚款20万元，作为控股股东</w:t>
            </w:r>
            <w:r>
              <w:rPr>
                <w:rFonts w:ascii="Microsoft YaHei" w:hAnsi="Microsoft YaHei" w:eastAsia="Microsoft YaHei" w:cs="Microsoft YaHei"/>
                <w:sz w:val="21"/>
                <w:szCs w:val="21"/>
              </w:rPr>
              <w:t>违法行为直接负责的主管 </w:t>
            </w:r>
            <w:r>
              <w:rPr>
                <w:rFonts w:ascii="Microsoft YaHei" w:hAnsi="Microsoft YaHei" w:eastAsia="Microsoft YaHei" w:cs="Microsoft YaHei"/>
                <w:sz w:val="21"/>
                <w:szCs w:val="21"/>
              </w:rPr>
              <w:t>人员罚款30万元；</w:t>
            </w:r>
          </w:p>
          <w:p>
            <w:pPr>
              <w:ind w:left="104"/>
              <w:spacing w:before="68"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4、对时任高管,时任董事,时任董秘郭某给予警告， 并</w:t>
            </w:r>
            <w:r>
              <w:rPr>
                <w:rFonts w:ascii="Microsoft YaHei" w:hAnsi="Microsoft YaHei" w:eastAsia="Microsoft YaHei" w:cs="Microsoft YaHei"/>
                <w:sz w:val="21"/>
                <w:szCs w:val="21"/>
                <w:spacing w:val="-3"/>
              </w:rPr>
              <w:t>处以20万元罚款。</w:t>
            </w:r>
          </w:p>
        </w:tc>
      </w:tr>
      <w:tr>
        <w:trPr>
          <w:trHeight w:val="364" w:hRule="atLeast"/>
        </w:trPr>
        <w:tc>
          <w:tcPr>
            <w:shd w:val="clear" w:fill="B8CCE4"/>
            <w:tcW w:w="1214" w:type="dxa"/>
            <w:vAlign w:val="top"/>
          </w:tcPr>
          <w:p>
            <w:pPr>
              <w:ind w:left="111"/>
              <w:spacing w:before="101"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002037</w:t>
            </w:r>
          </w:p>
        </w:tc>
        <w:tc>
          <w:tcPr>
            <w:shd w:val="clear" w:fill="B8CCE4"/>
            <w:tcW w:w="1345" w:type="dxa"/>
            <w:vAlign w:val="top"/>
          </w:tcPr>
          <w:p>
            <w:pPr>
              <w:ind w:left="98"/>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保利联合</w:t>
            </w:r>
          </w:p>
        </w:tc>
        <w:tc>
          <w:tcPr>
            <w:shd w:val="clear" w:fill="B8CCE4"/>
            <w:tcW w:w="5496" w:type="dxa"/>
            <w:vAlign w:val="top"/>
          </w:tcPr>
          <w:p>
            <w:pPr>
              <w:ind w:left="109"/>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7"/>
              </w:rPr>
              <w:t>2019年、</w:t>
            </w:r>
            <w:r>
              <w:rPr>
                <w:rFonts w:ascii="Microsoft YaHei" w:hAnsi="Microsoft YaHei" w:eastAsia="Microsoft YaHei" w:cs="Microsoft YaHei"/>
                <w:sz w:val="21"/>
                <w:szCs w:val="21"/>
                <w:spacing w:val="27"/>
              </w:rPr>
              <w:t xml:space="preserve"> </w:t>
            </w:r>
            <w:r>
              <w:rPr>
                <w:rFonts w:ascii="Microsoft YaHei" w:hAnsi="Microsoft YaHei" w:eastAsia="Microsoft YaHei" w:cs="Microsoft YaHei"/>
                <w:sz w:val="21"/>
                <w:szCs w:val="21"/>
                <w:spacing w:val="-7"/>
              </w:rPr>
              <w:t>2020年、</w:t>
            </w:r>
            <w:r>
              <w:rPr>
                <w:rFonts w:ascii="Microsoft YaHei" w:hAnsi="Microsoft YaHei" w:eastAsia="Microsoft YaHei" w:cs="Microsoft YaHei"/>
                <w:sz w:val="21"/>
                <w:szCs w:val="21"/>
                <w:spacing w:val="22"/>
                <w:w w:val="101"/>
              </w:rPr>
              <w:t xml:space="preserve"> </w:t>
            </w:r>
            <w:r>
              <w:rPr>
                <w:rFonts w:ascii="Microsoft YaHei" w:hAnsi="Microsoft YaHei" w:eastAsia="Microsoft YaHei" w:cs="Microsoft YaHei"/>
                <w:sz w:val="21"/>
                <w:szCs w:val="21"/>
                <w:spacing w:val="-7"/>
              </w:rPr>
              <w:t>2021年年度报告存在</w:t>
            </w:r>
            <w:r>
              <w:rPr>
                <w:rFonts w:ascii="Microsoft YaHei" w:hAnsi="Microsoft YaHei" w:eastAsia="Microsoft YaHei" w:cs="Microsoft YaHei"/>
                <w:sz w:val="21"/>
                <w:szCs w:val="21"/>
                <w:b/>
                <w:bCs/>
                <w:spacing w:val="-7"/>
              </w:rPr>
              <w:t>错报。</w:t>
            </w:r>
          </w:p>
        </w:tc>
      </w:tr>
      <w:tr>
        <w:trPr>
          <w:trHeight w:val="3243" w:hRule="atLeast"/>
        </w:trPr>
        <w:tc>
          <w:tcPr>
            <w:tcW w:w="8055" w:type="dxa"/>
            <w:vAlign w:val="top"/>
            <w:gridSpan w:val="3"/>
          </w:tcPr>
          <w:p>
            <w:pPr>
              <w:ind w:left="105" w:right="740" w:firstLine="13"/>
              <w:spacing w:before="92"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【行政处罚决定（拟）】</w:t>
            </w:r>
            <w:r>
              <w:rPr>
                <w:rFonts w:ascii="Microsoft YaHei" w:hAnsi="Microsoft YaHei" w:eastAsia="Microsoft YaHei" w:cs="Microsoft YaHei"/>
                <w:sz w:val="21"/>
                <w:szCs w:val="21"/>
              </w:rPr>
              <w:t>中国证券监督管理委员会贵州</w:t>
            </w:r>
            <w:r>
              <w:rPr>
                <w:rFonts w:ascii="Microsoft YaHei" w:hAnsi="Microsoft YaHei" w:eastAsia="Microsoft YaHei" w:cs="Microsoft YaHei"/>
                <w:sz w:val="21"/>
                <w:szCs w:val="21"/>
                <w:spacing w:val="-1"/>
              </w:rPr>
              <w:t>监管局拟作出以下决定: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对保利联合给予警告，并处以300万元罚款；</w:t>
            </w:r>
          </w:p>
          <w:p>
            <w:pPr>
              <w:ind w:left="105"/>
              <w:spacing w:before="68"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对时任董事长安某杰给予警告，</w:t>
            </w:r>
            <w:r>
              <w:rPr>
                <w:rFonts w:ascii="Microsoft YaHei" w:hAnsi="Microsoft YaHei" w:eastAsia="Microsoft YaHei" w:cs="Microsoft YaHei"/>
                <w:sz w:val="21"/>
                <w:szCs w:val="21"/>
                <w:spacing w:val="44"/>
                <w:w w:val="101"/>
              </w:rPr>
              <w:t xml:space="preserve"> </w:t>
            </w:r>
            <w:r>
              <w:rPr>
                <w:rFonts w:ascii="Microsoft YaHei" w:hAnsi="Microsoft YaHei" w:eastAsia="Microsoft YaHei" w:cs="Microsoft YaHei"/>
                <w:sz w:val="21"/>
                <w:szCs w:val="21"/>
                <w:spacing w:val="-5"/>
              </w:rPr>
              <w:t>并处以120万元罚款；</w:t>
            </w:r>
          </w:p>
          <w:p>
            <w:pPr>
              <w:ind w:left="105"/>
              <w:spacing w:before="67"/>
              <w:rPr>
                <w:rFonts w:ascii="Microsoft YaHei" w:hAnsi="Microsoft YaHei" w:eastAsia="Microsoft YaHei" w:cs="Microsoft YaHei"/>
                <w:sz w:val="21"/>
                <w:szCs w:val="21"/>
              </w:rPr>
            </w:pPr>
            <w:r>
              <w:rPr>
                <w:rFonts w:ascii="Microsoft YaHei" w:hAnsi="Microsoft YaHei" w:eastAsia="Microsoft YaHei" w:cs="Microsoft YaHei"/>
                <w:sz w:val="21"/>
                <w:szCs w:val="21"/>
              </w:rPr>
              <w:t>对时任董事,时任总经理魏某给予警告，并处以80万元罚款；</w:t>
            </w:r>
          </w:p>
          <w:p>
            <w:pPr>
              <w:ind w:left="105"/>
              <w:spacing w:before="1"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对时任董事,时任总经理张某给予警告，并处以80万元罚款；</w:t>
            </w:r>
          </w:p>
          <w:p>
            <w:pPr>
              <w:ind w:left="105"/>
              <w:spacing w:before="68"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对时任高管袁某给予警告，并处以80万元罚款；</w:t>
            </w:r>
          </w:p>
          <w:p>
            <w:pPr>
              <w:ind w:left="105"/>
              <w:spacing w:before="69"/>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对时任高管刘某彬给予警告，并处以80万元罚款；</w:t>
            </w:r>
          </w:p>
          <w:p>
            <w:pPr>
              <w:ind w:left="105"/>
              <w:spacing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对时任董事王某春给予警告，并处以65万元罚款；</w:t>
            </w:r>
          </w:p>
          <w:p>
            <w:pPr>
              <w:ind w:left="105"/>
              <w:spacing w:before="69"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对其他关系方胡某川、魏某、文某给予警告</w:t>
            </w:r>
            <w:r>
              <w:rPr>
                <w:rFonts w:ascii="Microsoft YaHei" w:hAnsi="Microsoft YaHei" w:eastAsia="Microsoft YaHei" w:cs="Microsoft YaHei"/>
                <w:sz w:val="21"/>
                <w:szCs w:val="21"/>
                <w:spacing w:val="-3"/>
              </w:rPr>
              <w:t>， 并分别处以50万元罚款。</w:t>
            </w:r>
          </w:p>
        </w:tc>
      </w:tr>
      <w:tr>
        <w:trPr>
          <w:trHeight w:val="603" w:hRule="atLeast"/>
        </w:trPr>
        <w:tc>
          <w:tcPr>
            <w:shd w:val="clear" w:fill="B8CCE4"/>
            <w:tcW w:w="1214" w:type="dxa"/>
            <w:vAlign w:val="top"/>
          </w:tcPr>
          <w:p>
            <w:pPr>
              <w:ind w:left="114"/>
              <w:spacing w:before="226"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688086</w:t>
            </w:r>
          </w:p>
        </w:tc>
        <w:tc>
          <w:tcPr>
            <w:shd w:val="clear" w:fill="B8CCE4"/>
            <w:tcW w:w="1345" w:type="dxa"/>
            <w:vAlign w:val="top"/>
          </w:tcPr>
          <w:p>
            <w:pPr>
              <w:ind w:left="98"/>
              <w:spacing w:before="216"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退市紫晶</w:t>
            </w:r>
          </w:p>
        </w:tc>
        <w:tc>
          <w:tcPr>
            <w:shd w:val="clear" w:fill="B8CCE4"/>
            <w:tcW w:w="5496" w:type="dxa"/>
            <w:vAlign w:val="top"/>
          </w:tcPr>
          <w:p>
            <w:pPr>
              <w:ind w:left="102"/>
              <w:spacing w:before="217"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紫晶存储未在法定期限内披露公司</w:t>
            </w:r>
            <w:r>
              <w:rPr>
                <w:rFonts w:ascii="Microsoft YaHei" w:hAnsi="Microsoft YaHei" w:eastAsia="Microsoft YaHei" w:cs="Microsoft YaHei"/>
                <w:sz w:val="21"/>
                <w:szCs w:val="21"/>
                <w:b/>
                <w:bCs/>
              </w:rPr>
              <w:t>2022年年度</w:t>
            </w:r>
            <w:r>
              <w:rPr>
                <w:rFonts w:ascii="Microsoft YaHei" w:hAnsi="Microsoft YaHei" w:eastAsia="Microsoft YaHei" w:cs="Microsoft YaHei"/>
                <w:sz w:val="21"/>
                <w:szCs w:val="21"/>
                <w:b/>
                <w:bCs/>
                <w:spacing w:val="-1"/>
              </w:rPr>
              <w:t>报告</w:t>
            </w:r>
            <w:r>
              <w:rPr>
                <w:rFonts w:ascii="Microsoft YaHei" w:hAnsi="Microsoft YaHei" w:eastAsia="Microsoft YaHei" w:cs="Microsoft YaHei"/>
                <w:sz w:val="21"/>
                <w:szCs w:val="21"/>
                <w:spacing w:val="-1"/>
              </w:rPr>
              <w:t>。</w:t>
            </w:r>
          </w:p>
        </w:tc>
      </w:tr>
      <w:tr>
        <w:trPr>
          <w:trHeight w:val="2328" w:hRule="atLeast"/>
        </w:trPr>
        <w:tc>
          <w:tcPr>
            <w:tcW w:w="8055" w:type="dxa"/>
            <w:vAlign w:val="top"/>
            <w:gridSpan w:val="3"/>
          </w:tcPr>
          <w:p>
            <w:pPr>
              <w:ind w:left="118"/>
              <w:spacing w:before="183"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【行政处罚决定（拟）】</w:t>
            </w:r>
            <w:r>
              <w:rPr>
                <w:rFonts w:ascii="Microsoft YaHei" w:hAnsi="Microsoft YaHei" w:eastAsia="Microsoft YaHei" w:cs="Microsoft YaHei"/>
                <w:sz w:val="21"/>
                <w:szCs w:val="21"/>
                <w:spacing w:val="-1"/>
              </w:rPr>
              <w:t>广东省证监局拟决定：</w:t>
            </w:r>
          </w:p>
          <w:p>
            <w:pPr>
              <w:ind w:left="105" w:right="99" w:firstLine="29"/>
              <w:spacing w:before="74"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（一）对广东紫晶信息存储技术股份有限公司责令改正，给予警告，  并</w:t>
            </w:r>
            <w:r>
              <w:rPr>
                <w:rFonts w:ascii="Microsoft YaHei" w:hAnsi="Microsoft YaHei" w:eastAsia="Microsoft YaHei" w:cs="Microsoft YaHei"/>
                <w:sz w:val="21"/>
                <w:szCs w:val="21"/>
                <w:spacing w:val="-4"/>
              </w:rPr>
              <w:t>处以50万元罚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款；</w:t>
            </w:r>
          </w:p>
          <w:p>
            <w:pPr>
              <w:ind w:left="135"/>
              <w:spacing w:before="67" w:line="19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（二）</w:t>
            </w:r>
            <w:r>
              <w:rPr>
                <w:rFonts w:ascii="Microsoft YaHei" w:hAnsi="Microsoft YaHei" w:eastAsia="Microsoft YaHei" w:cs="Microsoft YaHei"/>
                <w:sz w:val="21"/>
                <w:szCs w:val="21"/>
                <w:spacing w:val="39"/>
              </w:rPr>
              <w:t xml:space="preserve"> </w:t>
            </w:r>
            <w:r>
              <w:rPr>
                <w:rFonts w:ascii="Microsoft YaHei" w:hAnsi="Microsoft YaHei" w:eastAsia="Microsoft YaHei" w:cs="Microsoft YaHei"/>
                <w:sz w:val="21"/>
                <w:szCs w:val="21"/>
                <w:spacing w:val="-5"/>
              </w:rPr>
              <w:t>对时任董事,时任董秘郑某给予警告，并处以30万元罚款。</w:t>
            </w:r>
          </w:p>
          <w:p>
            <w:pPr>
              <w:ind w:left="106" w:right="103" w:firstLine="28"/>
              <w:spacing w:before="73"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（三）对时任董事长贾某峰、时任董事,时任总经理钟某裕给予警告，并分别处以20</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spacing w:val="-5"/>
              </w:rPr>
              <w:t>万元罚款。</w:t>
            </w:r>
          </w:p>
        </w:tc>
      </w:tr>
      <w:tr>
        <w:trPr>
          <w:trHeight w:val="366" w:hRule="atLeast"/>
        </w:trPr>
        <w:tc>
          <w:tcPr>
            <w:shd w:val="clear" w:fill="B8CCE4"/>
            <w:tcW w:w="1214" w:type="dxa"/>
            <w:vAlign w:val="top"/>
          </w:tcPr>
          <w:p>
            <w:pPr>
              <w:ind w:left="112"/>
              <w:spacing w:before="111" w:line="16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831355</w:t>
            </w:r>
          </w:p>
        </w:tc>
        <w:tc>
          <w:tcPr>
            <w:shd w:val="clear" w:fill="B8CCE4"/>
            <w:tcW w:w="1345" w:type="dxa"/>
            <w:vAlign w:val="top"/>
          </w:tcPr>
          <w:p>
            <w:pPr>
              <w:ind w:left="97"/>
              <w:spacing w:before="103"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地源科技</w:t>
            </w:r>
          </w:p>
        </w:tc>
        <w:tc>
          <w:tcPr>
            <w:shd w:val="clear" w:fill="B8CCE4"/>
            <w:tcW w:w="5496" w:type="dxa"/>
            <w:vAlign w:val="top"/>
          </w:tcPr>
          <w:p>
            <w:pPr>
              <w:ind w:left="100"/>
              <w:spacing w:before="103"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未在2023年4月30日前披露2022年</w:t>
            </w:r>
            <w:r>
              <w:rPr>
                <w:rFonts w:ascii="Microsoft YaHei" w:hAnsi="Microsoft YaHei" w:eastAsia="Microsoft YaHei" w:cs="Microsoft YaHei"/>
                <w:sz w:val="21"/>
                <w:szCs w:val="21"/>
                <w:b/>
                <w:bCs/>
                <w:spacing w:val="-1"/>
              </w:rPr>
              <w:t>年度报告。</w:t>
            </w:r>
          </w:p>
        </w:tc>
      </w:tr>
      <w:tr>
        <w:trPr>
          <w:trHeight w:val="1095" w:hRule="atLeast"/>
        </w:trPr>
        <w:tc>
          <w:tcPr>
            <w:tcW w:w="8055" w:type="dxa"/>
            <w:vAlign w:val="top"/>
            <w:gridSpan w:val="3"/>
          </w:tcPr>
          <w:p>
            <w:pPr>
              <w:ind w:left="104" w:right="100" w:firstLine="14"/>
              <w:spacing w:before="103"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【行政处罚决定（拟）</w:t>
            </w:r>
            <w:r>
              <w:rPr>
                <w:rFonts w:ascii="Microsoft YaHei" w:hAnsi="Microsoft YaHei" w:eastAsia="Microsoft YaHei" w:cs="Microsoft YaHei"/>
                <w:sz w:val="21"/>
                <w:szCs w:val="21"/>
                <w:b/>
                <w:bCs/>
                <w:spacing w:val="61"/>
              </w:rPr>
              <w:t xml:space="preserve"> </w:t>
            </w:r>
            <w:r>
              <w:rPr>
                <w:rFonts w:ascii="Microsoft YaHei" w:hAnsi="Microsoft YaHei" w:eastAsia="Microsoft YaHei" w:cs="Microsoft YaHei"/>
                <w:sz w:val="21"/>
                <w:szCs w:val="21"/>
                <w:b/>
                <w:bCs/>
                <w:spacing w:val="-2"/>
              </w:rPr>
              <w:t>】</w:t>
            </w:r>
            <w:r>
              <w:rPr>
                <w:rFonts w:ascii="Microsoft YaHei" w:hAnsi="Microsoft YaHei" w:eastAsia="Microsoft YaHei" w:cs="Microsoft YaHei"/>
                <w:sz w:val="21"/>
                <w:szCs w:val="21"/>
                <w:spacing w:val="-2"/>
              </w:rPr>
              <w:t>中国证监会江苏监管局拟决定：对江苏亚特尔地源科技股份</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有限公司责令改正、给予警告，并处以五十万元罚款；</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1"/>
              </w:rPr>
              <w:t>对董事长徐</w:t>
            </w:r>
            <w:r>
              <w:rPr>
                <w:rFonts w:ascii="Microsoft YaHei" w:hAnsi="Microsoft YaHei" w:eastAsia="Microsoft YaHei" w:cs="Microsoft YaHei"/>
                <w:sz w:val="21"/>
                <w:szCs w:val="21"/>
                <w:spacing w:val="-2"/>
              </w:rPr>
              <w:t>卫东给予警告，并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处以二十万元罚款。</w:t>
            </w:r>
          </w:p>
        </w:tc>
      </w:tr>
    </w:tbl>
    <w:p>
      <w:pPr>
        <w:pStyle w:val="BodyText"/>
        <w:rPr/>
      </w:pPr>
      <w:r/>
    </w:p>
    <w:p>
      <w:pPr>
        <w:sectPr>
          <w:pgSz w:w="11912" w:h="16841"/>
          <w:pgMar w:top="400" w:right="1786" w:bottom="0" w:left="1393" w:header="0" w:footer="0" w:gutter="0"/>
        </w:sectPr>
        <w:rPr/>
      </w:pPr>
    </w:p>
    <w:p>
      <w:pPr>
        <w:spacing w:before="107" w:line="19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4"/>
        </w:rPr>
        <w:t>（3）行政监管措施</w:t>
      </w:r>
    </w:p>
    <w:p>
      <w:pPr>
        <w:spacing w:line="217" w:lineRule="exact"/>
        <w:rPr/>
      </w:pPr>
      <w:r/>
    </w:p>
    <w:tbl>
      <w:tblPr>
        <w:tblStyle w:val="TableNormal"/>
        <w:tblW w:w="8055" w:type="dxa"/>
        <w:tblInd w:w="52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388" w:hRule="atLeast"/>
        </w:trPr>
        <w:tc>
          <w:tcPr>
            <w:shd w:val="clear" w:fill="4F81BD"/>
            <w:tcW w:w="1214" w:type="dxa"/>
            <w:vAlign w:val="top"/>
            <w:tcBorders>
              <w:bottom w:val="single" w:color="4F81BD" w:sz="2" w:space="0"/>
            </w:tcBorders>
          </w:tcPr>
          <w:p>
            <w:pPr>
              <w:ind w:left="106"/>
              <w:spacing w:before="115"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公司代码</w:t>
            </w:r>
          </w:p>
        </w:tc>
        <w:tc>
          <w:tcPr>
            <w:shd w:val="clear" w:fill="4F81BD"/>
            <w:tcW w:w="1345" w:type="dxa"/>
            <w:vAlign w:val="top"/>
            <w:tcBorders>
              <w:bottom w:val="single" w:color="4F81BD" w:sz="2" w:space="0"/>
            </w:tcBorders>
          </w:tcPr>
          <w:p>
            <w:pPr>
              <w:ind w:left="99"/>
              <w:spacing w:before="115"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公司简称</w:t>
            </w:r>
          </w:p>
        </w:tc>
        <w:tc>
          <w:tcPr>
            <w:shd w:val="clear" w:fill="4F81BD"/>
            <w:tcW w:w="5496" w:type="dxa"/>
            <w:vAlign w:val="top"/>
            <w:tcBorders>
              <w:bottom w:val="single" w:color="4F81BD" w:sz="2" w:space="0"/>
            </w:tcBorders>
          </w:tcPr>
          <w:p>
            <w:pPr>
              <w:ind w:left="2530"/>
              <w:spacing w:before="115"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rPr>
              <w:t>违规行为</w:t>
            </w:r>
          </w:p>
        </w:tc>
      </w:tr>
      <w:tr>
        <w:trPr>
          <w:trHeight w:val="1089" w:hRule="atLeast"/>
        </w:trPr>
        <w:tc>
          <w:tcPr>
            <w:shd w:val="clear" w:fill="B8CCE4"/>
            <w:tcW w:w="1214" w:type="dxa"/>
            <w:vAlign w:val="top"/>
            <w:tcBorders>
              <w:top w:val="single" w:color="4F81BD" w:sz="2" w:space="0"/>
            </w:tcBorders>
          </w:tcPr>
          <w:p>
            <w:pPr>
              <w:spacing w:line="370"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002955</w:t>
            </w:r>
          </w:p>
        </w:tc>
        <w:tc>
          <w:tcPr>
            <w:shd w:val="clear" w:fill="B8CCE4"/>
            <w:tcW w:w="1345" w:type="dxa"/>
            <w:vAlign w:val="top"/>
            <w:tcBorders>
              <w:top w:val="single" w:color="4F81BD" w:sz="2" w:space="0"/>
            </w:tcBorders>
          </w:tcPr>
          <w:p>
            <w:pPr>
              <w:spacing w:line="360" w:lineRule="auto"/>
              <w:rPr>
                <w:rFonts w:ascii="Arial"/>
                <w:sz w:val="21"/>
              </w:rPr>
            </w:pPr>
            <w:r/>
          </w:p>
          <w:p>
            <w:pPr>
              <w:ind w:left="99"/>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鸿合科技</w:t>
            </w:r>
          </w:p>
        </w:tc>
        <w:tc>
          <w:tcPr>
            <w:shd w:val="clear" w:fill="B8CCE4"/>
            <w:tcW w:w="5496" w:type="dxa"/>
            <w:vAlign w:val="top"/>
            <w:tcBorders>
              <w:top w:val="single" w:color="4F81BD" w:sz="2" w:space="0"/>
            </w:tcBorders>
          </w:tcPr>
          <w:p>
            <w:pPr>
              <w:ind w:left="100" w:right="100" w:firstLine="2"/>
              <w:spacing w:before="92"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6"/>
                <w:w w:val="97"/>
              </w:rPr>
              <w:t>三会运作</w:t>
            </w:r>
            <w:r>
              <w:rPr>
                <w:rFonts w:ascii="Microsoft YaHei" w:hAnsi="Microsoft YaHei" w:eastAsia="Microsoft YaHei" w:cs="Microsoft YaHei"/>
                <w:sz w:val="21"/>
                <w:szCs w:val="21"/>
                <w:spacing w:val="-6"/>
                <w:w w:val="97"/>
              </w:rPr>
              <w:t>及会议记录管理、</w:t>
            </w:r>
            <w:r>
              <w:rPr>
                <w:rFonts w:ascii="Microsoft YaHei" w:hAnsi="Microsoft YaHei" w:eastAsia="Microsoft YaHei" w:cs="Microsoft YaHei"/>
                <w:sz w:val="21"/>
                <w:szCs w:val="21"/>
                <w:spacing w:val="29"/>
              </w:rPr>
              <w:t xml:space="preserve">  </w:t>
            </w:r>
            <w:r>
              <w:rPr>
                <w:rFonts w:ascii="Microsoft YaHei" w:hAnsi="Microsoft YaHei" w:eastAsia="Microsoft YaHei" w:cs="Microsoft YaHei"/>
                <w:sz w:val="21"/>
                <w:szCs w:val="21"/>
                <w:b/>
                <w:bCs/>
                <w:spacing w:val="-6"/>
                <w:w w:val="97"/>
              </w:rPr>
              <w:t>内幕信息</w:t>
            </w:r>
            <w:r>
              <w:rPr>
                <w:rFonts w:ascii="Microsoft YaHei" w:hAnsi="Microsoft YaHei" w:eastAsia="Microsoft YaHei" w:cs="Microsoft YaHei"/>
                <w:sz w:val="21"/>
                <w:szCs w:val="21"/>
                <w:spacing w:val="-6"/>
                <w:w w:val="97"/>
              </w:rPr>
              <w:t>知情人登记、</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b/>
                <w:bCs/>
                <w:spacing w:val="-6"/>
                <w:w w:val="97"/>
              </w:rPr>
              <w:t>政府补</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6"/>
              </w:rPr>
              <w:t>助</w:t>
            </w:r>
            <w:r>
              <w:rPr>
                <w:rFonts w:ascii="Microsoft YaHei" w:hAnsi="Microsoft YaHei" w:eastAsia="Microsoft YaHei" w:cs="Microsoft YaHei"/>
                <w:sz w:val="21"/>
                <w:szCs w:val="21"/>
                <w:spacing w:val="-6"/>
              </w:rPr>
              <w:t>等相关财务核算、</w:t>
            </w:r>
            <w:r>
              <w:rPr>
                <w:rFonts w:ascii="Microsoft YaHei" w:hAnsi="Microsoft YaHei" w:eastAsia="Microsoft YaHei" w:cs="Microsoft YaHei"/>
                <w:sz w:val="21"/>
                <w:szCs w:val="21"/>
                <w:spacing w:val="27"/>
              </w:rPr>
              <w:t xml:space="preserve">  </w:t>
            </w:r>
            <w:r>
              <w:rPr>
                <w:rFonts w:ascii="Microsoft YaHei" w:hAnsi="Microsoft YaHei" w:eastAsia="Microsoft YaHei" w:cs="Microsoft YaHei"/>
                <w:sz w:val="21"/>
                <w:szCs w:val="21"/>
                <w:b/>
                <w:bCs/>
                <w:spacing w:val="-6"/>
              </w:rPr>
              <w:t>自愿性信息披露管理</w:t>
            </w:r>
            <w:r>
              <w:rPr>
                <w:rFonts w:ascii="Microsoft YaHei" w:hAnsi="Microsoft YaHei" w:eastAsia="Microsoft YaHei" w:cs="Microsoft YaHei"/>
                <w:sz w:val="21"/>
                <w:szCs w:val="21"/>
                <w:spacing w:val="-6"/>
              </w:rPr>
              <w:t>等方面存在不规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范。</w:t>
            </w:r>
          </w:p>
        </w:tc>
      </w:tr>
      <w:tr>
        <w:trPr>
          <w:trHeight w:val="726" w:hRule="atLeast"/>
        </w:trPr>
        <w:tc>
          <w:tcPr>
            <w:tcW w:w="8055" w:type="dxa"/>
            <w:vAlign w:val="top"/>
            <w:gridSpan w:val="3"/>
          </w:tcPr>
          <w:p>
            <w:pPr>
              <w:ind w:left="105" w:right="100" w:firstLine="13"/>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中国证券监督管理委员会深圳监管局决定对鸿合科技股份有限公司</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采取监管谈话的监管措施。</w:t>
            </w:r>
          </w:p>
        </w:tc>
      </w:tr>
      <w:tr>
        <w:trPr>
          <w:trHeight w:val="364" w:hRule="atLeast"/>
        </w:trPr>
        <w:tc>
          <w:tcPr>
            <w:shd w:val="clear" w:fill="B8CCE4"/>
            <w:tcW w:w="1214" w:type="dxa"/>
            <w:vAlign w:val="top"/>
          </w:tcPr>
          <w:p>
            <w:pPr>
              <w:ind w:left="117"/>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300886</w:t>
            </w:r>
          </w:p>
        </w:tc>
        <w:tc>
          <w:tcPr>
            <w:shd w:val="clear" w:fill="B8CCE4"/>
            <w:tcW w:w="1345" w:type="dxa"/>
            <w:vAlign w:val="top"/>
          </w:tcPr>
          <w:p>
            <w:pPr>
              <w:ind w:left="100"/>
              <w:spacing w:before="88"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华业香料</w:t>
            </w:r>
          </w:p>
        </w:tc>
        <w:tc>
          <w:tcPr>
            <w:shd w:val="clear" w:fill="B8CCE4"/>
            <w:tcW w:w="5496" w:type="dxa"/>
            <w:vAlign w:val="top"/>
          </w:tcPr>
          <w:p>
            <w:pPr>
              <w:ind w:left="113"/>
              <w:spacing w:before="88"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内幕信息知情人</w:t>
            </w:r>
            <w:r>
              <w:rPr>
                <w:rFonts w:ascii="Microsoft YaHei" w:hAnsi="Microsoft YaHei" w:eastAsia="Microsoft YaHei" w:cs="Microsoft YaHei"/>
                <w:sz w:val="21"/>
                <w:szCs w:val="21"/>
                <w:spacing w:val="-1"/>
              </w:rPr>
              <w:t>登记管理不规范。</w:t>
            </w:r>
          </w:p>
        </w:tc>
      </w:tr>
      <w:tr>
        <w:trPr>
          <w:trHeight w:val="726" w:hRule="atLeast"/>
        </w:trPr>
        <w:tc>
          <w:tcPr>
            <w:tcW w:w="8055" w:type="dxa"/>
            <w:vAlign w:val="top"/>
            <w:gridSpan w:val="3"/>
          </w:tcPr>
          <w:p>
            <w:pPr>
              <w:ind w:left="114" w:right="100" w:firstLine="4"/>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中国证券监督管理委员会安徽监管局决定对时任董秘采取监管谈话</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的监督管理措施，并计入证券期货市场诚信档案。</w:t>
            </w:r>
          </w:p>
        </w:tc>
      </w:tr>
      <w:tr>
        <w:trPr>
          <w:trHeight w:val="1446" w:hRule="atLeast"/>
        </w:trPr>
        <w:tc>
          <w:tcPr>
            <w:shd w:val="clear" w:fill="B8CCE4"/>
            <w:tcW w:w="1214" w:type="dxa"/>
            <w:vAlign w:val="top"/>
          </w:tcPr>
          <w:p>
            <w:pPr>
              <w:spacing w:line="272" w:lineRule="auto"/>
              <w:rPr>
                <w:rFonts w:ascii="Arial"/>
                <w:sz w:val="21"/>
              </w:rPr>
            </w:pPr>
            <w:r/>
          </w:p>
          <w:p>
            <w:pPr>
              <w:spacing w:line="273"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688328</w:t>
            </w:r>
          </w:p>
        </w:tc>
        <w:tc>
          <w:tcPr>
            <w:shd w:val="clear" w:fill="B8CCE4"/>
            <w:tcW w:w="1345" w:type="dxa"/>
            <w:vAlign w:val="top"/>
          </w:tcPr>
          <w:p>
            <w:pPr>
              <w:spacing w:line="267" w:lineRule="auto"/>
              <w:rPr>
                <w:rFonts w:ascii="Arial"/>
                <w:sz w:val="21"/>
              </w:rPr>
            </w:pPr>
            <w:r/>
          </w:p>
          <w:p>
            <w:pPr>
              <w:spacing w:line="268" w:lineRule="auto"/>
              <w:rPr>
                <w:rFonts w:ascii="Arial"/>
                <w:sz w:val="21"/>
              </w:rPr>
            </w:pPr>
            <w:r/>
          </w:p>
          <w:p>
            <w:pPr>
              <w:ind w:left="99"/>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深科达</w:t>
            </w:r>
          </w:p>
        </w:tc>
        <w:tc>
          <w:tcPr>
            <w:shd w:val="clear" w:fill="B8CCE4"/>
            <w:tcW w:w="5496" w:type="dxa"/>
            <w:vAlign w:val="top"/>
          </w:tcPr>
          <w:p>
            <w:pPr>
              <w:ind w:left="98" w:right="97" w:firstLine="1"/>
              <w:spacing w:before="90"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8"/>
              </w:rPr>
              <w:t>募集资金</w:t>
            </w:r>
            <w:r>
              <w:rPr>
                <w:rFonts w:ascii="Microsoft YaHei" w:hAnsi="Microsoft YaHei" w:eastAsia="Microsoft YaHei" w:cs="Microsoft YaHei"/>
                <w:sz w:val="21"/>
                <w:szCs w:val="21"/>
                <w:spacing w:val="-8"/>
              </w:rPr>
              <w:t>专户设立程序不规范；  </w:t>
            </w:r>
            <w:r>
              <w:rPr>
                <w:rFonts w:ascii="Microsoft YaHei" w:hAnsi="Microsoft YaHei" w:eastAsia="Microsoft YaHei" w:cs="Microsoft YaHei"/>
                <w:sz w:val="21"/>
                <w:szCs w:val="21"/>
                <w:b/>
                <w:bCs/>
                <w:spacing w:val="-8"/>
              </w:rPr>
              <w:t>财务会计核算</w:t>
            </w:r>
            <w:r>
              <w:rPr>
                <w:rFonts w:ascii="Microsoft YaHei" w:hAnsi="Microsoft YaHei" w:eastAsia="Microsoft YaHei" w:cs="Microsoft YaHei"/>
                <w:sz w:val="21"/>
                <w:szCs w:val="21"/>
                <w:spacing w:val="-8"/>
              </w:rPr>
              <w:t>不规范；  股</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7"/>
                <w:w w:val="98"/>
              </w:rPr>
              <w:t>东大会及董事会运作、</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b/>
                <w:bCs/>
                <w:spacing w:val="-7"/>
                <w:w w:val="98"/>
              </w:rPr>
              <w:t>公司章程</w:t>
            </w:r>
            <w:r>
              <w:rPr>
                <w:rFonts w:ascii="Microsoft YaHei" w:hAnsi="Microsoft YaHei" w:eastAsia="Microsoft YaHei" w:cs="Microsoft YaHei"/>
                <w:sz w:val="21"/>
                <w:szCs w:val="21"/>
                <w:spacing w:val="-7"/>
                <w:w w:val="98"/>
              </w:rPr>
              <w:t>部分内容编</w:t>
            </w:r>
            <w:r>
              <w:rPr>
                <w:rFonts w:ascii="Microsoft YaHei" w:hAnsi="Microsoft YaHei" w:eastAsia="Microsoft YaHei" w:cs="Microsoft YaHei"/>
                <w:sz w:val="21"/>
                <w:szCs w:val="21"/>
                <w:spacing w:val="-8"/>
                <w:w w:val="98"/>
              </w:rPr>
              <w:t>制、</w:t>
            </w:r>
            <w:r>
              <w:rPr>
                <w:rFonts w:ascii="Microsoft YaHei" w:hAnsi="Microsoft YaHei" w:eastAsia="Microsoft YaHei" w:cs="Microsoft YaHei"/>
                <w:sz w:val="21"/>
                <w:szCs w:val="21"/>
                <w:spacing w:val="20"/>
              </w:rPr>
              <w:t xml:space="preserve">  </w:t>
            </w:r>
            <w:r>
              <w:rPr>
                <w:rFonts w:ascii="Microsoft YaHei" w:hAnsi="Microsoft YaHei" w:eastAsia="Microsoft YaHei" w:cs="Microsoft YaHei"/>
                <w:sz w:val="21"/>
                <w:szCs w:val="21"/>
                <w:b/>
                <w:bCs/>
                <w:spacing w:val="-8"/>
                <w:w w:val="98"/>
              </w:rPr>
              <w:t>内幕信息</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spacing w:val="6"/>
              </w:rPr>
              <w:t>知情人登记、</w:t>
            </w:r>
            <w:r>
              <w:rPr>
                <w:rFonts w:ascii="Microsoft YaHei" w:hAnsi="Microsoft YaHei" w:eastAsia="Microsoft YaHei" w:cs="Microsoft YaHei"/>
                <w:sz w:val="21"/>
                <w:szCs w:val="21"/>
                <w:b/>
                <w:bCs/>
                <w:spacing w:val="6"/>
              </w:rPr>
              <w:t>关联方登记</w:t>
            </w:r>
            <w:r>
              <w:rPr>
                <w:rFonts w:ascii="Microsoft YaHei" w:hAnsi="Microsoft YaHei" w:eastAsia="Microsoft YaHei" w:cs="Microsoft YaHei"/>
                <w:sz w:val="21"/>
                <w:szCs w:val="21"/>
                <w:spacing w:val="6"/>
              </w:rPr>
              <w:t>、</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6"/>
              </w:rPr>
              <w:t>2023年</w:t>
            </w:r>
            <w:r>
              <w:rPr>
                <w:rFonts w:ascii="Microsoft YaHei" w:hAnsi="Microsoft YaHei" w:eastAsia="Microsoft YaHei" w:cs="Microsoft YaHei"/>
                <w:sz w:val="21"/>
                <w:szCs w:val="21"/>
                <w:b/>
                <w:bCs/>
                <w:spacing w:val="6"/>
              </w:rPr>
              <w:t>半年报</w:t>
            </w:r>
            <w:r>
              <w:rPr>
                <w:rFonts w:ascii="Microsoft YaHei" w:hAnsi="Microsoft YaHei" w:eastAsia="Microsoft YaHei" w:cs="Microsoft YaHei"/>
                <w:sz w:val="21"/>
                <w:szCs w:val="21"/>
                <w:b/>
                <w:bCs/>
                <w:spacing w:val="5"/>
              </w:rPr>
              <w:t>应收账款</w:t>
            </w:r>
            <w:r>
              <w:rPr>
                <w:rFonts w:ascii="Microsoft YaHei" w:hAnsi="Microsoft YaHei" w:eastAsia="Microsoft YaHei" w:cs="Microsoft YaHei"/>
                <w:sz w:val="21"/>
                <w:szCs w:val="21"/>
                <w:spacing w:val="5"/>
              </w:rPr>
              <w:t>披露</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等方面存在不规范。</w:t>
            </w:r>
          </w:p>
        </w:tc>
      </w:tr>
      <w:tr>
        <w:trPr>
          <w:trHeight w:val="723" w:hRule="atLeast"/>
        </w:trPr>
        <w:tc>
          <w:tcPr>
            <w:tcW w:w="8055" w:type="dxa"/>
            <w:vAlign w:val="top"/>
            <w:gridSpan w:val="3"/>
          </w:tcPr>
          <w:p>
            <w:pPr>
              <w:ind w:left="104" w:right="100" w:firstLine="13"/>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中国证券监督管理委员会深圳监管局决定对深圳市深科达智能装备</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股份有限公司采取监管谈话的行政监管措施。</w:t>
            </w:r>
          </w:p>
        </w:tc>
      </w:tr>
      <w:tr>
        <w:trPr>
          <w:trHeight w:val="1086" w:hRule="atLeast"/>
        </w:trPr>
        <w:tc>
          <w:tcPr>
            <w:shd w:val="clear" w:fill="B8CCE4"/>
            <w:tcW w:w="1214" w:type="dxa"/>
            <w:vAlign w:val="top"/>
          </w:tcPr>
          <w:p>
            <w:pPr>
              <w:spacing w:line="370" w:lineRule="auto"/>
              <w:rPr>
                <w:rFonts w:ascii="Arial"/>
                <w:sz w:val="21"/>
              </w:rPr>
            </w:pPr>
            <w:r/>
          </w:p>
          <w:p>
            <w:pPr>
              <w:ind w:left="111"/>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002421</w:t>
            </w:r>
          </w:p>
        </w:tc>
        <w:tc>
          <w:tcPr>
            <w:shd w:val="clear" w:fill="B8CCE4"/>
            <w:tcW w:w="1345" w:type="dxa"/>
            <w:vAlign w:val="top"/>
          </w:tcPr>
          <w:p>
            <w:pPr>
              <w:spacing w:line="361"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达实智能</w:t>
            </w:r>
          </w:p>
        </w:tc>
        <w:tc>
          <w:tcPr>
            <w:shd w:val="clear" w:fill="B8CCE4"/>
            <w:tcW w:w="5496" w:type="dxa"/>
            <w:vAlign w:val="top"/>
          </w:tcPr>
          <w:p>
            <w:pPr>
              <w:ind w:left="100" w:right="99" w:firstLine="1"/>
              <w:spacing w:before="94"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公司治理</w:t>
            </w:r>
            <w:r>
              <w:rPr>
                <w:rFonts w:ascii="Microsoft YaHei" w:hAnsi="Microsoft YaHei" w:eastAsia="Microsoft YaHei" w:cs="Microsoft YaHei"/>
                <w:sz w:val="21"/>
                <w:szCs w:val="21"/>
                <w:spacing w:val="-4"/>
              </w:rPr>
              <w:t>不完善；</w:t>
            </w:r>
            <w:r>
              <w:rPr>
                <w:rFonts w:ascii="Microsoft YaHei" w:hAnsi="Microsoft YaHei" w:eastAsia="Microsoft YaHei" w:cs="Microsoft YaHei"/>
                <w:sz w:val="21"/>
                <w:szCs w:val="21"/>
                <w:spacing w:val="65"/>
                <w:w w:val="101"/>
              </w:rPr>
              <w:t xml:space="preserve"> </w:t>
            </w:r>
            <w:r>
              <w:rPr>
                <w:rFonts w:ascii="Microsoft YaHei" w:hAnsi="Microsoft YaHei" w:eastAsia="Microsoft YaHei" w:cs="Microsoft YaHei"/>
                <w:sz w:val="21"/>
                <w:szCs w:val="21"/>
                <w:b/>
                <w:bCs/>
                <w:spacing w:val="-4"/>
              </w:rPr>
              <w:t>财务会计核算</w:t>
            </w:r>
            <w:r>
              <w:rPr>
                <w:rFonts w:ascii="Microsoft YaHei" w:hAnsi="Microsoft YaHei" w:eastAsia="Microsoft YaHei" w:cs="Microsoft YaHei"/>
                <w:sz w:val="21"/>
                <w:szCs w:val="21"/>
                <w:spacing w:val="-4"/>
              </w:rPr>
              <w:t>不规范；董事会</w:t>
            </w:r>
            <w:r>
              <w:rPr>
                <w:rFonts w:ascii="Microsoft YaHei" w:hAnsi="Microsoft YaHei" w:eastAsia="Microsoft YaHei" w:cs="Microsoft YaHei"/>
                <w:sz w:val="21"/>
                <w:szCs w:val="21"/>
                <w:b/>
                <w:bCs/>
                <w:spacing w:val="-4"/>
              </w:rPr>
              <w:t>会议记录</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spacing w:val="-4"/>
              </w:rPr>
              <w:t>管理、</w:t>
            </w:r>
            <w:r>
              <w:rPr>
                <w:rFonts w:ascii="Microsoft YaHei" w:hAnsi="Microsoft YaHei" w:eastAsia="Microsoft YaHei" w:cs="Microsoft YaHei"/>
                <w:sz w:val="21"/>
                <w:szCs w:val="21"/>
                <w:spacing w:val="67"/>
                <w:w w:val="101"/>
              </w:rPr>
              <w:t xml:space="preserve"> </w:t>
            </w:r>
            <w:r>
              <w:rPr>
                <w:rFonts w:ascii="Microsoft YaHei" w:hAnsi="Microsoft YaHei" w:eastAsia="Microsoft YaHei" w:cs="Microsoft YaHei"/>
                <w:sz w:val="21"/>
                <w:szCs w:val="21"/>
                <w:b/>
                <w:bCs/>
                <w:spacing w:val="-4"/>
              </w:rPr>
              <w:t>内幕信息知情人</w:t>
            </w:r>
            <w:r>
              <w:rPr>
                <w:rFonts w:ascii="Microsoft YaHei" w:hAnsi="Microsoft YaHei" w:eastAsia="Microsoft YaHei" w:cs="Microsoft YaHei"/>
                <w:sz w:val="21"/>
                <w:szCs w:val="21"/>
                <w:spacing w:val="-4"/>
              </w:rPr>
              <w:t>登记、子公司</w:t>
            </w:r>
            <w:r>
              <w:rPr>
                <w:rFonts w:ascii="Microsoft YaHei" w:hAnsi="Microsoft YaHei" w:eastAsia="Microsoft YaHei" w:cs="Microsoft YaHei"/>
                <w:sz w:val="21"/>
                <w:szCs w:val="21"/>
                <w:b/>
                <w:bCs/>
                <w:spacing w:val="-4"/>
              </w:rPr>
              <w:t>坏账准备计提</w:t>
            </w:r>
            <w:r>
              <w:rPr>
                <w:rFonts w:ascii="Microsoft YaHei" w:hAnsi="Microsoft YaHei" w:eastAsia="Microsoft YaHei" w:cs="Microsoft YaHei"/>
                <w:sz w:val="21"/>
                <w:szCs w:val="21"/>
                <w:spacing w:val="-4"/>
              </w:rPr>
              <w:t>、</w:t>
            </w:r>
            <w:r>
              <w:rPr>
                <w:rFonts w:ascii="Microsoft YaHei" w:hAnsi="Microsoft YaHei" w:eastAsia="Microsoft YaHei" w:cs="Microsoft YaHei"/>
                <w:sz w:val="21"/>
                <w:szCs w:val="21"/>
                <w:b/>
                <w:bCs/>
                <w:spacing w:val="-4"/>
              </w:rPr>
              <w:t>财务</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rPr>
              <w:t>核算基础</w:t>
            </w:r>
            <w:r>
              <w:rPr>
                <w:rFonts w:ascii="Microsoft YaHei" w:hAnsi="Microsoft YaHei" w:eastAsia="Microsoft YaHei" w:cs="Microsoft YaHei"/>
                <w:sz w:val="21"/>
                <w:szCs w:val="21"/>
              </w:rPr>
              <w:t>等方面不规范、不审慎。</w:t>
            </w:r>
          </w:p>
        </w:tc>
      </w:tr>
      <w:tr>
        <w:trPr>
          <w:trHeight w:val="723" w:hRule="atLeast"/>
        </w:trPr>
        <w:tc>
          <w:tcPr>
            <w:tcW w:w="8055" w:type="dxa"/>
            <w:vAlign w:val="top"/>
            <w:gridSpan w:val="3"/>
          </w:tcPr>
          <w:p>
            <w:pPr>
              <w:ind w:left="105" w:right="100" w:firstLine="13"/>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中国证券监督管理委员会深圳监管局决定对深圳达实智能股份有限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公司采取监管谈话的行政监管措施。</w:t>
            </w:r>
          </w:p>
        </w:tc>
      </w:tr>
      <w:tr>
        <w:trPr>
          <w:trHeight w:val="726" w:hRule="atLeast"/>
        </w:trPr>
        <w:tc>
          <w:tcPr>
            <w:shd w:val="clear" w:fill="B8CCE4"/>
            <w:tcW w:w="1214" w:type="dxa"/>
            <w:vAlign w:val="top"/>
          </w:tcPr>
          <w:p>
            <w:pPr>
              <w:ind w:left="111"/>
              <w:spacing w:before="286"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002456</w:t>
            </w:r>
          </w:p>
        </w:tc>
        <w:tc>
          <w:tcPr>
            <w:shd w:val="clear" w:fill="B8CCE4"/>
            <w:tcW w:w="1345" w:type="dxa"/>
            <w:vAlign w:val="top"/>
          </w:tcPr>
          <w:p>
            <w:pPr>
              <w:ind w:left="109"/>
              <w:spacing w:before="276"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欧菲光</w:t>
            </w:r>
          </w:p>
        </w:tc>
        <w:tc>
          <w:tcPr>
            <w:shd w:val="clear" w:fill="B8CCE4"/>
            <w:tcW w:w="5496" w:type="dxa"/>
            <w:vAlign w:val="top"/>
          </w:tcPr>
          <w:p>
            <w:pPr>
              <w:ind w:left="100" w:right="99" w:firstLine="2"/>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6"/>
                <w:w w:val="97"/>
              </w:rPr>
              <w:t>三会运作</w:t>
            </w:r>
            <w:r>
              <w:rPr>
                <w:rFonts w:ascii="Microsoft YaHei" w:hAnsi="Microsoft YaHei" w:eastAsia="Microsoft YaHei" w:cs="Microsoft YaHei"/>
                <w:sz w:val="21"/>
                <w:szCs w:val="21"/>
                <w:spacing w:val="-6"/>
                <w:w w:val="97"/>
              </w:rPr>
              <w:t>及会议记录管理、</w:t>
            </w:r>
            <w:r>
              <w:rPr>
                <w:rFonts w:ascii="Microsoft YaHei" w:hAnsi="Microsoft YaHei" w:eastAsia="Microsoft YaHei" w:cs="Microsoft YaHei"/>
                <w:sz w:val="21"/>
                <w:szCs w:val="21"/>
                <w:spacing w:val="28"/>
              </w:rPr>
              <w:t xml:space="preserve">  </w:t>
            </w:r>
            <w:r>
              <w:rPr>
                <w:rFonts w:ascii="Microsoft YaHei" w:hAnsi="Microsoft YaHei" w:eastAsia="Microsoft YaHei" w:cs="Microsoft YaHei"/>
                <w:sz w:val="21"/>
                <w:szCs w:val="21"/>
                <w:b/>
                <w:bCs/>
                <w:spacing w:val="-6"/>
                <w:w w:val="97"/>
              </w:rPr>
              <w:t>内幕信息知情人</w:t>
            </w:r>
            <w:r>
              <w:rPr>
                <w:rFonts w:ascii="Microsoft YaHei" w:hAnsi="Microsoft YaHei" w:eastAsia="Microsoft YaHei" w:cs="Microsoft YaHei"/>
                <w:sz w:val="21"/>
                <w:szCs w:val="21"/>
                <w:spacing w:val="-6"/>
                <w:w w:val="97"/>
              </w:rPr>
              <w:t>登记管理、</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b/>
                <w:bCs/>
                <w:spacing w:val="-6"/>
                <w:w w:val="97"/>
              </w:rPr>
              <w:t>财</w:t>
            </w:r>
            <w:r>
              <w:rPr>
                <w:rFonts w:ascii="Microsoft YaHei" w:hAnsi="Microsoft YaHei" w:eastAsia="Microsoft YaHei" w:cs="Microsoft YaHei"/>
                <w:sz w:val="21"/>
                <w:szCs w:val="21"/>
                <w:b/>
                <w:bCs/>
                <w:spacing w:val="1"/>
              </w:rPr>
              <w:t xml:space="preserve"> </w:t>
            </w:r>
            <w:r>
              <w:rPr>
                <w:rFonts w:ascii="Microsoft YaHei" w:hAnsi="Microsoft YaHei" w:eastAsia="Microsoft YaHei" w:cs="Microsoft YaHei"/>
                <w:sz w:val="21"/>
                <w:szCs w:val="21"/>
                <w:b/>
                <w:bCs/>
              </w:rPr>
              <w:t>务核算</w:t>
            </w:r>
            <w:r>
              <w:rPr>
                <w:rFonts w:ascii="Microsoft YaHei" w:hAnsi="Microsoft YaHei" w:eastAsia="Microsoft YaHei" w:cs="Microsoft YaHei"/>
                <w:sz w:val="21"/>
                <w:szCs w:val="21"/>
              </w:rPr>
              <w:t>等方面不规范。</w:t>
            </w:r>
          </w:p>
        </w:tc>
      </w:tr>
      <w:tr>
        <w:trPr>
          <w:trHeight w:val="724" w:hRule="atLeast"/>
        </w:trPr>
        <w:tc>
          <w:tcPr>
            <w:tcW w:w="8055" w:type="dxa"/>
            <w:vAlign w:val="top"/>
            <w:gridSpan w:val="3"/>
          </w:tcPr>
          <w:p>
            <w:pPr>
              <w:ind w:left="108" w:right="100" w:firstLine="10"/>
              <w:spacing w:before="95"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中国证券监督管理委员会深圳监管局决定对欧菲光集团股份有限公</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司采取监管谈话的监管措施。</w:t>
            </w:r>
          </w:p>
        </w:tc>
      </w:tr>
      <w:tr>
        <w:trPr>
          <w:trHeight w:val="726" w:hRule="atLeast"/>
        </w:trPr>
        <w:tc>
          <w:tcPr>
            <w:shd w:val="clear" w:fill="B8CCE4"/>
            <w:tcW w:w="1214" w:type="dxa"/>
            <w:vAlign w:val="top"/>
          </w:tcPr>
          <w:p>
            <w:pPr>
              <w:ind w:left="117"/>
              <w:spacing w:before="285"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300901</w:t>
            </w:r>
          </w:p>
        </w:tc>
        <w:tc>
          <w:tcPr>
            <w:shd w:val="clear" w:fill="B8CCE4"/>
            <w:tcW w:w="1345" w:type="dxa"/>
            <w:vAlign w:val="top"/>
          </w:tcPr>
          <w:p>
            <w:pPr>
              <w:ind w:left="113"/>
              <w:spacing w:before="276"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中胤时尚</w:t>
            </w:r>
          </w:p>
        </w:tc>
        <w:tc>
          <w:tcPr>
            <w:shd w:val="clear" w:fill="B8CCE4"/>
            <w:tcW w:w="5496" w:type="dxa"/>
            <w:vAlign w:val="top"/>
          </w:tcPr>
          <w:p>
            <w:pPr>
              <w:ind w:left="100" w:right="99"/>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未及时</w:t>
            </w:r>
            <w:r>
              <w:rPr>
                <w:rFonts w:ascii="Microsoft YaHei" w:hAnsi="Microsoft YaHei" w:eastAsia="Microsoft YaHei" w:cs="Microsoft YaHei"/>
                <w:sz w:val="21"/>
                <w:szCs w:val="21"/>
                <w:b/>
                <w:bCs/>
                <w:spacing w:val="-3"/>
              </w:rPr>
              <w:t>停止减持</w:t>
            </w:r>
            <w:r>
              <w:rPr>
                <w:rFonts w:ascii="Microsoft YaHei" w:hAnsi="Microsoft YaHei" w:eastAsia="Microsoft YaHei" w:cs="Microsoft YaHei"/>
                <w:sz w:val="21"/>
                <w:szCs w:val="21"/>
                <w:spacing w:val="-3"/>
              </w:rPr>
              <w:t>中胤时尚股票并披露</w:t>
            </w:r>
            <w:r>
              <w:rPr>
                <w:rFonts w:ascii="Microsoft YaHei" w:hAnsi="Microsoft YaHei" w:eastAsia="Microsoft YaHei" w:cs="Microsoft YaHei"/>
                <w:sz w:val="21"/>
                <w:szCs w:val="21"/>
                <w:b/>
                <w:bCs/>
                <w:spacing w:val="-3"/>
              </w:rPr>
              <w:t>持股变动</w:t>
            </w:r>
            <w:r>
              <w:rPr>
                <w:rFonts w:ascii="Microsoft YaHei" w:hAnsi="Microsoft YaHei" w:eastAsia="Microsoft YaHei" w:cs="Microsoft YaHei"/>
                <w:sz w:val="21"/>
                <w:szCs w:val="21"/>
                <w:spacing w:val="-3"/>
              </w:rPr>
              <w:t>信息；</w:t>
            </w:r>
            <w:r>
              <w:rPr>
                <w:rFonts w:ascii="Microsoft YaHei" w:hAnsi="Microsoft YaHei" w:eastAsia="Microsoft YaHei" w:cs="Microsoft YaHei"/>
                <w:sz w:val="21"/>
                <w:szCs w:val="21"/>
                <w:spacing w:val="42"/>
              </w:rPr>
              <w:t xml:space="preserve"> </w:t>
            </w:r>
            <w:r>
              <w:rPr>
                <w:rFonts w:ascii="Microsoft YaHei" w:hAnsi="Microsoft YaHei" w:eastAsia="Microsoft YaHei" w:cs="Microsoft YaHei"/>
                <w:sz w:val="21"/>
                <w:szCs w:val="21"/>
                <w:b/>
                <w:bCs/>
                <w:spacing w:val="-3"/>
              </w:rPr>
              <w:t>超比</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1"/>
              </w:rPr>
              <w:t>例减持</w:t>
            </w:r>
            <w:r>
              <w:rPr>
                <w:rFonts w:ascii="Microsoft YaHei" w:hAnsi="Microsoft YaHei" w:eastAsia="Microsoft YaHei" w:cs="Microsoft YaHei"/>
                <w:sz w:val="21"/>
                <w:szCs w:val="21"/>
                <w:spacing w:val="-1"/>
              </w:rPr>
              <w:t>股票；股东</w:t>
            </w:r>
            <w:r>
              <w:rPr>
                <w:rFonts w:ascii="Microsoft YaHei" w:hAnsi="Microsoft YaHei" w:eastAsia="Microsoft YaHei" w:cs="Microsoft YaHei"/>
                <w:sz w:val="21"/>
                <w:szCs w:val="21"/>
                <w:b/>
                <w:bCs/>
                <w:spacing w:val="-1"/>
              </w:rPr>
              <w:t>短线交易</w:t>
            </w:r>
            <w:r>
              <w:rPr>
                <w:rFonts w:ascii="Microsoft YaHei" w:hAnsi="Microsoft YaHei" w:eastAsia="Microsoft YaHei" w:cs="Microsoft YaHei"/>
                <w:sz w:val="21"/>
                <w:szCs w:val="21"/>
                <w:spacing w:val="-1"/>
              </w:rPr>
              <w:t>。</w:t>
            </w:r>
          </w:p>
        </w:tc>
      </w:tr>
      <w:tr>
        <w:trPr>
          <w:trHeight w:val="1083" w:hRule="atLeast"/>
        </w:trPr>
        <w:tc>
          <w:tcPr>
            <w:tcW w:w="8055" w:type="dxa"/>
            <w:vAlign w:val="top"/>
            <w:gridSpan w:val="3"/>
          </w:tcPr>
          <w:p>
            <w:pPr>
              <w:ind w:left="103" w:right="100" w:firstLine="15"/>
              <w:spacing w:before="95"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中国证券监督管理委员会浙江监管局决定对厦门昊嘉创业投资合伙</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企业（有限合伙）、厦门昊嘉产业投资合伙企业（有限合伙</w:t>
            </w:r>
            <w:r>
              <w:rPr>
                <w:rFonts w:ascii="Microsoft YaHei" w:hAnsi="Microsoft YaHei" w:eastAsia="Microsoft YaHei" w:cs="Microsoft YaHei"/>
                <w:sz w:val="21"/>
                <w:szCs w:val="21"/>
                <w:spacing w:val="1"/>
              </w:rPr>
              <w:t>）、厦门昊嘉财富投资管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理有限公司分别采取出具警示函的监督管理措施， 并记入证</w:t>
            </w:r>
            <w:r>
              <w:rPr>
                <w:rFonts w:ascii="Microsoft YaHei" w:hAnsi="Microsoft YaHei" w:eastAsia="Microsoft YaHei" w:cs="Microsoft YaHei"/>
                <w:sz w:val="21"/>
                <w:szCs w:val="21"/>
                <w:spacing w:val="-3"/>
              </w:rPr>
              <w:t>券期货市场诚信档案。</w:t>
            </w:r>
          </w:p>
        </w:tc>
      </w:tr>
      <w:tr>
        <w:trPr>
          <w:trHeight w:val="726" w:hRule="atLeast"/>
        </w:trPr>
        <w:tc>
          <w:tcPr>
            <w:shd w:val="clear" w:fill="B8CCE4"/>
            <w:tcW w:w="1214" w:type="dxa"/>
            <w:vAlign w:val="top"/>
          </w:tcPr>
          <w:p>
            <w:pPr>
              <w:ind w:left="111"/>
              <w:spacing w:before="288"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002425</w:t>
            </w:r>
          </w:p>
        </w:tc>
        <w:tc>
          <w:tcPr>
            <w:shd w:val="clear" w:fill="B8CCE4"/>
            <w:tcW w:w="1345" w:type="dxa"/>
            <w:vAlign w:val="top"/>
          </w:tcPr>
          <w:p>
            <w:pPr>
              <w:ind w:left="104"/>
              <w:spacing w:before="279"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凯撒文化</w:t>
            </w:r>
          </w:p>
        </w:tc>
        <w:tc>
          <w:tcPr>
            <w:shd w:val="clear" w:fill="B8CCE4"/>
            <w:tcW w:w="5496" w:type="dxa"/>
            <w:vAlign w:val="top"/>
          </w:tcPr>
          <w:p>
            <w:pPr>
              <w:ind w:left="107" w:right="140" w:hanging="6"/>
              <w:spacing w:before="100"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致同会计师事务所执业的凯撒文化</w:t>
            </w:r>
            <w:r>
              <w:rPr>
                <w:rFonts w:ascii="Microsoft YaHei" w:hAnsi="Microsoft YaHei" w:eastAsia="Microsoft YaHei" w:cs="Microsoft YaHei"/>
                <w:sz w:val="21"/>
                <w:szCs w:val="21"/>
                <w:b/>
                <w:bCs/>
              </w:rPr>
              <w:t>2020年至2022年年报</w:t>
            </w:r>
            <w:r>
              <w:rPr>
                <w:rFonts w:ascii="Microsoft YaHei" w:hAnsi="Microsoft YaHei" w:eastAsia="Microsoft YaHei" w:cs="Microsoft YaHei"/>
                <w:sz w:val="21"/>
                <w:szCs w:val="21"/>
                <w:b/>
                <w:bCs/>
                <w:spacing w:val="1"/>
              </w:rPr>
              <w:t xml:space="preserve"> </w:t>
            </w:r>
            <w:r>
              <w:rPr>
                <w:rFonts w:ascii="Microsoft YaHei" w:hAnsi="Microsoft YaHei" w:eastAsia="Microsoft YaHei" w:cs="Microsoft YaHei"/>
                <w:sz w:val="21"/>
                <w:szCs w:val="21"/>
                <w:b/>
                <w:bCs/>
                <w:spacing w:val="-4"/>
              </w:rPr>
              <w:t>审计工作</w:t>
            </w:r>
            <w:r>
              <w:rPr>
                <w:rFonts w:ascii="Microsoft YaHei" w:hAnsi="Microsoft YaHei" w:eastAsia="Microsoft YaHei" w:cs="Microsoft YaHei"/>
                <w:sz w:val="21"/>
                <w:szCs w:val="21"/>
                <w:spacing w:val="-4"/>
              </w:rPr>
              <w:t>存在问题。</w:t>
            </w:r>
          </w:p>
        </w:tc>
      </w:tr>
      <w:tr>
        <w:trPr>
          <w:trHeight w:val="723" w:hRule="atLeast"/>
        </w:trPr>
        <w:tc>
          <w:tcPr>
            <w:tcW w:w="8055" w:type="dxa"/>
            <w:vAlign w:val="top"/>
            <w:gridSpan w:val="3"/>
          </w:tcPr>
          <w:p>
            <w:pPr>
              <w:ind w:left="105" w:right="100" w:firstLine="13"/>
              <w:spacing w:before="97"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中国证券监督管理委员会广东监管局决定对致同所、注册会计师采</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取出具警示函的行政监管措施。</w:t>
            </w:r>
          </w:p>
        </w:tc>
      </w:tr>
      <w:tr>
        <w:trPr>
          <w:trHeight w:val="726" w:hRule="atLeast"/>
        </w:trPr>
        <w:tc>
          <w:tcPr>
            <w:shd w:val="clear" w:fill="B8CCE4"/>
            <w:tcW w:w="1214" w:type="dxa"/>
            <w:vAlign w:val="top"/>
          </w:tcPr>
          <w:p>
            <w:pPr>
              <w:ind w:left="111"/>
              <w:spacing w:before="29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002425</w:t>
            </w:r>
          </w:p>
        </w:tc>
        <w:tc>
          <w:tcPr>
            <w:shd w:val="clear" w:fill="B8CCE4"/>
            <w:tcW w:w="1345" w:type="dxa"/>
            <w:vAlign w:val="top"/>
          </w:tcPr>
          <w:p>
            <w:pPr>
              <w:ind w:left="104"/>
              <w:spacing w:before="28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凯撒文化</w:t>
            </w:r>
          </w:p>
        </w:tc>
        <w:tc>
          <w:tcPr>
            <w:shd w:val="clear" w:fill="B8CCE4"/>
            <w:tcW w:w="5496" w:type="dxa"/>
            <w:vAlign w:val="top"/>
          </w:tcPr>
          <w:p>
            <w:pPr>
              <w:ind w:left="100" w:right="126"/>
              <w:spacing w:before="100"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北京华亚正信资产评估有限公司执业的凯撒文化</w:t>
            </w:r>
            <w:r>
              <w:rPr>
                <w:rFonts w:ascii="Microsoft YaHei" w:hAnsi="Microsoft YaHei" w:eastAsia="Microsoft YaHei" w:cs="Microsoft YaHei"/>
                <w:sz w:val="21"/>
                <w:szCs w:val="21"/>
                <w:b/>
                <w:bCs/>
              </w:rPr>
              <w:t>商誉减值</w:t>
            </w:r>
            <w:r>
              <w:rPr>
                <w:rFonts w:ascii="Microsoft YaHei" w:hAnsi="Microsoft YaHei" w:eastAsia="Microsoft YaHei" w:cs="Microsoft YaHei"/>
                <w:sz w:val="21"/>
                <w:szCs w:val="21"/>
                <w:b/>
                <w:bCs/>
                <w:spacing w:val="3"/>
              </w:rPr>
              <w:t xml:space="preserve"> </w:t>
            </w:r>
            <w:r>
              <w:rPr>
                <w:rFonts w:ascii="Microsoft YaHei" w:hAnsi="Microsoft YaHei" w:eastAsia="Microsoft YaHei" w:cs="Microsoft YaHei"/>
                <w:sz w:val="21"/>
                <w:szCs w:val="21"/>
                <w:b/>
                <w:bCs/>
                <w:spacing w:val="-2"/>
              </w:rPr>
              <w:t>测试资产评估项目</w:t>
            </w:r>
            <w:r>
              <w:rPr>
                <w:rFonts w:ascii="Microsoft YaHei" w:hAnsi="Microsoft YaHei" w:eastAsia="Microsoft YaHei" w:cs="Microsoft YaHei"/>
                <w:sz w:val="21"/>
                <w:szCs w:val="21"/>
                <w:spacing w:val="-2"/>
              </w:rPr>
              <w:t>存在问题。</w:t>
            </w:r>
          </w:p>
        </w:tc>
      </w:tr>
      <w:tr>
        <w:trPr>
          <w:trHeight w:val="724" w:hRule="atLeast"/>
        </w:trPr>
        <w:tc>
          <w:tcPr>
            <w:tcW w:w="8055" w:type="dxa"/>
            <w:vAlign w:val="top"/>
            <w:gridSpan w:val="3"/>
          </w:tcPr>
          <w:p>
            <w:pPr>
              <w:ind w:left="121" w:right="100" w:hanging="3"/>
              <w:spacing w:before="98"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中国证券监督管理委员会广东监管局决定对华亚正信、评估师采取</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3"/>
              </w:rPr>
              <w:t>出具警示函的行政监管措施。</w:t>
            </w:r>
          </w:p>
        </w:tc>
      </w:tr>
      <w:tr>
        <w:trPr>
          <w:trHeight w:val="366" w:hRule="atLeast"/>
        </w:trPr>
        <w:tc>
          <w:tcPr>
            <w:shd w:val="clear" w:fill="B8CCE4"/>
            <w:tcW w:w="1214" w:type="dxa"/>
            <w:vAlign w:val="top"/>
          </w:tcPr>
          <w:p>
            <w:pPr>
              <w:ind w:left="111"/>
              <w:spacing w:before="111" w:line="16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002867</w:t>
            </w:r>
          </w:p>
        </w:tc>
        <w:tc>
          <w:tcPr>
            <w:shd w:val="clear" w:fill="B8CCE4"/>
            <w:tcW w:w="1345" w:type="dxa"/>
            <w:vAlign w:val="top"/>
          </w:tcPr>
          <w:p>
            <w:pPr>
              <w:ind w:left="97"/>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周大生</w:t>
            </w:r>
          </w:p>
        </w:tc>
        <w:tc>
          <w:tcPr>
            <w:shd w:val="clear" w:fill="B8CCE4"/>
            <w:tcW w:w="5496" w:type="dxa"/>
            <w:vAlign w:val="top"/>
          </w:tcPr>
          <w:p>
            <w:pPr>
              <w:ind w:left="102"/>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董事配偶</w:t>
            </w:r>
            <w:r>
              <w:rPr>
                <w:rFonts w:ascii="Microsoft YaHei" w:hAnsi="Microsoft YaHei" w:eastAsia="Microsoft YaHei" w:cs="Microsoft YaHei"/>
                <w:sz w:val="21"/>
                <w:szCs w:val="21"/>
                <w:b/>
                <w:bCs/>
                <w:spacing w:val="-3"/>
              </w:rPr>
              <w:t>短线交易。</w:t>
            </w:r>
          </w:p>
        </w:tc>
      </w:tr>
      <w:tr>
        <w:trPr>
          <w:trHeight w:val="723" w:hRule="atLeast"/>
        </w:trPr>
        <w:tc>
          <w:tcPr>
            <w:tcW w:w="8055" w:type="dxa"/>
            <w:vAlign w:val="top"/>
            <w:gridSpan w:val="3"/>
          </w:tcPr>
          <w:p>
            <w:pPr>
              <w:ind w:left="106" w:right="100" w:firstLine="11"/>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中国证券监督管理委员会深圳监管局决定对董事采取出具警示函的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监管措施。</w:t>
            </w:r>
          </w:p>
        </w:tc>
      </w:tr>
      <w:tr>
        <w:trPr>
          <w:trHeight w:val="376" w:hRule="atLeast"/>
        </w:trPr>
        <w:tc>
          <w:tcPr>
            <w:shd w:val="clear" w:fill="B8CCE4"/>
            <w:tcW w:w="1214" w:type="dxa"/>
            <w:vAlign w:val="top"/>
          </w:tcPr>
          <w:p>
            <w:pPr>
              <w:ind w:left="117"/>
              <w:spacing w:before="11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301039</w:t>
            </w:r>
          </w:p>
        </w:tc>
        <w:tc>
          <w:tcPr>
            <w:shd w:val="clear" w:fill="B8CCE4"/>
            <w:tcW w:w="1345" w:type="dxa"/>
            <w:vAlign w:val="top"/>
          </w:tcPr>
          <w:p>
            <w:pPr>
              <w:ind w:left="113"/>
              <w:spacing w:before="104"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中集车辆</w:t>
            </w:r>
          </w:p>
        </w:tc>
        <w:tc>
          <w:tcPr>
            <w:shd w:val="clear" w:fill="B8CCE4"/>
            <w:tcW w:w="5496" w:type="dxa"/>
            <w:vAlign w:val="top"/>
          </w:tcPr>
          <w:p>
            <w:pPr>
              <w:ind w:left="102"/>
              <w:spacing w:before="104"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董事配偶</w:t>
            </w:r>
            <w:r>
              <w:rPr>
                <w:rFonts w:ascii="Microsoft YaHei" w:hAnsi="Microsoft YaHei" w:eastAsia="Microsoft YaHei" w:cs="Microsoft YaHei"/>
                <w:sz w:val="21"/>
                <w:szCs w:val="21"/>
                <w:b/>
                <w:bCs/>
                <w:spacing w:val="-3"/>
              </w:rPr>
              <w:t>短线交易。</w:t>
            </w:r>
          </w:p>
        </w:tc>
      </w:tr>
    </w:tbl>
    <w:p>
      <w:pPr>
        <w:pStyle w:val="BodyText"/>
        <w:rPr/>
      </w:pPr>
      <w:r/>
    </w:p>
    <w:p>
      <w:pPr>
        <w:sectPr>
          <w:pgSz w:w="11912" w:h="16841"/>
          <w:pgMar w:top="400" w:right="1786" w:bottom="0" w:left="1393"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33" w:hRule="atLeast"/>
        </w:trPr>
        <w:tc>
          <w:tcPr>
            <w:tcW w:w="8055" w:type="dxa"/>
            <w:vAlign w:val="top"/>
            <w:gridSpan w:val="3"/>
            <w:tcBorders>
              <w:top w:val="single" w:color="4F81BD" w:sz="2" w:space="0"/>
            </w:tcBorders>
          </w:tcPr>
          <w:p>
            <w:pPr>
              <w:ind w:left="106" w:right="100" w:firstLine="11"/>
              <w:spacing w:before="9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中国证券监督管理委员会深圳监管局决定对董事采取出具警示函的</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5"/>
              </w:rPr>
              <w:t>监管措施。</w:t>
            </w:r>
          </w:p>
        </w:tc>
      </w:tr>
      <w:tr>
        <w:trPr>
          <w:trHeight w:val="364" w:hRule="atLeast"/>
        </w:trPr>
        <w:tc>
          <w:tcPr>
            <w:shd w:val="clear" w:fill="B8CCE4"/>
            <w:tcW w:w="1214" w:type="dxa"/>
            <w:vAlign w:val="top"/>
          </w:tcPr>
          <w:p>
            <w:pPr>
              <w:ind w:left="117"/>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300634</w:t>
            </w:r>
          </w:p>
        </w:tc>
        <w:tc>
          <w:tcPr>
            <w:shd w:val="clear" w:fill="B8CCE4"/>
            <w:tcW w:w="1345" w:type="dxa"/>
            <w:vAlign w:val="top"/>
          </w:tcPr>
          <w:p>
            <w:pPr>
              <w:ind w:left="98"/>
              <w:spacing w:before="88"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彩讯股份</w:t>
            </w:r>
          </w:p>
        </w:tc>
        <w:tc>
          <w:tcPr>
            <w:shd w:val="clear" w:fill="B8CCE4"/>
            <w:tcW w:w="5496" w:type="dxa"/>
            <w:vAlign w:val="top"/>
          </w:tcPr>
          <w:p>
            <w:pPr>
              <w:ind w:left="102"/>
              <w:spacing w:before="88"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监事配偶</w:t>
            </w:r>
            <w:r>
              <w:rPr>
                <w:rFonts w:ascii="Microsoft YaHei" w:hAnsi="Microsoft YaHei" w:eastAsia="Microsoft YaHei" w:cs="Microsoft YaHei"/>
                <w:sz w:val="21"/>
                <w:szCs w:val="21"/>
                <w:b/>
                <w:bCs/>
                <w:spacing w:val="-1"/>
              </w:rPr>
              <w:t>短线交易</w:t>
            </w:r>
            <w:r>
              <w:rPr>
                <w:rFonts w:ascii="Microsoft YaHei" w:hAnsi="Microsoft YaHei" w:eastAsia="Microsoft YaHei" w:cs="Microsoft YaHei"/>
                <w:sz w:val="21"/>
                <w:szCs w:val="21"/>
                <w:spacing w:val="-1"/>
              </w:rPr>
              <w:t>。</w:t>
            </w:r>
          </w:p>
        </w:tc>
      </w:tr>
      <w:tr>
        <w:trPr>
          <w:trHeight w:val="726" w:hRule="atLeast"/>
        </w:trPr>
        <w:tc>
          <w:tcPr>
            <w:tcW w:w="8055" w:type="dxa"/>
            <w:vAlign w:val="top"/>
            <w:gridSpan w:val="3"/>
          </w:tcPr>
          <w:p>
            <w:pPr>
              <w:ind w:left="106" w:right="100" w:firstLine="11"/>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中国证券监督管理委员会深圳监管局决定对监事采取出具警示函的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监管措施。</w:t>
            </w:r>
          </w:p>
        </w:tc>
      </w:tr>
      <w:tr>
        <w:trPr>
          <w:trHeight w:val="1445" w:hRule="atLeast"/>
        </w:trPr>
        <w:tc>
          <w:tcPr>
            <w:shd w:val="clear" w:fill="B8CCE4"/>
            <w:tcW w:w="1214" w:type="dxa"/>
            <w:vAlign w:val="top"/>
          </w:tcPr>
          <w:p>
            <w:pPr>
              <w:spacing w:line="272" w:lineRule="auto"/>
              <w:rPr>
                <w:rFonts w:ascii="Arial"/>
                <w:sz w:val="21"/>
              </w:rPr>
            </w:pPr>
            <w:r/>
          </w:p>
          <w:p>
            <w:pPr>
              <w:spacing w:line="273" w:lineRule="auto"/>
              <w:rPr>
                <w:rFonts w:ascii="Arial"/>
                <w:sz w:val="21"/>
              </w:rPr>
            </w:pPr>
            <w:r/>
          </w:p>
          <w:p>
            <w:pPr>
              <w:ind w:left="117"/>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300052</w:t>
            </w:r>
          </w:p>
        </w:tc>
        <w:tc>
          <w:tcPr>
            <w:shd w:val="clear" w:fill="B8CCE4"/>
            <w:tcW w:w="1345" w:type="dxa"/>
            <w:vAlign w:val="top"/>
          </w:tcPr>
          <w:p>
            <w:pPr>
              <w:spacing w:line="268" w:lineRule="auto"/>
              <w:rPr>
                <w:rFonts w:ascii="Arial"/>
                <w:sz w:val="21"/>
              </w:rPr>
            </w:pPr>
            <w:r/>
          </w:p>
          <w:p>
            <w:pPr>
              <w:spacing w:line="268" w:lineRule="auto"/>
              <w:rPr>
                <w:rFonts w:ascii="Arial"/>
                <w:sz w:val="21"/>
              </w:rPr>
            </w:pPr>
            <w:r/>
          </w:p>
          <w:p>
            <w:pPr>
              <w:ind w:left="113"/>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中青宝</w:t>
            </w:r>
          </w:p>
        </w:tc>
        <w:tc>
          <w:tcPr>
            <w:shd w:val="clear" w:fill="B8CCE4"/>
            <w:tcW w:w="5496" w:type="dxa"/>
            <w:vAlign w:val="top"/>
          </w:tcPr>
          <w:p>
            <w:pPr>
              <w:ind w:left="101" w:right="126"/>
              <w:spacing w:before="89"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深圳中青宝互动网络股份有限公司</w:t>
            </w:r>
            <w:r>
              <w:rPr>
                <w:rFonts w:ascii="Microsoft YaHei" w:hAnsi="Microsoft YaHei" w:eastAsia="Microsoft YaHei" w:cs="Microsoft YaHei"/>
                <w:sz w:val="21"/>
                <w:szCs w:val="21"/>
                <w:b/>
                <w:bCs/>
              </w:rPr>
              <w:t>2019年至2021年定期</w:t>
            </w:r>
            <w:r>
              <w:rPr>
                <w:rFonts w:ascii="Microsoft YaHei" w:hAnsi="Microsoft YaHei" w:eastAsia="Microsoft YaHei" w:cs="Microsoft YaHei"/>
                <w:sz w:val="21"/>
                <w:szCs w:val="21"/>
                <w:b/>
                <w:bCs/>
                <w:spacing w:val="2"/>
              </w:rPr>
              <w:t xml:space="preserve"> </w:t>
            </w:r>
            <w:r>
              <w:rPr>
                <w:rFonts w:ascii="Microsoft YaHei" w:hAnsi="Microsoft YaHei" w:eastAsia="Microsoft YaHei" w:cs="Microsoft YaHei"/>
                <w:sz w:val="21"/>
                <w:szCs w:val="21"/>
                <w:b/>
                <w:bCs/>
              </w:rPr>
              <w:t>报告</w:t>
            </w:r>
            <w:r>
              <w:rPr>
                <w:rFonts w:ascii="Microsoft YaHei" w:hAnsi="Microsoft YaHei" w:eastAsia="Microsoft YaHei" w:cs="Microsoft YaHei"/>
                <w:sz w:val="21"/>
                <w:szCs w:val="21"/>
              </w:rPr>
              <w:t>披露的财务数据不准确，深圳中青宝互动网络股份有</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rPr>
              <w:t>限公司还存在</w:t>
            </w:r>
            <w:r>
              <w:rPr>
                <w:rFonts w:ascii="Microsoft YaHei" w:hAnsi="Microsoft YaHei" w:eastAsia="Microsoft YaHei" w:cs="Microsoft YaHei"/>
                <w:sz w:val="21"/>
                <w:szCs w:val="21"/>
                <w:b/>
                <w:bCs/>
              </w:rPr>
              <w:t>控股子公司</w:t>
            </w:r>
            <w:r>
              <w:rPr>
                <w:rFonts w:ascii="Microsoft YaHei" w:hAnsi="Microsoft YaHei" w:eastAsia="Microsoft YaHei" w:cs="Microsoft YaHei"/>
                <w:sz w:val="21"/>
                <w:szCs w:val="21"/>
              </w:rPr>
              <w:t>相关业务内部控制薄弱、有关应</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2"/>
              </w:rPr>
              <w:t>收账款减值计提依据不充分等问题。</w:t>
            </w:r>
          </w:p>
        </w:tc>
      </w:tr>
      <w:tr>
        <w:trPr>
          <w:trHeight w:val="724" w:hRule="atLeast"/>
        </w:trPr>
        <w:tc>
          <w:tcPr>
            <w:tcW w:w="8055" w:type="dxa"/>
            <w:vAlign w:val="top"/>
            <w:gridSpan w:val="3"/>
          </w:tcPr>
          <w:p>
            <w:pPr>
              <w:ind w:left="105" w:right="100" w:firstLine="13"/>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中国证券监督管理委员会深圳监管局决定对深圳中青宝互动网络股</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份有限公司采取出具警示函的行政监管措施。</w:t>
            </w:r>
          </w:p>
        </w:tc>
      </w:tr>
      <w:tr>
        <w:trPr>
          <w:trHeight w:val="366" w:hRule="atLeast"/>
        </w:trPr>
        <w:tc>
          <w:tcPr>
            <w:shd w:val="clear" w:fill="B8CCE4"/>
            <w:tcW w:w="1214" w:type="dxa"/>
            <w:vAlign w:val="top"/>
          </w:tcPr>
          <w:p>
            <w:pPr>
              <w:ind w:left="111"/>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002333</w:t>
            </w:r>
          </w:p>
        </w:tc>
        <w:tc>
          <w:tcPr>
            <w:shd w:val="clear" w:fill="B8CCE4"/>
            <w:tcW w:w="1345" w:type="dxa"/>
            <w:vAlign w:val="top"/>
          </w:tcPr>
          <w:p>
            <w:pPr>
              <w:ind w:left="100"/>
              <w:spacing w:before="9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罗普斯金</w:t>
            </w:r>
          </w:p>
        </w:tc>
        <w:tc>
          <w:tcPr>
            <w:shd w:val="clear" w:fill="B8CCE4"/>
            <w:tcW w:w="5496" w:type="dxa"/>
            <w:vAlign w:val="top"/>
          </w:tcPr>
          <w:p>
            <w:pPr>
              <w:ind w:left="100"/>
              <w:spacing w:before="9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财务报告</w:t>
            </w:r>
            <w:r>
              <w:rPr>
                <w:rFonts w:ascii="Microsoft YaHei" w:hAnsi="Microsoft YaHei" w:eastAsia="Microsoft YaHei" w:cs="Microsoft YaHei"/>
                <w:sz w:val="21"/>
                <w:szCs w:val="21"/>
              </w:rPr>
              <w:t>信息披露不准确。</w:t>
            </w:r>
          </w:p>
        </w:tc>
      </w:tr>
      <w:tr>
        <w:trPr>
          <w:trHeight w:val="1084" w:hRule="atLeast"/>
        </w:trPr>
        <w:tc>
          <w:tcPr>
            <w:tcW w:w="8055" w:type="dxa"/>
            <w:vAlign w:val="top"/>
            <w:gridSpan w:val="3"/>
          </w:tcPr>
          <w:p>
            <w:pPr>
              <w:ind w:left="108" w:right="102" w:firstLine="10"/>
              <w:spacing w:before="92"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【行政监管措施】</w:t>
            </w:r>
            <w:r>
              <w:rPr>
                <w:rFonts w:ascii="Microsoft YaHei" w:hAnsi="Microsoft YaHei" w:eastAsia="Microsoft YaHei" w:cs="Microsoft YaHei"/>
                <w:sz w:val="21"/>
                <w:szCs w:val="21"/>
              </w:rPr>
              <w:t>中国证券监督管理委员会江苏监管局决定对公司、董事长宫某义、 </w:t>
            </w:r>
            <w:r>
              <w:rPr>
                <w:rFonts w:ascii="Microsoft YaHei" w:hAnsi="Microsoft YaHei" w:eastAsia="Microsoft YaHei" w:cs="Microsoft YaHei"/>
                <w:sz w:val="21"/>
                <w:szCs w:val="21"/>
              </w:rPr>
              <w:t>时任总经理黄某裕、时任财务总监俞某采取出具警示函的监督管理措施,并记入证券期</w:t>
            </w:r>
            <w:r>
              <w:rPr>
                <w:rFonts w:ascii="Microsoft YaHei" w:hAnsi="Microsoft YaHei" w:eastAsia="Microsoft YaHei" w:cs="Microsoft YaHei"/>
                <w:sz w:val="21"/>
                <w:szCs w:val="21"/>
                <w:spacing w:val="8"/>
              </w:rPr>
              <w:t xml:space="preserve"> </w:t>
            </w:r>
            <w:r>
              <w:rPr>
                <w:rFonts w:ascii="Microsoft YaHei" w:hAnsi="Microsoft YaHei" w:eastAsia="Microsoft YaHei" w:cs="Microsoft YaHei"/>
                <w:sz w:val="21"/>
                <w:szCs w:val="21"/>
                <w:spacing w:val="-1"/>
              </w:rPr>
              <w:t>货市场诚信档案。</w:t>
            </w:r>
          </w:p>
        </w:tc>
      </w:tr>
      <w:tr>
        <w:trPr>
          <w:trHeight w:val="366" w:hRule="atLeast"/>
        </w:trPr>
        <w:tc>
          <w:tcPr>
            <w:shd w:val="clear" w:fill="B8CCE4"/>
            <w:tcW w:w="1214" w:type="dxa"/>
            <w:vAlign w:val="top"/>
          </w:tcPr>
          <w:p>
            <w:pPr>
              <w:ind w:left="114"/>
              <w:spacing w:before="103"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603613</w:t>
            </w:r>
          </w:p>
        </w:tc>
        <w:tc>
          <w:tcPr>
            <w:shd w:val="clear" w:fill="B8CCE4"/>
            <w:tcW w:w="1345" w:type="dxa"/>
            <w:vAlign w:val="top"/>
          </w:tcPr>
          <w:p>
            <w:pPr>
              <w:ind w:left="111"/>
              <w:spacing w:before="94"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国联股份</w:t>
            </w:r>
          </w:p>
        </w:tc>
        <w:tc>
          <w:tcPr>
            <w:shd w:val="clear" w:fill="B8CCE4"/>
            <w:tcW w:w="5496" w:type="dxa"/>
            <w:vAlign w:val="top"/>
          </w:tcPr>
          <w:p>
            <w:pPr>
              <w:ind w:left="104"/>
              <w:spacing w:before="94"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多期</w:t>
            </w:r>
            <w:r>
              <w:rPr>
                <w:rFonts w:ascii="Microsoft YaHei" w:hAnsi="Microsoft YaHei" w:eastAsia="Microsoft YaHei" w:cs="Microsoft YaHei"/>
                <w:sz w:val="21"/>
                <w:szCs w:val="21"/>
                <w:b/>
                <w:bCs/>
                <w:spacing w:val="-3"/>
              </w:rPr>
              <w:t>财务报告</w:t>
            </w:r>
            <w:r>
              <w:rPr>
                <w:rFonts w:ascii="Microsoft YaHei" w:hAnsi="Microsoft YaHei" w:eastAsia="Microsoft YaHei" w:cs="Microsoft YaHei"/>
                <w:sz w:val="21"/>
                <w:szCs w:val="21"/>
                <w:spacing w:val="-3"/>
              </w:rPr>
              <w:t>信息披露不准确。</w:t>
            </w:r>
          </w:p>
        </w:tc>
      </w:tr>
      <w:tr>
        <w:trPr>
          <w:trHeight w:val="1083" w:hRule="atLeast"/>
        </w:trPr>
        <w:tc>
          <w:tcPr>
            <w:tcW w:w="8055" w:type="dxa"/>
            <w:vAlign w:val="top"/>
            <w:gridSpan w:val="3"/>
          </w:tcPr>
          <w:p>
            <w:pPr>
              <w:ind w:left="104" w:right="100" w:firstLine="13"/>
              <w:spacing w:before="91"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中国证券监督管理委员会北京监管局决定对北京国联视讯信息技术</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股份有限公司、董事长刘某、总经理钱某钧、财务总监田</w:t>
            </w:r>
            <w:r>
              <w:rPr>
                <w:rFonts w:ascii="Microsoft YaHei" w:hAnsi="Microsoft YaHei" w:eastAsia="Microsoft YaHei" w:cs="Microsoft YaHei"/>
                <w:sz w:val="21"/>
                <w:szCs w:val="21"/>
                <w:spacing w:val="1"/>
              </w:rPr>
              <w:t>某采取出具警示函的行政监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管措施,并记入证券期货市场诚信档案。</w:t>
            </w:r>
          </w:p>
        </w:tc>
      </w:tr>
      <w:tr>
        <w:trPr>
          <w:trHeight w:val="2328" w:hRule="atLeast"/>
        </w:trPr>
        <w:tc>
          <w:tcPr>
            <w:shd w:val="clear" w:fill="B8CCE4"/>
            <w:tcW w:w="1214" w:type="dxa"/>
            <w:vAlign w:val="top"/>
          </w:tcPr>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688500</w:t>
            </w:r>
          </w:p>
        </w:tc>
        <w:tc>
          <w:tcPr>
            <w:shd w:val="clear" w:fill="B8CCE4"/>
            <w:tcW w:w="1345" w:type="dxa"/>
            <w:vAlign w:val="top"/>
          </w:tcPr>
          <w:p>
            <w:pPr>
              <w:spacing w:line="245" w:lineRule="auto"/>
              <w:rPr>
                <w:rFonts w:ascii="Arial"/>
                <w:sz w:val="21"/>
              </w:rPr>
            </w:pPr>
            <w:r/>
          </w:p>
          <w:p>
            <w:pPr>
              <w:spacing w:line="245" w:lineRule="auto"/>
              <w:rPr>
                <w:rFonts w:ascii="Arial"/>
                <w:sz w:val="21"/>
              </w:rPr>
            </w:pPr>
            <w:r/>
          </w:p>
          <w:p>
            <w:pPr>
              <w:spacing w:line="246" w:lineRule="auto"/>
              <w:rPr>
                <w:rFonts w:ascii="Arial"/>
                <w:sz w:val="21"/>
              </w:rPr>
            </w:pPr>
            <w:r/>
          </w:p>
          <w:p>
            <w:pPr>
              <w:spacing w:line="246" w:lineRule="auto"/>
              <w:rPr>
                <w:rFonts w:ascii="Arial"/>
                <w:sz w:val="21"/>
              </w:rPr>
            </w:pPr>
            <w:r/>
          </w:p>
          <w:p>
            <w:pPr>
              <w:ind w:left="10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*ST慧辰</w:t>
            </w:r>
          </w:p>
        </w:tc>
        <w:tc>
          <w:tcPr>
            <w:shd w:val="clear" w:fill="B8CCE4"/>
            <w:tcW w:w="5496" w:type="dxa"/>
            <w:vAlign w:val="top"/>
          </w:tcPr>
          <w:p>
            <w:pPr>
              <w:ind w:left="98" w:right="98" w:firstLine="1"/>
              <w:spacing w:before="181" w:line="232"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控股公司信唐普华通过虚构与第三方业务、签订无商业实</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0"/>
              </w:rPr>
              <w:t>质的销售合同、提前确认项目收入的方式虚增收入和利</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6"/>
              </w:rPr>
              <w:t>润,导致慧辰股份2020年7月13日披露的《北京慧辰</w:t>
            </w:r>
            <w:r>
              <w:rPr>
                <w:rFonts w:ascii="Microsoft YaHei" w:hAnsi="Microsoft YaHei" w:eastAsia="Microsoft YaHei" w:cs="Microsoft YaHei"/>
                <w:sz w:val="21"/>
                <w:szCs w:val="21"/>
                <w:spacing w:val="5"/>
              </w:rPr>
              <w:t>资道</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资讯股份有限公司首次公开发行股票并在科创板上市招股</w:t>
            </w:r>
            <w:r>
              <w:rPr>
                <w:rFonts w:ascii="Microsoft YaHei" w:hAnsi="Microsoft YaHei" w:eastAsia="Microsoft YaHei" w:cs="Microsoft YaHei"/>
                <w:sz w:val="21"/>
                <w:szCs w:val="21"/>
                <w:spacing w:val="5"/>
              </w:rPr>
              <w:t xml:space="preserve"> </w:t>
            </w:r>
            <w:r>
              <w:rPr>
                <w:rFonts w:ascii="Microsoft YaHei" w:hAnsi="Microsoft YaHei" w:eastAsia="Microsoft YaHei" w:cs="Microsoft YaHei"/>
                <w:sz w:val="21"/>
                <w:szCs w:val="21"/>
                <w:spacing w:val="-1"/>
              </w:rPr>
              <w:t>说明书》 ,以及首发上市后披露的2020年至2022年年度报</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rPr>
              <w:t>告存在</w:t>
            </w:r>
            <w:r>
              <w:rPr>
                <w:rFonts w:ascii="Microsoft YaHei" w:hAnsi="Microsoft YaHei" w:eastAsia="Microsoft YaHei" w:cs="Microsoft YaHei"/>
                <w:sz w:val="21"/>
                <w:szCs w:val="21"/>
                <w:b/>
                <w:bCs/>
              </w:rPr>
              <w:t>虚假记载。</w:t>
            </w:r>
          </w:p>
        </w:tc>
      </w:tr>
      <w:tr>
        <w:trPr>
          <w:trHeight w:val="1805" w:hRule="atLeast"/>
        </w:trPr>
        <w:tc>
          <w:tcPr>
            <w:tcW w:w="8055" w:type="dxa"/>
            <w:vAlign w:val="top"/>
            <w:gridSpan w:val="3"/>
          </w:tcPr>
          <w:p>
            <w:pPr>
              <w:ind w:left="105" w:right="101" w:firstLine="13"/>
              <w:spacing w:before="98" w:line="22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【行政监管措施】</w:t>
            </w:r>
            <w:r>
              <w:rPr>
                <w:rFonts w:ascii="Microsoft YaHei" w:hAnsi="Microsoft YaHei" w:eastAsia="Microsoft YaHei" w:cs="Microsoft YaHei"/>
                <w:sz w:val="21"/>
                <w:szCs w:val="21"/>
              </w:rPr>
              <w:t>中国证券监督管理委员会北京监管局决定对时任高管,时任董</w:t>
            </w:r>
            <w:r>
              <w:rPr>
                <w:rFonts w:ascii="Microsoft YaHei" w:hAnsi="Microsoft YaHei" w:eastAsia="Microsoft YaHei" w:cs="Microsoft YaHei"/>
                <w:sz w:val="21"/>
                <w:szCs w:val="21"/>
                <w:spacing w:val="-1"/>
              </w:rPr>
              <w:t>事刘某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葵、时任高管,时任董事何某、时任董事李某林、时任独董江某、时任独董马某平、时</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2"/>
              </w:rPr>
              <w:t>任独董洪某明、时任独董张某丽、时任监事张某平、时</w:t>
            </w:r>
            <w:r>
              <w:rPr>
                <w:rFonts w:ascii="Microsoft YaHei" w:hAnsi="Microsoft YaHei" w:eastAsia="Microsoft YaHei" w:cs="Microsoft YaHei"/>
                <w:sz w:val="21"/>
                <w:szCs w:val="21"/>
                <w:spacing w:val="1"/>
              </w:rPr>
              <w:t>任监事何某曼、时任监事武某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川、时任监事朱某佳、时任高管余某轶采取出具警示函的行政监管措施,并记入证券期</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rPr>
              <w:t>货市场诚信档案。</w:t>
            </w:r>
          </w:p>
        </w:tc>
      </w:tr>
      <w:tr>
        <w:trPr>
          <w:trHeight w:val="2165" w:hRule="atLeast"/>
        </w:trPr>
        <w:tc>
          <w:tcPr>
            <w:shd w:val="clear" w:fill="B8CCE4"/>
            <w:tcW w:w="1214" w:type="dxa"/>
            <w:vAlign w:val="top"/>
          </w:tcPr>
          <w:p>
            <w:pPr>
              <w:spacing w:line="304" w:lineRule="auto"/>
              <w:rPr>
                <w:rFonts w:ascii="Arial"/>
                <w:sz w:val="21"/>
              </w:rPr>
            </w:pPr>
            <w:r/>
          </w:p>
          <w:p>
            <w:pPr>
              <w:spacing w:line="304" w:lineRule="auto"/>
              <w:rPr>
                <w:rFonts w:ascii="Arial"/>
                <w:sz w:val="21"/>
              </w:rPr>
            </w:pPr>
            <w:r/>
          </w:p>
          <w:p>
            <w:pPr>
              <w:spacing w:line="305" w:lineRule="auto"/>
              <w:rPr>
                <w:rFonts w:ascii="Arial"/>
                <w:sz w:val="21"/>
              </w:rPr>
            </w:pPr>
            <w:r/>
          </w:p>
          <w:p>
            <w:pPr>
              <w:ind w:left="117"/>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300104</w:t>
            </w:r>
          </w:p>
        </w:tc>
        <w:tc>
          <w:tcPr>
            <w:shd w:val="clear" w:fill="B8CCE4"/>
            <w:tcW w:w="1345" w:type="dxa"/>
            <w:vAlign w:val="top"/>
          </w:tcPr>
          <w:p>
            <w:pPr>
              <w:spacing w:line="302" w:lineRule="auto"/>
              <w:rPr>
                <w:rFonts w:ascii="Arial"/>
                <w:sz w:val="21"/>
              </w:rPr>
            </w:pPr>
            <w:r/>
          </w:p>
          <w:p>
            <w:pPr>
              <w:spacing w:line="302" w:lineRule="auto"/>
              <w:rPr>
                <w:rFonts w:ascii="Arial"/>
                <w:sz w:val="21"/>
              </w:rPr>
            </w:pPr>
            <w:r/>
          </w:p>
          <w:p>
            <w:pPr>
              <w:spacing w:line="302" w:lineRule="auto"/>
              <w:rPr>
                <w:rFonts w:ascii="Arial"/>
                <w:sz w:val="21"/>
              </w:rPr>
            </w:pPr>
            <w:r/>
          </w:p>
          <w:p>
            <w:pPr>
              <w:ind w:left="98"/>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乐视退</w:t>
            </w:r>
          </w:p>
        </w:tc>
        <w:tc>
          <w:tcPr>
            <w:shd w:val="clear" w:fill="B8CCE4"/>
            <w:tcW w:w="5496" w:type="dxa"/>
            <w:vAlign w:val="top"/>
          </w:tcPr>
          <w:p>
            <w:pPr>
              <w:ind w:left="100" w:right="98"/>
              <w:spacing w:before="101" w:line="22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乐视网于2007年至2016年财务造假,所报送、披露的申请</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3"/>
              </w:rPr>
              <w:t>首次公开发行股票并上市相关文件及2010年至2016年年</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5"/>
              </w:rPr>
              <w:t>报存在</w:t>
            </w:r>
            <w:r>
              <w:rPr>
                <w:rFonts w:ascii="Microsoft YaHei" w:hAnsi="Microsoft YaHei" w:eastAsia="Microsoft YaHei" w:cs="Microsoft YaHei"/>
                <w:sz w:val="21"/>
                <w:szCs w:val="21"/>
                <w:b/>
                <w:bCs/>
                <w:spacing w:val="5"/>
              </w:rPr>
              <w:t>虚假记载</w:t>
            </w:r>
            <w:r>
              <w:rPr>
                <w:rFonts w:ascii="Microsoft YaHei" w:hAnsi="Microsoft YaHei" w:eastAsia="Microsoft YaHei" w:cs="Microsoft YaHei"/>
                <w:sz w:val="21"/>
                <w:szCs w:val="21"/>
                <w:spacing w:val="5"/>
              </w:rPr>
              <w:t>;乐视网未按规定披露</w:t>
            </w:r>
            <w:r>
              <w:rPr>
                <w:rFonts w:ascii="Microsoft YaHei" w:hAnsi="Microsoft YaHei" w:eastAsia="Microsoft YaHei" w:cs="Microsoft YaHei"/>
                <w:sz w:val="21"/>
                <w:szCs w:val="21"/>
                <w:b/>
                <w:bCs/>
                <w:spacing w:val="5"/>
              </w:rPr>
              <w:t>关联交易</w:t>
            </w:r>
            <w:r>
              <w:rPr>
                <w:rFonts w:ascii="Microsoft YaHei" w:hAnsi="Microsoft YaHei" w:eastAsia="Microsoft YaHei" w:cs="Microsoft YaHei"/>
                <w:sz w:val="21"/>
                <w:szCs w:val="21"/>
                <w:spacing w:val="5"/>
              </w:rPr>
              <w:t>;乐视网未</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7"/>
              </w:rPr>
              <w:t>披露为乐视控股等公司</w:t>
            </w:r>
            <w:r>
              <w:rPr>
                <w:rFonts w:ascii="Microsoft YaHei" w:hAnsi="Microsoft YaHei" w:eastAsia="Microsoft YaHei" w:cs="Microsoft YaHei"/>
                <w:sz w:val="21"/>
                <w:szCs w:val="21"/>
                <w:b/>
                <w:bCs/>
                <w:spacing w:val="7"/>
              </w:rPr>
              <w:t>提供担保</w:t>
            </w:r>
            <w:r>
              <w:rPr>
                <w:rFonts w:ascii="Microsoft YaHei" w:hAnsi="Microsoft YaHei" w:eastAsia="Microsoft YaHei" w:cs="Microsoft YaHei"/>
                <w:sz w:val="21"/>
                <w:szCs w:val="21"/>
                <w:spacing w:val="7"/>
              </w:rPr>
              <w:t>事项;乐视网未如实披露</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spacing w:val="7"/>
              </w:rPr>
              <w:t>贾某芳、贾某亭向上市公司</w:t>
            </w:r>
            <w:r>
              <w:rPr>
                <w:rFonts w:ascii="Microsoft YaHei" w:hAnsi="Microsoft YaHei" w:eastAsia="Microsoft YaHei" w:cs="Microsoft YaHei"/>
                <w:sz w:val="21"/>
                <w:szCs w:val="21"/>
                <w:b/>
                <w:bCs/>
                <w:spacing w:val="7"/>
              </w:rPr>
              <w:t>履行借款承诺</w:t>
            </w:r>
            <w:r>
              <w:rPr>
                <w:rFonts w:ascii="Microsoft YaHei" w:hAnsi="Microsoft YaHei" w:eastAsia="Microsoft YaHei" w:cs="Microsoft YaHei"/>
                <w:sz w:val="21"/>
                <w:szCs w:val="21"/>
                <w:spacing w:val="7"/>
              </w:rPr>
              <w:t>的情况;乐视网</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rPr>
              <w:t>2016年非公开发行股票行为构成</w:t>
            </w:r>
            <w:r>
              <w:rPr>
                <w:rFonts w:ascii="Microsoft YaHei" w:hAnsi="Microsoft YaHei" w:eastAsia="Microsoft YaHei" w:cs="Microsoft YaHei"/>
                <w:sz w:val="21"/>
                <w:szCs w:val="21"/>
                <w:b/>
                <w:bCs/>
              </w:rPr>
              <w:t>欺诈发行。</w:t>
            </w:r>
          </w:p>
        </w:tc>
      </w:tr>
      <w:tr>
        <w:trPr>
          <w:trHeight w:val="1085" w:hRule="atLeast"/>
        </w:trPr>
        <w:tc>
          <w:tcPr>
            <w:tcW w:w="8055" w:type="dxa"/>
            <w:vAlign w:val="top"/>
            <w:gridSpan w:val="3"/>
          </w:tcPr>
          <w:p>
            <w:pPr>
              <w:ind w:left="105" w:right="100" w:firstLine="12"/>
              <w:spacing w:before="102"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中国证券监督管理委员会北京监管局对时任董事韩某明、时任监事</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田某信、时任高管杨某强、梁某、金某、吴某洲、袁某</w:t>
            </w:r>
            <w:r>
              <w:rPr>
                <w:rFonts w:ascii="Microsoft YaHei" w:hAnsi="Microsoft YaHei" w:eastAsia="Microsoft YaHei" w:cs="Microsoft YaHei"/>
                <w:sz w:val="21"/>
                <w:szCs w:val="21"/>
                <w:spacing w:val="1"/>
              </w:rPr>
              <w:t>、时任独董张某胜采取出具警</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示函的行政监管措施,并记入证券期货诚信档案。</w:t>
            </w:r>
          </w:p>
        </w:tc>
      </w:tr>
      <w:tr>
        <w:trPr>
          <w:trHeight w:val="733" w:hRule="atLeast"/>
        </w:trPr>
        <w:tc>
          <w:tcPr>
            <w:shd w:val="clear" w:fill="B8CCE4"/>
            <w:tcW w:w="1214" w:type="dxa"/>
            <w:vAlign w:val="top"/>
          </w:tcPr>
          <w:p>
            <w:pPr>
              <w:ind w:left="117"/>
              <w:spacing w:before="29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300205</w:t>
            </w:r>
          </w:p>
        </w:tc>
        <w:tc>
          <w:tcPr>
            <w:shd w:val="clear" w:fill="B8CCE4"/>
            <w:tcW w:w="1345" w:type="dxa"/>
            <w:vAlign w:val="top"/>
          </w:tcPr>
          <w:p>
            <w:pPr>
              <w:ind w:left="98"/>
              <w:spacing w:before="282"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天喻信息</w:t>
            </w:r>
          </w:p>
        </w:tc>
        <w:tc>
          <w:tcPr>
            <w:shd w:val="clear" w:fill="B8CCE4"/>
            <w:tcW w:w="5496" w:type="dxa"/>
            <w:vAlign w:val="top"/>
          </w:tcPr>
          <w:p>
            <w:pPr>
              <w:ind w:left="115" w:right="236" w:hanging="15"/>
              <w:spacing w:before="10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公司涉及重大诉讼,向关联方担保,控股股东新增所持公司</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spacing w:val="-2"/>
              </w:rPr>
              <w:t>578.80万股股份被冻结,未及时履行信息披露义务。</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1093" w:hRule="atLeast"/>
        </w:trPr>
        <w:tc>
          <w:tcPr>
            <w:tcW w:w="8055" w:type="dxa"/>
            <w:vAlign w:val="top"/>
            <w:gridSpan w:val="3"/>
            <w:tcBorders>
              <w:top w:val="single" w:color="4F81BD" w:sz="2" w:space="0"/>
            </w:tcBorders>
          </w:tcPr>
          <w:p>
            <w:pPr>
              <w:ind w:left="105" w:right="102" w:firstLine="13"/>
              <w:spacing w:before="96"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【行政监管措施】</w:t>
            </w:r>
            <w:r>
              <w:rPr>
                <w:rFonts w:ascii="Microsoft YaHei" w:hAnsi="Microsoft YaHei" w:eastAsia="Microsoft YaHei" w:cs="Microsoft YaHei"/>
                <w:sz w:val="21"/>
                <w:szCs w:val="21"/>
              </w:rPr>
              <w:t>湖北证监局决定对天喻信息、董事长,实际控制人闫某雨、总</w:t>
            </w:r>
            <w:r>
              <w:rPr>
                <w:rFonts w:ascii="Microsoft YaHei" w:hAnsi="Microsoft YaHei" w:eastAsia="Microsoft YaHei" w:cs="Microsoft YaHei"/>
                <w:sz w:val="21"/>
                <w:szCs w:val="21"/>
                <w:spacing w:val="-1"/>
              </w:rPr>
              <w:t>经理丹</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某波、董事会秘书万某、财务总监张某菊采取出具警示函的行政监管措施,并按规定记</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rPr>
              <w:t>入证券期货市场诚信档案。</w:t>
            </w:r>
          </w:p>
        </w:tc>
      </w:tr>
      <w:tr>
        <w:trPr>
          <w:trHeight w:val="726" w:hRule="atLeast"/>
        </w:trPr>
        <w:tc>
          <w:tcPr>
            <w:shd w:val="clear" w:fill="B8CCE4"/>
            <w:tcW w:w="1214" w:type="dxa"/>
            <w:vAlign w:val="top"/>
          </w:tcPr>
          <w:p>
            <w:pPr>
              <w:ind w:left="114"/>
              <w:spacing w:before="278"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600892</w:t>
            </w:r>
          </w:p>
        </w:tc>
        <w:tc>
          <w:tcPr>
            <w:shd w:val="clear" w:fill="B8CCE4"/>
            <w:tcW w:w="1345" w:type="dxa"/>
            <w:vAlign w:val="top"/>
          </w:tcPr>
          <w:p>
            <w:pPr>
              <w:ind w:left="98"/>
              <w:spacing w:before="268"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大晟文化</w:t>
            </w:r>
          </w:p>
        </w:tc>
        <w:tc>
          <w:tcPr>
            <w:shd w:val="clear" w:fill="B8CCE4"/>
            <w:tcW w:w="5496" w:type="dxa"/>
            <w:vAlign w:val="top"/>
          </w:tcPr>
          <w:p>
            <w:pPr>
              <w:ind w:left="100" w:right="100"/>
              <w:spacing w:before="88" w:line="20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北京天创文投文化发展集团有限公司公司在</w:t>
            </w:r>
            <w:r>
              <w:rPr>
                <w:rFonts w:ascii="Microsoft YaHei" w:hAnsi="Microsoft YaHei" w:eastAsia="Microsoft YaHei" w:cs="Microsoft YaHei"/>
                <w:sz w:val="21"/>
                <w:szCs w:val="21"/>
                <w:b/>
                <w:bCs/>
                <w:spacing w:val="1"/>
              </w:rPr>
              <w:t>持股比例累计</w:t>
            </w:r>
            <w:r>
              <w:rPr>
                <w:rFonts w:ascii="Microsoft YaHei" w:hAnsi="Microsoft YaHei" w:eastAsia="Microsoft YaHei" w:cs="Microsoft YaHei"/>
                <w:sz w:val="21"/>
                <w:szCs w:val="21"/>
                <w:b/>
                <w:bCs/>
                <w:spacing w:val="4"/>
              </w:rPr>
              <w:t xml:space="preserve"> </w:t>
            </w:r>
            <w:r>
              <w:rPr>
                <w:rFonts w:ascii="Microsoft YaHei" w:hAnsi="Microsoft YaHei" w:eastAsia="Microsoft YaHei" w:cs="Microsoft YaHei"/>
                <w:sz w:val="21"/>
                <w:szCs w:val="21"/>
                <w:b/>
                <w:bCs/>
              </w:rPr>
              <w:t>减少超过5%</w:t>
            </w:r>
            <w:r>
              <w:rPr>
                <w:rFonts w:ascii="Microsoft YaHei" w:hAnsi="Microsoft YaHei" w:eastAsia="Microsoft YaHei" w:cs="Microsoft YaHei"/>
                <w:sz w:val="21"/>
                <w:szCs w:val="21"/>
              </w:rPr>
              <w:t>时，未按规定及时履行报告、公告义务。</w:t>
            </w:r>
          </w:p>
        </w:tc>
      </w:tr>
      <w:tr>
        <w:trPr>
          <w:trHeight w:val="723" w:hRule="atLeast"/>
        </w:trPr>
        <w:tc>
          <w:tcPr>
            <w:tcW w:w="8055" w:type="dxa"/>
            <w:vAlign w:val="top"/>
            <w:gridSpan w:val="3"/>
          </w:tcPr>
          <w:p>
            <w:pPr>
              <w:ind w:left="104" w:right="100" w:firstLine="14"/>
              <w:spacing w:before="8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中国证券监督管理委员会深圳监管局决定对北京天创文投文化发展</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集团有限公司公司采取出具警示函的行政监管措施。</w:t>
            </w:r>
          </w:p>
        </w:tc>
      </w:tr>
      <w:tr>
        <w:trPr>
          <w:trHeight w:val="366" w:hRule="atLeast"/>
        </w:trPr>
        <w:tc>
          <w:tcPr>
            <w:shd w:val="clear" w:fill="B8CCE4"/>
            <w:tcW w:w="1214" w:type="dxa"/>
            <w:vAlign w:val="top"/>
          </w:tcPr>
          <w:p>
            <w:pPr>
              <w:ind w:left="114"/>
              <w:spacing w:before="99"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600847</w:t>
            </w:r>
          </w:p>
        </w:tc>
        <w:tc>
          <w:tcPr>
            <w:shd w:val="clear" w:fill="B8CCE4"/>
            <w:tcW w:w="1345" w:type="dxa"/>
            <w:vAlign w:val="top"/>
          </w:tcPr>
          <w:p>
            <w:pPr>
              <w:ind w:left="99"/>
              <w:spacing w:before="90"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万里股份</w:t>
            </w:r>
          </w:p>
        </w:tc>
        <w:tc>
          <w:tcPr>
            <w:shd w:val="clear" w:fill="B8CCE4"/>
            <w:tcW w:w="5496" w:type="dxa"/>
            <w:vAlign w:val="top"/>
          </w:tcPr>
          <w:p>
            <w:pPr>
              <w:ind w:left="101"/>
              <w:spacing w:before="90" w:line="17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重大仲裁</w:t>
            </w:r>
            <w:r>
              <w:rPr>
                <w:rFonts w:ascii="Microsoft YaHei" w:hAnsi="Microsoft YaHei" w:eastAsia="Microsoft YaHei" w:cs="Microsoft YaHei"/>
                <w:sz w:val="21"/>
                <w:szCs w:val="21"/>
              </w:rPr>
              <w:t>未及时披露。</w:t>
            </w:r>
          </w:p>
        </w:tc>
      </w:tr>
      <w:tr>
        <w:trPr>
          <w:trHeight w:val="723" w:hRule="atLeast"/>
        </w:trPr>
        <w:tc>
          <w:tcPr>
            <w:tcW w:w="8055" w:type="dxa"/>
            <w:vAlign w:val="top"/>
            <w:gridSpan w:val="3"/>
          </w:tcPr>
          <w:p>
            <w:pPr>
              <w:ind w:left="103" w:right="100" w:firstLine="14"/>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中国证券监督管理委员会重庆监管局决定对万里股份及时任董事长</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代某功、时任总经理张某江和时任董事会秘书张某采取出具警示函的行政监管措施。</w:t>
            </w:r>
          </w:p>
        </w:tc>
      </w:tr>
      <w:tr>
        <w:trPr>
          <w:trHeight w:val="1086" w:hRule="atLeast"/>
        </w:trPr>
        <w:tc>
          <w:tcPr>
            <w:shd w:val="clear" w:fill="B8CCE4"/>
            <w:tcW w:w="1214" w:type="dxa"/>
            <w:vAlign w:val="top"/>
          </w:tcPr>
          <w:p>
            <w:pPr>
              <w:spacing w:line="370" w:lineRule="auto"/>
              <w:rPr>
                <w:rFonts w:ascii="Arial"/>
                <w:sz w:val="21"/>
              </w:rPr>
            </w:pPr>
            <w:r/>
          </w:p>
          <w:p>
            <w:pPr>
              <w:ind w:left="117"/>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300132</w:t>
            </w:r>
          </w:p>
        </w:tc>
        <w:tc>
          <w:tcPr>
            <w:shd w:val="clear" w:fill="B8CCE4"/>
            <w:tcW w:w="1345" w:type="dxa"/>
            <w:vAlign w:val="top"/>
          </w:tcPr>
          <w:p>
            <w:pPr>
              <w:spacing w:line="363" w:lineRule="auto"/>
              <w:rPr>
                <w:rFonts w:ascii="Arial"/>
                <w:sz w:val="21"/>
              </w:rPr>
            </w:pPr>
            <w:r/>
          </w:p>
          <w:p>
            <w:pPr>
              <w:ind w:left="102"/>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青松股份</w:t>
            </w:r>
          </w:p>
        </w:tc>
        <w:tc>
          <w:tcPr>
            <w:shd w:val="clear" w:fill="B8CCE4"/>
            <w:tcW w:w="5496" w:type="dxa"/>
            <w:vAlign w:val="top"/>
          </w:tcPr>
          <w:p>
            <w:pPr>
              <w:ind w:left="100" w:right="100"/>
              <w:spacing w:before="94"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福建青松股份有限公司及相关人员未认真查看评估报告电</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1"/>
              </w:rPr>
              <w:t>子文件，并在</w:t>
            </w:r>
            <w:r>
              <w:rPr>
                <w:rFonts w:ascii="Microsoft YaHei" w:hAnsi="Microsoft YaHei" w:eastAsia="Microsoft YaHei" w:cs="Microsoft YaHei"/>
                <w:sz w:val="21"/>
                <w:szCs w:val="21"/>
                <w:b/>
                <w:bCs/>
                <w:spacing w:val="1"/>
              </w:rPr>
              <w:t>未获取正式评估报告</w:t>
            </w:r>
            <w:r>
              <w:rPr>
                <w:rFonts w:ascii="Microsoft YaHei" w:hAnsi="Microsoft YaHei" w:eastAsia="Microsoft YaHei" w:cs="Microsoft YaHei"/>
                <w:sz w:val="21"/>
                <w:szCs w:val="21"/>
                <w:spacing w:val="1"/>
              </w:rPr>
              <w:t>情况下，将该份电子文</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1"/>
              </w:rPr>
              <w:t>件提交给第三方评估机构，同时在披露信息中多次引用。</w:t>
            </w:r>
          </w:p>
        </w:tc>
      </w:tr>
      <w:tr>
        <w:trPr>
          <w:trHeight w:val="1084" w:hRule="atLeast"/>
        </w:trPr>
        <w:tc>
          <w:tcPr>
            <w:tcW w:w="8055" w:type="dxa"/>
            <w:vAlign w:val="top"/>
            <w:gridSpan w:val="3"/>
          </w:tcPr>
          <w:p>
            <w:pPr>
              <w:ind w:left="105" w:right="102" w:firstLine="13"/>
              <w:spacing w:before="92"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6"/>
              </w:rPr>
              <w:t>【行政监管措施】</w:t>
            </w:r>
            <w:r>
              <w:rPr>
                <w:rFonts w:ascii="Microsoft YaHei" w:hAnsi="Microsoft YaHei" w:eastAsia="Microsoft YaHei" w:cs="Microsoft YaHei"/>
                <w:sz w:val="21"/>
                <w:szCs w:val="21"/>
                <w:b/>
                <w:bCs/>
                <w:spacing w:val="-28"/>
              </w:rPr>
              <w:t xml:space="preserve"> </w:t>
            </w:r>
            <w:r>
              <w:rPr>
                <w:rFonts w:ascii="Microsoft YaHei" w:hAnsi="Microsoft YaHei" w:eastAsia="Microsoft YaHei" w:cs="Microsoft YaHei"/>
                <w:sz w:val="21"/>
                <w:szCs w:val="21"/>
                <w:spacing w:val="6"/>
              </w:rPr>
              <w:t>中国证券监督管理委员会福建监管局决定对福建青松股份有限公</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司、董事长,总经理范某华、董事会秘书骆某辉采取出具</w:t>
            </w:r>
            <w:r>
              <w:rPr>
                <w:rFonts w:ascii="Microsoft YaHei" w:hAnsi="Microsoft YaHei" w:eastAsia="Microsoft YaHei" w:cs="Microsoft YaHei"/>
                <w:sz w:val="21"/>
                <w:szCs w:val="21"/>
                <w:spacing w:val="-2"/>
              </w:rPr>
              <w:t>警示函的监管措施， 并记入证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券期货市场诚信档案数据库。</w:t>
            </w:r>
          </w:p>
        </w:tc>
      </w:tr>
      <w:tr>
        <w:trPr>
          <w:trHeight w:val="1086" w:hRule="atLeast"/>
        </w:trPr>
        <w:tc>
          <w:tcPr>
            <w:shd w:val="clear" w:fill="B8CCE4"/>
            <w:tcW w:w="1214" w:type="dxa"/>
            <w:vAlign w:val="top"/>
          </w:tcPr>
          <w:p>
            <w:pPr>
              <w:spacing w:line="373" w:lineRule="auto"/>
              <w:rPr>
                <w:rFonts w:ascii="Arial"/>
                <w:sz w:val="21"/>
              </w:rPr>
            </w:pPr>
            <w:r/>
          </w:p>
          <w:p>
            <w:pPr>
              <w:ind w:left="117"/>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300956</w:t>
            </w:r>
          </w:p>
        </w:tc>
        <w:tc>
          <w:tcPr>
            <w:shd w:val="clear" w:fill="B8CCE4"/>
            <w:tcW w:w="1345" w:type="dxa"/>
            <w:vAlign w:val="top"/>
          </w:tcPr>
          <w:p>
            <w:pPr>
              <w:spacing w:line="363"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英力股份</w:t>
            </w:r>
          </w:p>
        </w:tc>
        <w:tc>
          <w:tcPr>
            <w:shd w:val="clear" w:fill="B8CCE4"/>
            <w:tcW w:w="5496" w:type="dxa"/>
            <w:vAlign w:val="top"/>
          </w:tcPr>
          <w:p>
            <w:pPr>
              <w:ind w:left="100" w:right="101"/>
              <w:spacing w:before="94"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公司</w:t>
            </w:r>
            <w:r>
              <w:rPr>
                <w:rFonts w:ascii="Microsoft YaHei" w:hAnsi="Microsoft YaHei" w:eastAsia="Microsoft YaHei" w:cs="Microsoft YaHei"/>
                <w:sz w:val="21"/>
                <w:szCs w:val="21"/>
                <w:b/>
                <w:bCs/>
                <w:spacing w:val="1"/>
              </w:rPr>
              <w:t>内控制度</w:t>
            </w:r>
            <w:r>
              <w:rPr>
                <w:rFonts w:ascii="Microsoft YaHei" w:hAnsi="Microsoft YaHei" w:eastAsia="Microsoft YaHei" w:cs="Microsoft YaHei"/>
                <w:sz w:val="21"/>
                <w:szCs w:val="21"/>
                <w:spacing w:val="1"/>
              </w:rPr>
              <w:t>不健全，未制定销售返利的规章制度；公司</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b/>
                <w:bCs/>
                <w:spacing w:val="1"/>
              </w:rPr>
              <w:t>执行会计政策</w:t>
            </w:r>
            <w:r>
              <w:rPr>
                <w:rFonts w:ascii="Microsoft YaHei" w:hAnsi="Microsoft YaHei" w:eastAsia="Microsoft YaHei" w:cs="Microsoft YaHei"/>
                <w:sz w:val="21"/>
                <w:szCs w:val="21"/>
                <w:spacing w:val="1"/>
              </w:rPr>
              <w:t>不到位，导致部分收入确认存在会计差错未</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10"/>
              </w:rPr>
              <w:t>更正。</w:t>
            </w:r>
          </w:p>
        </w:tc>
      </w:tr>
      <w:tr>
        <w:trPr>
          <w:trHeight w:val="1445" w:hRule="atLeast"/>
        </w:trPr>
        <w:tc>
          <w:tcPr>
            <w:tcW w:w="8055" w:type="dxa"/>
            <w:vAlign w:val="top"/>
            <w:gridSpan w:val="3"/>
          </w:tcPr>
          <w:p>
            <w:pPr>
              <w:ind w:left="104" w:right="100" w:firstLine="14"/>
              <w:spacing w:before="95" w:line="223"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中国证券监督管理委员会安徽监管局决定对安徽英力电子科技股份</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7"/>
              </w:rPr>
              <w:t>有限公司采取责令改正并出具警示函的行政监管措施，并记入证券期货市场诚信档</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spacing w:val="2"/>
              </w:rPr>
              <w:t>案。中国证券监督管理委员会安徽监管局决定对董事长戴</w:t>
            </w:r>
            <w:r>
              <w:rPr>
                <w:rFonts w:ascii="Microsoft YaHei" w:hAnsi="Microsoft YaHei" w:eastAsia="Microsoft YaHei" w:cs="Microsoft YaHei"/>
                <w:sz w:val="21"/>
                <w:szCs w:val="21"/>
                <w:spacing w:val="1"/>
              </w:rPr>
              <w:t>某、财务总监夏某采取出具</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警示函的行政监管措施， 并记入证券期货市场诚信档案。</w:t>
            </w:r>
          </w:p>
        </w:tc>
      </w:tr>
      <w:tr>
        <w:trPr>
          <w:trHeight w:val="364" w:hRule="atLeast"/>
        </w:trPr>
        <w:tc>
          <w:tcPr>
            <w:shd w:val="clear" w:fill="B8CCE4"/>
            <w:tcW w:w="1214" w:type="dxa"/>
            <w:vAlign w:val="top"/>
          </w:tcPr>
          <w:p>
            <w:pPr>
              <w:ind w:left="111"/>
              <w:spacing w:before="104" w:line="16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001311</w:t>
            </w:r>
          </w:p>
        </w:tc>
        <w:tc>
          <w:tcPr>
            <w:shd w:val="clear" w:fill="B8CCE4"/>
            <w:tcW w:w="1345" w:type="dxa"/>
            <w:vAlign w:val="top"/>
          </w:tcPr>
          <w:p>
            <w:pPr>
              <w:ind w:left="102"/>
              <w:spacing w:before="9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多利科技</w:t>
            </w:r>
          </w:p>
        </w:tc>
        <w:tc>
          <w:tcPr>
            <w:shd w:val="clear" w:fill="B8CCE4"/>
            <w:tcW w:w="5496" w:type="dxa"/>
            <w:vAlign w:val="top"/>
          </w:tcPr>
          <w:p>
            <w:pPr>
              <w:ind w:left="102"/>
              <w:spacing w:before="9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董事长</w:t>
            </w:r>
            <w:r>
              <w:rPr>
                <w:rFonts w:ascii="Microsoft YaHei" w:hAnsi="Microsoft YaHei" w:eastAsia="Microsoft YaHei" w:cs="Microsoft YaHei"/>
                <w:sz w:val="21"/>
                <w:szCs w:val="21"/>
                <w:b/>
                <w:bCs/>
                <w:spacing w:val="-3"/>
              </w:rPr>
              <w:t>敏感期交易。</w:t>
            </w:r>
          </w:p>
        </w:tc>
      </w:tr>
      <w:tr>
        <w:trPr>
          <w:trHeight w:val="726" w:hRule="atLeast"/>
        </w:trPr>
        <w:tc>
          <w:tcPr>
            <w:tcW w:w="8055" w:type="dxa"/>
            <w:vAlign w:val="top"/>
            <w:gridSpan w:val="3"/>
          </w:tcPr>
          <w:p>
            <w:pPr>
              <w:ind w:left="107" w:right="100" w:firstLine="11"/>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中国证券监督管理委员会安徽监管局决定对董事长邓某琴采取出具</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4"/>
              </w:rPr>
              <w:t>警示函的行政监管措施， 并记入证券期货市场诚信档案。</w:t>
            </w:r>
          </w:p>
        </w:tc>
      </w:tr>
      <w:tr>
        <w:trPr>
          <w:trHeight w:val="1083" w:hRule="atLeast"/>
        </w:trPr>
        <w:tc>
          <w:tcPr>
            <w:shd w:val="clear" w:fill="B8CCE4"/>
            <w:tcW w:w="1214" w:type="dxa"/>
            <w:vAlign w:val="top"/>
          </w:tcPr>
          <w:p>
            <w:pPr>
              <w:spacing w:line="374"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600338</w:t>
            </w:r>
          </w:p>
        </w:tc>
        <w:tc>
          <w:tcPr>
            <w:shd w:val="clear" w:fill="B8CCE4"/>
            <w:tcW w:w="1345" w:type="dxa"/>
            <w:vAlign w:val="top"/>
          </w:tcPr>
          <w:p>
            <w:pPr>
              <w:spacing w:line="364" w:lineRule="auto"/>
              <w:rPr>
                <w:rFonts w:ascii="Arial"/>
                <w:sz w:val="21"/>
              </w:rPr>
            </w:pPr>
            <w:r/>
          </w:p>
          <w:p>
            <w:pPr>
              <w:ind w:left="101"/>
              <w:spacing w:before="91"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西藏珠峰</w:t>
            </w:r>
          </w:p>
        </w:tc>
        <w:tc>
          <w:tcPr>
            <w:shd w:val="clear" w:fill="B8CCE4"/>
            <w:tcW w:w="5496" w:type="dxa"/>
            <w:vAlign w:val="top"/>
          </w:tcPr>
          <w:p>
            <w:pPr>
              <w:ind w:left="100" w:right="97"/>
              <w:spacing w:before="95"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未审议披露2016年发生的部分</w:t>
            </w:r>
            <w:r>
              <w:rPr>
                <w:rFonts w:ascii="Microsoft YaHei" w:hAnsi="Microsoft YaHei" w:eastAsia="Microsoft YaHei" w:cs="Microsoft YaHei"/>
                <w:sz w:val="21"/>
                <w:szCs w:val="21"/>
                <w:b/>
                <w:bCs/>
                <w:spacing w:val="3"/>
              </w:rPr>
              <w:t>关联交易</w:t>
            </w:r>
            <w:r>
              <w:rPr>
                <w:rFonts w:ascii="Microsoft YaHei" w:hAnsi="Microsoft YaHei" w:eastAsia="Microsoft YaHei" w:cs="Microsoft YaHei"/>
                <w:sz w:val="21"/>
                <w:szCs w:val="21"/>
                <w:spacing w:val="2"/>
              </w:rPr>
              <w:t>事项，</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2"/>
              </w:rPr>
              <w:t>2017年年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报、</w:t>
            </w:r>
            <w:r>
              <w:rPr>
                <w:rFonts w:ascii="Microsoft YaHei" w:hAnsi="Microsoft YaHei" w:eastAsia="Microsoft YaHei" w:cs="Microsoft YaHei"/>
                <w:sz w:val="21"/>
                <w:szCs w:val="21"/>
                <w:spacing w:val="28"/>
              </w:rPr>
              <w:t xml:space="preserve"> </w:t>
            </w:r>
            <w:r>
              <w:rPr>
                <w:rFonts w:ascii="Microsoft YaHei" w:hAnsi="Microsoft YaHei" w:eastAsia="Microsoft YaHei" w:cs="Microsoft YaHei"/>
                <w:sz w:val="21"/>
                <w:szCs w:val="21"/>
              </w:rPr>
              <w:t>2018年半年报、2018年年报披露的固定资产、在建 </w:t>
            </w:r>
            <w:r>
              <w:rPr>
                <w:rFonts w:ascii="Microsoft YaHei" w:hAnsi="Microsoft YaHei" w:eastAsia="Microsoft YaHei" w:cs="Microsoft YaHei"/>
                <w:sz w:val="21"/>
                <w:szCs w:val="21"/>
                <w:spacing w:val="-2"/>
              </w:rPr>
              <w:t>工程等科目</w:t>
            </w:r>
            <w:r>
              <w:rPr>
                <w:rFonts w:ascii="Microsoft YaHei" w:hAnsi="Microsoft YaHei" w:eastAsia="Microsoft YaHei" w:cs="Microsoft YaHei"/>
                <w:sz w:val="21"/>
                <w:szCs w:val="21"/>
                <w:b/>
                <w:bCs/>
                <w:spacing w:val="-2"/>
              </w:rPr>
              <w:t>财务数据不准确。</w:t>
            </w:r>
          </w:p>
        </w:tc>
      </w:tr>
      <w:tr>
        <w:trPr>
          <w:trHeight w:val="1086" w:hRule="atLeast"/>
        </w:trPr>
        <w:tc>
          <w:tcPr>
            <w:tcW w:w="8055" w:type="dxa"/>
            <w:vAlign w:val="top"/>
            <w:gridSpan w:val="3"/>
          </w:tcPr>
          <w:p>
            <w:pPr>
              <w:ind w:left="104" w:right="100" w:firstLine="14"/>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中国证券监督管理委员会西藏监管局决定对董事长黄某荣、董事会</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秘书王某兵、时任总经理胡某东、时任财务总监张某祥采</w:t>
            </w:r>
            <w:r>
              <w:rPr>
                <w:rFonts w:ascii="Microsoft YaHei" w:hAnsi="Microsoft YaHei" w:eastAsia="Microsoft YaHei" w:cs="Microsoft YaHei"/>
                <w:sz w:val="21"/>
                <w:szCs w:val="21"/>
                <w:spacing w:val="1"/>
              </w:rPr>
              <w:t>取出具警示函的监督管理措</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施，并记入资本市场诚信档案。</w:t>
            </w:r>
          </w:p>
        </w:tc>
      </w:tr>
      <w:tr>
        <w:trPr>
          <w:trHeight w:val="1084" w:hRule="atLeast"/>
        </w:trPr>
        <w:tc>
          <w:tcPr>
            <w:shd w:val="clear" w:fill="B8CCE4"/>
            <w:tcW w:w="1214" w:type="dxa"/>
            <w:vAlign w:val="top"/>
          </w:tcPr>
          <w:p>
            <w:pPr>
              <w:spacing w:line="375" w:lineRule="auto"/>
              <w:rPr>
                <w:rFonts w:ascii="Arial"/>
                <w:sz w:val="21"/>
              </w:rPr>
            </w:pPr>
            <w:r/>
          </w:p>
          <w:p>
            <w:pPr>
              <w:ind w:left="117"/>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300511</w:t>
            </w:r>
          </w:p>
        </w:tc>
        <w:tc>
          <w:tcPr>
            <w:shd w:val="clear" w:fill="B8CCE4"/>
            <w:tcW w:w="1345" w:type="dxa"/>
            <w:vAlign w:val="top"/>
          </w:tcPr>
          <w:p>
            <w:pPr>
              <w:spacing w:line="366" w:lineRule="auto"/>
              <w:rPr>
                <w:rFonts w:ascii="Arial"/>
                <w:sz w:val="21"/>
              </w:rPr>
            </w:pPr>
            <w:r/>
          </w:p>
          <w:p>
            <w:pPr>
              <w:ind w:left="106"/>
              <w:spacing w:before="9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雪榕生物</w:t>
            </w:r>
          </w:p>
        </w:tc>
        <w:tc>
          <w:tcPr>
            <w:shd w:val="clear" w:fill="B8CCE4"/>
            <w:tcW w:w="5496" w:type="dxa"/>
            <w:vAlign w:val="top"/>
          </w:tcPr>
          <w:p>
            <w:pPr>
              <w:ind w:left="100" w:right="97" w:firstLine="9"/>
              <w:spacing w:before="101"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2020-2022年对全资子公司威宁香榕生物科技有</w:t>
            </w:r>
            <w:r>
              <w:rPr>
                <w:rFonts w:ascii="Microsoft YaHei" w:hAnsi="Microsoft YaHei" w:eastAsia="Microsoft YaHei" w:cs="Microsoft YaHei"/>
                <w:sz w:val="21"/>
                <w:szCs w:val="21"/>
                <w:spacing w:val="-1"/>
              </w:rPr>
              <w:t>限公司资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产组的减值测试中存在计算错误、预测方法不恰当导致</w:t>
            </w:r>
            <w:r>
              <w:rPr>
                <w:rFonts w:ascii="Microsoft YaHei" w:hAnsi="Microsoft YaHei" w:eastAsia="Microsoft YaHei" w:cs="Microsoft YaHei"/>
                <w:sz w:val="21"/>
                <w:szCs w:val="21"/>
                <w:b/>
                <w:bCs/>
                <w:spacing w:val="1"/>
              </w:rPr>
              <w:t>减</w:t>
            </w:r>
            <w:r>
              <w:rPr>
                <w:rFonts w:ascii="Microsoft YaHei" w:hAnsi="Microsoft YaHei" w:eastAsia="Microsoft YaHei" w:cs="Microsoft YaHei"/>
                <w:sz w:val="21"/>
                <w:szCs w:val="21"/>
                <w:b/>
                <w:bCs/>
                <w:spacing w:val="5"/>
              </w:rPr>
              <w:t xml:space="preserve"> </w:t>
            </w:r>
            <w:r>
              <w:rPr>
                <w:rFonts w:ascii="Microsoft YaHei" w:hAnsi="Microsoft YaHei" w:eastAsia="Microsoft YaHei" w:cs="Microsoft YaHei"/>
                <w:sz w:val="21"/>
                <w:szCs w:val="21"/>
                <w:b/>
                <w:bCs/>
                <w:spacing w:val="-3"/>
              </w:rPr>
              <w:t>值测试不准确。</w:t>
            </w:r>
          </w:p>
        </w:tc>
      </w:tr>
      <w:tr>
        <w:trPr>
          <w:trHeight w:val="726" w:hRule="atLeast"/>
        </w:trPr>
        <w:tc>
          <w:tcPr>
            <w:tcW w:w="8055" w:type="dxa"/>
            <w:vAlign w:val="top"/>
            <w:gridSpan w:val="3"/>
          </w:tcPr>
          <w:p>
            <w:pPr>
              <w:ind w:left="107" w:right="100" w:firstLine="11"/>
              <w:spacing w:before="103"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中国证券监督管理委员会上海监管局决定对财务总监陈某采取出具</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警示函的监督管理措施。</w:t>
            </w:r>
          </w:p>
        </w:tc>
      </w:tr>
      <w:tr>
        <w:trPr>
          <w:trHeight w:val="1083" w:hRule="atLeast"/>
        </w:trPr>
        <w:tc>
          <w:tcPr>
            <w:shd w:val="clear" w:fill="B8CCE4"/>
            <w:tcW w:w="1214" w:type="dxa"/>
            <w:vAlign w:val="top"/>
          </w:tcPr>
          <w:p>
            <w:pPr>
              <w:spacing w:line="375" w:lineRule="auto"/>
              <w:rPr>
                <w:rFonts w:ascii="Arial"/>
                <w:sz w:val="21"/>
              </w:rPr>
            </w:pPr>
            <w:r/>
          </w:p>
          <w:p>
            <w:pPr>
              <w:ind w:left="117"/>
              <w:spacing w:before="91"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300511</w:t>
            </w:r>
          </w:p>
        </w:tc>
        <w:tc>
          <w:tcPr>
            <w:shd w:val="clear" w:fill="B8CCE4"/>
            <w:tcW w:w="1345" w:type="dxa"/>
            <w:vAlign w:val="top"/>
          </w:tcPr>
          <w:p>
            <w:pPr>
              <w:spacing w:line="367" w:lineRule="auto"/>
              <w:rPr>
                <w:rFonts w:ascii="Arial"/>
                <w:sz w:val="21"/>
              </w:rPr>
            </w:pPr>
            <w:r/>
          </w:p>
          <w:p>
            <w:pPr>
              <w:ind w:left="106"/>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雪榕生物</w:t>
            </w:r>
          </w:p>
        </w:tc>
        <w:tc>
          <w:tcPr>
            <w:shd w:val="clear" w:fill="B8CCE4"/>
            <w:tcW w:w="5496" w:type="dxa"/>
            <w:vAlign w:val="top"/>
          </w:tcPr>
          <w:p>
            <w:pPr>
              <w:ind w:left="100" w:right="97" w:firstLine="9"/>
              <w:spacing w:before="100"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2020-2022年对全资子公司威宁香榕生物科技有</w:t>
            </w:r>
            <w:r>
              <w:rPr>
                <w:rFonts w:ascii="Microsoft YaHei" w:hAnsi="Microsoft YaHei" w:eastAsia="Microsoft YaHei" w:cs="Microsoft YaHei"/>
                <w:sz w:val="21"/>
                <w:szCs w:val="21"/>
                <w:spacing w:val="-1"/>
              </w:rPr>
              <w:t>限公司资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产组的减值测试中存在计算错误、预测方法不恰当导致</w:t>
            </w:r>
            <w:r>
              <w:rPr>
                <w:rFonts w:ascii="Microsoft YaHei" w:hAnsi="Microsoft YaHei" w:eastAsia="Microsoft YaHei" w:cs="Microsoft YaHei"/>
                <w:sz w:val="21"/>
                <w:szCs w:val="21"/>
                <w:b/>
                <w:bCs/>
                <w:spacing w:val="1"/>
              </w:rPr>
              <w:t>减</w:t>
            </w:r>
            <w:r>
              <w:rPr>
                <w:rFonts w:ascii="Microsoft YaHei" w:hAnsi="Microsoft YaHei" w:eastAsia="Microsoft YaHei" w:cs="Microsoft YaHei"/>
                <w:sz w:val="21"/>
                <w:szCs w:val="21"/>
                <w:b/>
                <w:bCs/>
                <w:spacing w:val="5"/>
              </w:rPr>
              <w:t xml:space="preserve"> </w:t>
            </w:r>
            <w:r>
              <w:rPr>
                <w:rFonts w:ascii="Microsoft YaHei" w:hAnsi="Microsoft YaHei" w:eastAsia="Microsoft YaHei" w:cs="Microsoft YaHei"/>
                <w:sz w:val="21"/>
                <w:szCs w:val="21"/>
                <w:b/>
                <w:bCs/>
                <w:spacing w:val="-3"/>
              </w:rPr>
              <w:t>值测试不准确。</w:t>
            </w:r>
          </w:p>
        </w:tc>
      </w:tr>
      <w:tr>
        <w:trPr>
          <w:trHeight w:val="735" w:hRule="atLeast"/>
        </w:trPr>
        <w:tc>
          <w:tcPr>
            <w:tcW w:w="8055" w:type="dxa"/>
            <w:vAlign w:val="top"/>
            <w:gridSpan w:val="3"/>
          </w:tcPr>
          <w:p>
            <w:pPr>
              <w:ind w:left="107" w:right="100" w:firstLine="11"/>
              <w:spacing w:before="103"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中国证券监督管理委员会上海监管局决定对董事长杨某萍采取出具</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警示函的监督管理措施。</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33" w:hRule="atLeast"/>
        </w:trPr>
        <w:tc>
          <w:tcPr>
            <w:shd w:val="clear" w:fill="B8CCE4"/>
            <w:tcW w:w="1214" w:type="dxa"/>
            <w:vAlign w:val="top"/>
            <w:tcBorders>
              <w:top w:val="single" w:color="4F81BD" w:sz="2" w:space="0"/>
            </w:tcBorders>
          </w:tcPr>
          <w:p>
            <w:pPr>
              <w:ind w:left="117"/>
              <w:spacing w:before="286"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300437</w:t>
            </w:r>
          </w:p>
        </w:tc>
        <w:tc>
          <w:tcPr>
            <w:shd w:val="clear" w:fill="B8CCE4"/>
            <w:tcW w:w="1345" w:type="dxa"/>
            <w:vAlign w:val="top"/>
            <w:tcBorders>
              <w:top w:val="single" w:color="4F81BD" w:sz="2" w:space="0"/>
            </w:tcBorders>
          </w:tcPr>
          <w:p>
            <w:pPr>
              <w:ind w:left="98"/>
              <w:spacing w:before="276"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清水源</w:t>
            </w:r>
          </w:p>
        </w:tc>
        <w:tc>
          <w:tcPr>
            <w:shd w:val="clear" w:fill="B8CCE4"/>
            <w:tcW w:w="5496" w:type="dxa"/>
            <w:vAlign w:val="top"/>
            <w:tcBorders>
              <w:top w:val="single" w:color="4F81BD" w:sz="2" w:space="0"/>
            </w:tcBorders>
          </w:tcPr>
          <w:p>
            <w:pPr>
              <w:ind w:left="100" w:right="100" w:firstLine="7"/>
              <w:spacing w:before="9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5"/>
              </w:rPr>
              <w:t>2022年三季报</w:t>
            </w:r>
            <w:r>
              <w:rPr>
                <w:rFonts w:ascii="Microsoft YaHei" w:hAnsi="Microsoft YaHei" w:eastAsia="Microsoft YaHei" w:cs="Microsoft YaHei"/>
                <w:sz w:val="21"/>
                <w:szCs w:val="21"/>
                <w:spacing w:val="5"/>
              </w:rPr>
              <w:t>信息披露不准确；董事任职期间</w:t>
            </w:r>
            <w:r>
              <w:rPr>
                <w:rFonts w:ascii="Microsoft YaHei" w:hAnsi="Microsoft YaHei" w:eastAsia="Microsoft YaHei" w:cs="Microsoft YaHei"/>
                <w:sz w:val="21"/>
                <w:szCs w:val="21"/>
                <w:b/>
                <w:bCs/>
                <w:spacing w:val="5"/>
              </w:rPr>
              <w:t>被有权机</w:t>
            </w:r>
            <w:r>
              <w:rPr>
                <w:rFonts w:ascii="Microsoft YaHei" w:hAnsi="Microsoft YaHei" w:eastAsia="Microsoft YaHei" w:cs="Microsoft YaHei"/>
                <w:sz w:val="21"/>
                <w:szCs w:val="21"/>
                <w:b/>
                <w:bCs/>
                <w:spacing w:val="2"/>
              </w:rPr>
              <w:t xml:space="preserve"> </w:t>
            </w:r>
            <w:r>
              <w:rPr>
                <w:rFonts w:ascii="Microsoft YaHei" w:hAnsi="Microsoft YaHei" w:eastAsia="Microsoft YaHei" w:cs="Microsoft YaHei"/>
                <w:sz w:val="21"/>
                <w:szCs w:val="21"/>
                <w:b/>
                <w:bCs/>
                <w:spacing w:val="-3"/>
              </w:rPr>
              <w:t>关调查</w:t>
            </w:r>
            <w:r>
              <w:rPr>
                <w:rFonts w:ascii="Microsoft YaHei" w:hAnsi="Microsoft YaHei" w:eastAsia="Microsoft YaHei" w:cs="Microsoft YaHei"/>
                <w:sz w:val="21"/>
                <w:szCs w:val="21"/>
                <w:spacing w:val="-3"/>
              </w:rPr>
              <w:t>未披露。</w:t>
            </w:r>
          </w:p>
        </w:tc>
      </w:tr>
      <w:tr>
        <w:trPr>
          <w:trHeight w:val="1086" w:hRule="atLeast"/>
        </w:trPr>
        <w:tc>
          <w:tcPr>
            <w:tcW w:w="8055" w:type="dxa"/>
            <w:vAlign w:val="top"/>
            <w:gridSpan w:val="3"/>
          </w:tcPr>
          <w:p>
            <w:pPr>
              <w:ind w:left="105" w:right="100" w:firstLine="13"/>
              <w:spacing w:before="89"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中国证券监督管理委员会河南监管局决定对公司及董事长、总经理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王某清、财务总监王某、时任董秘宋某廷采取出具警示</w:t>
            </w:r>
            <w:r>
              <w:rPr>
                <w:rFonts w:ascii="Microsoft YaHei" w:hAnsi="Microsoft YaHei" w:eastAsia="Microsoft YaHei" w:cs="Microsoft YaHei"/>
                <w:sz w:val="21"/>
                <w:szCs w:val="21"/>
                <w:spacing w:val="1"/>
              </w:rPr>
              <w:t>函的行政监管措施，并记入证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券期货市场诚信档案。</w:t>
            </w:r>
          </w:p>
        </w:tc>
      </w:tr>
      <w:tr>
        <w:trPr>
          <w:trHeight w:val="1083" w:hRule="atLeast"/>
        </w:trPr>
        <w:tc>
          <w:tcPr>
            <w:shd w:val="clear" w:fill="B8CCE4"/>
            <w:tcW w:w="1214" w:type="dxa"/>
            <w:vAlign w:val="top"/>
          </w:tcPr>
          <w:p>
            <w:pPr>
              <w:spacing w:line="365" w:lineRule="auto"/>
              <w:rPr>
                <w:rFonts w:ascii="Arial"/>
                <w:sz w:val="21"/>
              </w:rPr>
            </w:pPr>
            <w:r/>
          </w:p>
          <w:p>
            <w:pPr>
              <w:ind w:left="117"/>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300614</w:t>
            </w:r>
          </w:p>
        </w:tc>
        <w:tc>
          <w:tcPr>
            <w:shd w:val="clear" w:fill="B8CCE4"/>
            <w:tcW w:w="1345" w:type="dxa"/>
            <w:vAlign w:val="top"/>
          </w:tcPr>
          <w:p>
            <w:pPr>
              <w:spacing w:line="357" w:lineRule="auto"/>
              <w:rPr>
                <w:rFonts w:ascii="Arial"/>
                <w:sz w:val="21"/>
              </w:rPr>
            </w:pPr>
            <w:r/>
          </w:p>
          <w:p>
            <w:pPr>
              <w:ind w:left="101"/>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百川畅银</w:t>
            </w:r>
          </w:p>
        </w:tc>
        <w:tc>
          <w:tcPr>
            <w:shd w:val="clear" w:fill="B8CCE4"/>
            <w:tcW w:w="5496" w:type="dxa"/>
            <w:vAlign w:val="top"/>
          </w:tcPr>
          <w:p>
            <w:pPr>
              <w:ind w:left="102" w:right="126" w:firstLine="11"/>
              <w:spacing w:before="91"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内幕信息知情人</w:t>
            </w:r>
            <w:r>
              <w:rPr>
                <w:rFonts w:ascii="Microsoft YaHei" w:hAnsi="Microsoft YaHei" w:eastAsia="Microsoft YaHei" w:cs="Microsoft YaHei"/>
                <w:sz w:val="21"/>
                <w:szCs w:val="21"/>
                <w:spacing w:val="-1"/>
              </w:rPr>
              <w:t>登记管理不到位；开立</w:t>
            </w:r>
            <w:r>
              <w:rPr>
                <w:rFonts w:ascii="Microsoft YaHei" w:hAnsi="Microsoft YaHei" w:eastAsia="Microsoft YaHei" w:cs="Microsoft YaHei"/>
                <w:sz w:val="21"/>
                <w:szCs w:val="21"/>
                <w:b/>
                <w:bCs/>
                <w:spacing w:val="-1"/>
              </w:rPr>
              <w:t>首发上市募集资金</w:t>
            </w:r>
            <w:r>
              <w:rPr>
                <w:rFonts w:ascii="Microsoft YaHei" w:hAnsi="Microsoft YaHei" w:eastAsia="Microsoft YaHei" w:cs="Microsoft YaHei"/>
                <w:sz w:val="21"/>
                <w:szCs w:val="21"/>
                <w:b/>
                <w:bCs/>
                <w:spacing w:val="14"/>
              </w:rPr>
              <w:t xml:space="preserve"> </w:t>
            </w:r>
            <w:r>
              <w:rPr>
                <w:rFonts w:ascii="Microsoft YaHei" w:hAnsi="Microsoft YaHei" w:eastAsia="Microsoft YaHei" w:cs="Microsoft YaHei"/>
                <w:sz w:val="21"/>
                <w:szCs w:val="21"/>
                <w:b/>
                <w:bCs/>
                <w:spacing w:val="-1"/>
              </w:rPr>
              <w:t>专项账户</w:t>
            </w:r>
            <w:r>
              <w:rPr>
                <w:rFonts w:ascii="Microsoft YaHei" w:hAnsi="Microsoft YaHei" w:eastAsia="Microsoft YaHei" w:cs="Microsoft YaHei"/>
                <w:sz w:val="21"/>
                <w:szCs w:val="21"/>
                <w:spacing w:val="-1"/>
              </w:rPr>
              <w:t>未履行审议程序；2022年</w:t>
            </w:r>
            <w:r>
              <w:rPr>
                <w:rFonts w:ascii="Microsoft YaHei" w:hAnsi="Microsoft YaHei" w:eastAsia="Microsoft YaHei" w:cs="Microsoft YaHei"/>
                <w:sz w:val="21"/>
                <w:szCs w:val="21"/>
                <w:b/>
                <w:bCs/>
                <w:spacing w:val="-1"/>
              </w:rPr>
              <w:t>资产减值损失计提</w:t>
            </w:r>
            <w:r>
              <w:rPr>
                <w:rFonts w:ascii="Microsoft YaHei" w:hAnsi="Microsoft YaHei" w:eastAsia="Microsoft YaHei" w:cs="Microsoft YaHei"/>
                <w:sz w:val="21"/>
                <w:szCs w:val="21"/>
                <w:spacing w:val="-1"/>
              </w:rPr>
              <w:t>不   </w:t>
            </w:r>
            <w:r>
              <w:rPr>
                <w:rFonts w:ascii="Microsoft YaHei" w:hAnsi="Microsoft YaHei" w:eastAsia="Microsoft YaHei" w:cs="Microsoft YaHei"/>
                <w:sz w:val="21"/>
                <w:szCs w:val="21"/>
                <w:spacing w:val="-10"/>
              </w:rPr>
              <w:t>准确。</w:t>
            </w:r>
          </w:p>
        </w:tc>
      </w:tr>
      <w:tr>
        <w:trPr>
          <w:trHeight w:val="1086" w:hRule="atLeast"/>
        </w:trPr>
        <w:tc>
          <w:tcPr>
            <w:tcW w:w="8055" w:type="dxa"/>
            <w:vAlign w:val="top"/>
            <w:gridSpan w:val="3"/>
          </w:tcPr>
          <w:p>
            <w:pPr>
              <w:ind w:left="105" w:right="102" w:firstLine="13"/>
              <w:spacing w:before="94"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【行政监管措施】</w:t>
            </w:r>
            <w:r>
              <w:rPr>
                <w:rFonts w:ascii="Microsoft YaHei" w:hAnsi="Microsoft YaHei" w:eastAsia="Microsoft YaHei" w:cs="Microsoft YaHei"/>
                <w:sz w:val="21"/>
                <w:szCs w:val="21"/>
              </w:rPr>
              <w:t>中国证券监督管理委员会河南监管局决定对公司及董事长陈某海、 </w:t>
            </w:r>
            <w:r>
              <w:rPr>
                <w:rFonts w:ascii="Microsoft YaHei" w:hAnsi="Microsoft YaHei" w:eastAsia="Microsoft YaHei" w:cs="Microsoft YaHei"/>
                <w:sz w:val="21"/>
                <w:szCs w:val="21"/>
              </w:rPr>
              <w:t>总经理张某、董事会秘书,财务总监韩某采取出具警示函的行政监管措施，并记入证券</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3"/>
              </w:rPr>
              <w:t>期货市场诚信档案。</w:t>
            </w:r>
          </w:p>
        </w:tc>
      </w:tr>
      <w:tr>
        <w:trPr>
          <w:trHeight w:val="1446" w:hRule="atLeast"/>
        </w:trPr>
        <w:tc>
          <w:tcPr>
            <w:shd w:val="clear" w:fill="B8CCE4"/>
            <w:tcW w:w="1214" w:type="dxa"/>
            <w:vAlign w:val="top"/>
          </w:tcPr>
          <w:p>
            <w:pPr>
              <w:spacing w:line="272" w:lineRule="auto"/>
              <w:rPr>
                <w:rFonts w:ascii="Arial"/>
                <w:sz w:val="21"/>
              </w:rPr>
            </w:pPr>
            <w:r/>
          </w:p>
          <w:p>
            <w:pPr>
              <w:spacing w:line="273" w:lineRule="auto"/>
              <w:rPr>
                <w:rFonts w:ascii="Arial"/>
                <w:sz w:val="21"/>
              </w:rPr>
            </w:pPr>
            <w:r/>
          </w:p>
          <w:p>
            <w:pPr>
              <w:ind w:left="11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688517</w:t>
            </w:r>
          </w:p>
        </w:tc>
        <w:tc>
          <w:tcPr>
            <w:shd w:val="clear" w:fill="B8CCE4"/>
            <w:tcW w:w="1345" w:type="dxa"/>
            <w:vAlign w:val="top"/>
          </w:tcPr>
          <w:p>
            <w:pPr>
              <w:spacing w:line="268" w:lineRule="auto"/>
              <w:rPr>
                <w:rFonts w:ascii="Arial"/>
                <w:sz w:val="21"/>
              </w:rPr>
            </w:pPr>
            <w:r/>
          </w:p>
          <w:p>
            <w:pPr>
              <w:spacing w:line="269" w:lineRule="auto"/>
              <w:rPr>
                <w:rFonts w:ascii="Arial"/>
                <w:sz w:val="21"/>
              </w:rPr>
            </w:pPr>
            <w:r/>
          </w:p>
          <w:p>
            <w:pPr>
              <w:ind w:left="97"/>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金冠电气</w:t>
            </w:r>
          </w:p>
        </w:tc>
        <w:tc>
          <w:tcPr>
            <w:shd w:val="clear" w:fill="B8CCE4"/>
            <w:tcW w:w="5496" w:type="dxa"/>
            <w:vAlign w:val="top"/>
          </w:tcPr>
          <w:p>
            <w:pPr>
              <w:ind w:left="99" w:right="98"/>
              <w:spacing w:before="90"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金冠电气股份有限公司与河南锦冠电力工程有限公司等关</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15"/>
              </w:rPr>
              <w:t>联方2022年度实际发生日常关联交易</w:t>
            </w:r>
            <w:r>
              <w:rPr>
                <w:rFonts w:ascii="Microsoft YaHei" w:hAnsi="Microsoft YaHei" w:eastAsia="Microsoft YaHei" w:cs="Microsoft YaHei"/>
                <w:sz w:val="21"/>
                <w:szCs w:val="21"/>
                <w:b/>
                <w:bCs/>
                <w:spacing w:val="15"/>
              </w:rPr>
              <w:t>超出年度预计金</w:t>
            </w:r>
            <w:r>
              <w:rPr>
                <w:rFonts w:ascii="Microsoft YaHei" w:hAnsi="Microsoft YaHei" w:eastAsia="Microsoft YaHei" w:cs="Microsoft YaHei"/>
                <w:sz w:val="21"/>
                <w:szCs w:val="21"/>
                <w:b/>
                <w:bCs/>
                <w:spacing w:val="4"/>
              </w:rPr>
              <w:t xml:space="preserve"> </w:t>
            </w:r>
            <w:r>
              <w:rPr>
                <w:rFonts w:ascii="Microsoft YaHei" w:hAnsi="Microsoft YaHei" w:eastAsia="Microsoft YaHei" w:cs="Microsoft YaHei"/>
                <w:sz w:val="21"/>
                <w:szCs w:val="21"/>
                <w:b/>
                <w:bCs/>
                <w:spacing w:val="1"/>
              </w:rPr>
              <w:t>额</w:t>
            </w:r>
            <w:r>
              <w:rPr>
                <w:rFonts w:ascii="Microsoft YaHei" w:hAnsi="Microsoft YaHei" w:eastAsia="Microsoft YaHei" w:cs="Microsoft YaHei"/>
                <w:sz w:val="21"/>
                <w:szCs w:val="21"/>
                <w:spacing w:val="1"/>
              </w:rPr>
              <w:t>。公司未对超出预计金额的关联交易履行股东大会审议</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rPr>
              <w:t>程序和信息披露义务。</w:t>
            </w:r>
          </w:p>
        </w:tc>
      </w:tr>
      <w:tr>
        <w:trPr>
          <w:trHeight w:val="1083" w:hRule="atLeast"/>
        </w:trPr>
        <w:tc>
          <w:tcPr>
            <w:tcW w:w="8055" w:type="dxa"/>
            <w:vAlign w:val="top"/>
            <w:gridSpan w:val="3"/>
          </w:tcPr>
          <w:p>
            <w:pPr>
              <w:ind w:left="105" w:right="102" w:firstLine="12"/>
              <w:spacing w:before="91"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【行政监管措施】</w:t>
            </w:r>
            <w:r>
              <w:rPr>
                <w:rFonts w:ascii="Microsoft YaHei" w:hAnsi="Microsoft YaHei" w:eastAsia="Microsoft YaHei" w:cs="Microsoft YaHei"/>
                <w:sz w:val="21"/>
                <w:szCs w:val="21"/>
              </w:rPr>
              <w:t>中国证券监督管理委员会河南监管局决定对公司及董事长,总</w:t>
            </w:r>
            <w:r>
              <w:rPr>
                <w:rFonts w:ascii="Microsoft YaHei" w:hAnsi="Microsoft YaHei" w:eastAsia="Microsoft YaHei" w:cs="Microsoft YaHei"/>
                <w:sz w:val="21"/>
                <w:szCs w:val="21"/>
                <w:spacing w:val="-1"/>
              </w:rPr>
              <w:t>经理樊</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某、董事会秘书,财务总监贾某采取出具警示函的行政监管措施，并记入证券期货市场</w:t>
            </w:r>
            <w:r>
              <w:rPr>
                <w:rFonts w:ascii="Microsoft YaHei" w:hAnsi="Microsoft YaHei" w:eastAsia="Microsoft YaHei" w:cs="Microsoft YaHei"/>
                <w:sz w:val="21"/>
                <w:szCs w:val="21"/>
                <w:spacing w:val="9"/>
              </w:rPr>
              <w:t xml:space="preserve"> </w:t>
            </w:r>
            <w:r>
              <w:rPr>
                <w:rFonts w:ascii="Microsoft YaHei" w:hAnsi="Microsoft YaHei" w:eastAsia="Microsoft YaHei" w:cs="Microsoft YaHei"/>
                <w:sz w:val="21"/>
                <w:szCs w:val="21"/>
                <w:spacing w:val="-5"/>
              </w:rPr>
              <w:t>诚信档案。</w:t>
            </w:r>
          </w:p>
        </w:tc>
      </w:tr>
      <w:tr>
        <w:trPr>
          <w:trHeight w:val="726" w:hRule="atLeast"/>
        </w:trPr>
        <w:tc>
          <w:tcPr>
            <w:shd w:val="clear" w:fill="B8CCE4"/>
            <w:tcW w:w="1214" w:type="dxa"/>
            <w:vAlign w:val="top"/>
          </w:tcPr>
          <w:p>
            <w:pPr>
              <w:ind w:left="111"/>
              <w:spacing w:before="28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002269</w:t>
            </w:r>
          </w:p>
        </w:tc>
        <w:tc>
          <w:tcPr>
            <w:shd w:val="clear" w:fill="B8CCE4"/>
            <w:tcW w:w="1345" w:type="dxa"/>
            <w:vAlign w:val="top"/>
          </w:tcPr>
          <w:p>
            <w:pPr>
              <w:ind w:left="99"/>
              <w:spacing w:before="276"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美邦服饰</w:t>
            </w:r>
          </w:p>
        </w:tc>
        <w:tc>
          <w:tcPr>
            <w:shd w:val="clear" w:fill="B8CCE4"/>
            <w:tcW w:w="5496" w:type="dxa"/>
            <w:vAlign w:val="top"/>
          </w:tcPr>
          <w:p>
            <w:pPr>
              <w:ind w:left="100" w:right="101"/>
              <w:spacing w:before="94"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0"/>
              </w:rPr>
              <w:t>公司</w:t>
            </w:r>
            <w:r>
              <w:rPr>
                <w:rFonts w:ascii="Microsoft YaHei" w:hAnsi="Microsoft YaHei" w:eastAsia="Microsoft YaHei" w:cs="Microsoft YaHei"/>
                <w:sz w:val="21"/>
                <w:szCs w:val="21"/>
                <w:b/>
                <w:bCs/>
                <w:spacing w:val="10"/>
              </w:rPr>
              <w:t>对外提供财务资助</w:t>
            </w:r>
            <w:r>
              <w:rPr>
                <w:rFonts w:ascii="Microsoft YaHei" w:hAnsi="Microsoft YaHei" w:eastAsia="Microsoft YaHei" w:cs="Microsoft YaHei"/>
                <w:sz w:val="21"/>
                <w:szCs w:val="21"/>
                <w:spacing w:val="10"/>
              </w:rPr>
              <w:t>的行为未履行审议程序并</w:t>
            </w:r>
            <w:r>
              <w:rPr>
                <w:rFonts w:ascii="Microsoft YaHei" w:hAnsi="Microsoft YaHei" w:eastAsia="Microsoft YaHei" w:cs="Microsoft YaHei"/>
                <w:sz w:val="21"/>
                <w:szCs w:val="21"/>
                <w:spacing w:val="9"/>
              </w:rPr>
              <w:t>及时披</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露。</w:t>
            </w:r>
          </w:p>
        </w:tc>
      </w:tr>
      <w:tr>
        <w:trPr>
          <w:trHeight w:val="723" w:hRule="atLeast"/>
        </w:trPr>
        <w:tc>
          <w:tcPr>
            <w:tcW w:w="8055" w:type="dxa"/>
            <w:vAlign w:val="top"/>
            <w:gridSpan w:val="3"/>
          </w:tcPr>
          <w:p>
            <w:pPr>
              <w:ind w:left="104" w:right="108" w:firstLine="14"/>
              <w:spacing w:before="94"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6"/>
              </w:rPr>
              <w:t>【行政监管措施】</w:t>
            </w:r>
            <w:r>
              <w:rPr>
                <w:rFonts w:ascii="Microsoft YaHei" w:hAnsi="Microsoft YaHei" w:eastAsia="Microsoft YaHei" w:cs="Microsoft YaHei"/>
                <w:sz w:val="21"/>
                <w:szCs w:val="21"/>
                <w:b/>
                <w:bCs/>
                <w:spacing w:val="-28"/>
              </w:rPr>
              <w:t xml:space="preserve"> </w:t>
            </w:r>
            <w:r>
              <w:rPr>
                <w:rFonts w:ascii="Microsoft YaHei" w:hAnsi="Microsoft YaHei" w:eastAsia="Microsoft YaHei" w:cs="Microsoft YaHei"/>
                <w:sz w:val="21"/>
                <w:szCs w:val="21"/>
                <w:spacing w:val="6"/>
              </w:rPr>
              <w:t>上海证监局对董事长、高管胡某佳采取出具警示函的行政监管措</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施。</w:t>
            </w:r>
          </w:p>
        </w:tc>
      </w:tr>
      <w:tr>
        <w:trPr>
          <w:trHeight w:val="726" w:hRule="atLeast"/>
        </w:trPr>
        <w:tc>
          <w:tcPr>
            <w:shd w:val="clear" w:fill="B8CCE4"/>
            <w:tcW w:w="1214" w:type="dxa"/>
            <w:vAlign w:val="top"/>
          </w:tcPr>
          <w:p>
            <w:pPr>
              <w:ind w:left="111"/>
              <w:spacing w:before="287"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002269</w:t>
            </w:r>
          </w:p>
        </w:tc>
        <w:tc>
          <w:tcPr>
            <w:shd w:val="clear" w:fill="B8CCE4"/>
            <w:tcW w:w="1345" w:type="dxa"/>
            <w:vAlign w:val="top"/>
          </w:tcPr>
          <w:p>
            <w:pPr>
              <w:ind w:left="99"/>
              <w:spacing w:before="278"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美邦服饰</w:t>
            </w:r>
          </w:p>
        </w:tc>
        <w:tc>
          <w:tcPr>
            <w:shd w:val="clear" w:fill="B8CCE4"/>
            <w:tcW w:w="5496" w:type="dxa"/>
            <w:vAlign w:val="top"/>
          </w:tcPr>
          <w:p>
            <w:pPr>
              <w:ind w:left="100" w:right="101"/>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0"/>
              </w:rPr>
              <w:t>公司</w:t>
            </w:r>
            <w:r>
              <w:rPr>
                <w:rFonts w:ascii="Microsoft YaHei" w:hAnsi="Microsoft YaHei" w:eastAsia="Microsoft YaHei" w:cs="Microsoft YaHei"/>
                <w:sz w:val="21"/>
                <w:szCs w:val="21"/>
                <w:b/>
                <w:bCs/>
                <w:spacing w:val="10"/>
              </w:rPr>
              <w:t>对外提供财务资助</w:t>
            </w:r>
            <w:r>
              <w:rPr>
                <w:rFonts w:ascii="Microsoft YaHei" w:hAnsi="Microsoft YaHei" w:eastAsia="Microsoft YaHei" w:cs="Microsoft YaHei"/>
                <w:sz w:val="21"/>
                <w:szCs w:val="21"/>
                <w:spacing w:val="10"/>
              </w:rPr>
              <w:t>的行为未履行审议程序并</w:t>
            </w:r>
            <w:r>
              <w:rPr>
                <w:rFonts w:ascii="Microsoft YaHei" w:hAnsi="Microsoft YaHei" w:eastAsia="Microsoft YaHei" w:cs="Microsoft YaHei"/>
                <w:sz w:val="21"/>
                <w:szCs w:val="21"/>
                <w:spacing w:val="9"/>
              </w:rPr>
              <w:t>及时披</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露。</w:t>
            </w:r>
          </w:p>
        </w:tc>
      </w:tr>
      <w:tr>
        <w:trPr>
          <w:trHeight w:val="724" w:hRule="atLeast"/>
        </w:trPr>
        <w:tc>
          <w:tcPr>
            <w:tcW w:w="8055" w:type="dxa"/>
            <w:vAlign w:val="top"/>
            <w:gridSpan w:val="3"/>
          </w:tcPr>
          <w:p>
            <w:pPr>
              <w:ind w:left="105" w:right="100" w:firstLine="12"/>
              <w:spacing w:before="95"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上海证监局对上海美邦服饰股份有限公司采取出具警示函的行政监</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管措施。</w:t>
            </w:r>
          </w:p>
        </w:tc>
      </w:tr>
      <w:tr>
        <w:trPr>
          <w:trHeight w:val="1086" w:hRule="atLeast"/>
        </w:trPr>
        <w:tc>
          <w:tcPr>
            <w:shd w:val="clear" w:fill="B8CCE4"/>
            <w:tcW w:w="1214" w:type="dxa"/>
            <w:vAlign w:val="top"/>
          </w:tcPr>
          <w:p>
            <w:pPr>
              <w:spacing w:line="374" w:lineRule="auto"/>
              <w:rPr>
                <w:rFonts w:ascii="Arial"/>
                <w:sz w:val="21"/>
              </w:rPr>
            </w:pPr>
            <w:r/>
          </w:p>
          <w:p>
            <w:pPr>
              <w:ind w:left="11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601059</w:t>
            </w:r>
          </w:p>
        </w:tc>
        <w:tc>
          <w:tcPr>
            <w:shd w:val="clear" w:fill="B8CCE4"/>
            <w:tcW w:w="1345" w:type="dxa"/>
            <w:vAlign w:val="top"/>
          </w:tcPr>
          <w:p>
            <w:pPr>
              <w:spacing w:line="367" w:lineRule="auto"/>
              <w:rPr>
                <w:rFonts w:ascii="Arial"/>
                <w:sz w:val="21"/>
              </w:rPr>
            </w:pPr>
            <w:r/>
          </w:p>
          <w:p>
            <w:pPr>
              <w:ind w:left="98"/>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信达证券</w:t>
            </w:r>
          </w:p>
        </w:tc>
        <w:tc>
          <w:tcPr>
            <w:shd w:val="clear" w:fill="B8CCE4"/>
            <w:tcW w:w="5496" w:type="dxa"/>
            <w:vAlign w:val="top"/>
          </w:tcPr>
          <w:p>
            <w:pPr>
              <w:ind w:left="100" w:right="98"/>
              <w:spacing w:before="98"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信达证券股份有限公司天津分公司存在信息公示不准确、</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0"/>
              </w:rPr>
              <w:t>经纪人管理不到位、从事技术工作的人员进行营销等问</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题，反映出分公司内部控制不完善、合规管理不到位。</w:t>
            </w:r>
          </w:p>
        </w:tc>
      </w:tr>
      <w:tr>
        <w:trPr>
          <w:trHeight w:val="724" w:hRule="atLeast"/>
        </w:trPr>
        <w:tc>
          <w:tcPr>
            <w:tcW w:w="8055" w:type="dxa"/>
            <w:vAlign w:val="top"/>
            <w:gridSpan w:val="3"/>
          </w:tcPr>
          <w:p>
            <w:pPr>
              <w:ind w:left="105" w:right="100" w:firstLine="13"/>
              <w:spacing w:before="98"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中国证券监督管理委员会天津监管局决定对分公司负责人陈某洁采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取出具警示函的监督管理措施。</w:t>
            </w:r>
          </w:p>
        </w:tc>
      </w:tr>
      <w:tr>
        <w:trPr>
          <w:trHeight w:val="1086" w:hRule="atLeast"/>
        </w:trPr>
        <w:tc>
          <w:tcPr>
            <w:shd w:val="clear" w:fill="B8CCE4"/>
            <w:tcW w:w="1214" w:type="dxa"/>
            <w:vAlign w:val="top"/>
          </w:tcPr>
          <w:p>
            <w:pPr>
              <w:spacing w:line="375" w:lineRule="auto"/>
              <w:rPr>
                <w:rFonts w:ascii="Arial"/>
                <w:sz w:val="21"/>
              </w:rPr>
            </w:pPr>
            <w:r/>
          </w:p>
          <w:p>
            <w:pPr>
              <w:ind w:left="11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601059</w:t>
            </w:r>
          </w:p>
        </w:tc>
        <w:tc>
          <w:tcPr>
            <w:shd w:val="clear" w:fill="B8CCE4"/>
            <w:tcW w:w="1345" w:type="dxa"/>
            <w:vAlign w:val="top"/>
          </w:tcPr>
          <w:p>
            <w:pPr>
              <w:spacing w:line="367" w:lineRule="auto"/>
              <w:rPr>
                <w:rFonts w:ascii="Arial"/>
                <w:sz w:val="21"/>
              </w:rPr>
            </w:pPr>
            <w:r/>
          </w:p>
          <w:p>
            <w:pPr>
              <w:ind w:left="98"/>
              <w:spacing w:before="91"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信达证券</w:t>
            </w:r>
          </w:p>
        </w:tc>
        <w:tc>
          <w:tcPr>
            <w:shd w:val="clear" w:fill="B8CCE4"/>
            <w:tcW w:w="5496" w:type="dxa"/>
            <w:vAlign w:val="top"/>
          </w:tcPr>
          <w:p>
            <w:pPr>
              <w:ind w:left="100" w:right="98"/>
              <w:spacing w:before="98"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信达证券股份有限公司天津分公司存在信息公示不准确、</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0"/>
              </w:rPr>
              <w:t>经纪人管理不到位、从事技术工作的人员进行营销等问</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题，反映出分公司内部控制不完善、合规管理不到位。</w:t>
            </w:r>
          </w:p>
        </w:tc>
      </w:tr>
      <w:tr>
        <w:trPr>
          <w:trHeight w:val="724" w:hRule="atLeast"/>
        </w:trPr>
        <w:tc>
          <w:tcPr>
            <w:tcW w:w="8055" w:type="dxa"/>
            <w:vAlign w:val="top"/>
            <w:gridSpan w:val="3"/>
          </w:tcPr>
          <w:p>
            <w:pPr>
              <w:ind w:left="105" w:right="100" w:firstLine="13"/>
              <w:spacing w:before="98"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中国证券监督管理委员会天津监管局决定对信达证券股份有限公司</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天津分公司采取出具警示函的监督管理措施。</w:t>
            </w:r>
          </w:p>
        </w:tc>
      </w:tr>
      <w:tr>
        <w:trPr>
          <w:trHeight w:val="366" w:hRule="atLeast"/>
        </w:trPr>
        <w:tc>
          <w:tcPr>
            <w:shd w:val="clear" w:fill="B8CCE4"/>
            <w:tcW w:w="1214" w:type="dxa"/>
            <w:vAlign w:val="top"/>
          </w:tcPr>
          <w:p>
            <w:pPr>
              <w:ind w:left="111"/>
              <w:spacing w:before="109" w:line="16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002681</w:t>
            </w:r>
          </w:p>
        </w:tc>
        <w:tc>
          <w:tcPr>
            <w:shd w:val="clear" w:fill="B8CCE4"/>
            <w:tcW w:w="1345" w:type="dxa"/>
            <w:vAlign w:val="top"/>
          </w:tcPr>
          <w:p>
            <w:pPr>
              <w:ind w:left="97"/>
              <w:spacing w:before="100"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奋达科技</w:t>
            </w:r>
          </w:p>
        </w:tc>
        <w:tc>
          <w:tcPr>
            <w:shd w:val="clear" w:fill="B8CCE4"/>
            <w:tcW w:w="5496" w:type="dxa"/>
            <w:vAlign w:val="top"/>
          </w:tcPr>
          <w:p>
            <w:pPr>
              <w:ind w:left="100"/>
              <w:spacing w:before="100" w:line="17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信息披露、财务会计核算</w:t>
            </w:r>
            <w:r>
              <w:rPr>
                <w:rFonts w:ascii="Microsoft YaHei" w:hAnsi="Microsoft YaHei" w:eastAsia="Microsoft YaHei" w:cs="Microsoft YaHei"/>
                <w:sz w:val="21"/>
                <w:szCs w:val="21"/>
                <w:spacing w:val="-1"/>
              </w:rPr>
              <w:t>等方面存在不规范问题。</w:t>
            </w:r>
          </w:p>
        </w:tc>
      </w:tr>
      <w:tr>
        <w:trPr>
          <w:trHeight w:val="723" w:hRule="atLeast"/>
        </w:trPr>
        <w:tc>
          <w:tcPr>
            <w:tcW w:w="8055" w:type="dxa"/>
            <w:vAlign w:val="top"/>
            <w:gridSpan w:val="3"/>
          </w:tcPr>
          <w:p>
            <w:pPr>
              <w:ind w:left="106" w:right="100" w:firstLine="12"/>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中国证券监督管理委员会深圳监管局决定对董事长肖某、总经理谢</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某平、财务总监肖某、董事会秘书周某清分别采取出具警示函的行政监管措施。</w:t>
            </w:r>
          </w:p>
        </w:tc>
      </w:tr>
      <w:tr>
        <w:trPr>
          <w:trHeight w:val="366" w:hRule="atLeast"/>
        </w:trPr>
        <w:tc>
          <w:tcPr>
            <w:shd w:val="clear" w:fill="B8CCE4"/>
            <w:tcW w:w="1214" w:type="dxa"/>
            <w:vAlign w:val="top"/>
          </w:tcPr>
          <w:p>
            <w:pPr>
              <w:ind w:left="114"/>
              <w:spacing w:before="111" w:line="16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688589</w:t>
            </w:r>
          </w:p>
        </w:tc>
        <w:tc>
          <w:tcPr>
            <w:shd w:val="clear" w:fill="B8CCE4"/>
            <w:tcW w:w="1345" w:type="dxa"/>
            <w:vAlign w:val="top"/>
          </w:tcPr>
          <w:p>
            <w:pPr>
              <w:ind w:left="100"/>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力合微</w:t>
            </w:r>
          </w:p>
        </w:tc>
        <w:tc>
          <w:tcPr>
            <w:shd w:val="clear" w:fill="B8CCE4"/>
            <w:tcW w:w="5496" w:type="dxa"/>
            <w:vAlign w:val="top"/>
          </w:tcPr>
          <w:p>
            <w:pPr>
              <w:ind w:left="101"/>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高管配偶</w:t>
            </w:r>
            <w:r>
              <w:rPr>
                <w:rFonts w:ascii="Microsoft YaHei" w:hAnsi="Microsoft YaHei" w:eastAsia="Microsoft YaHei" w:cs="Microsoft YaHei"/>
                <w:sz w:val="21"/>
                <w:szCs w:val="21"/>
                <w:b/>
                <w:bCs/>
                <w:spacing w:val="-1"/>
              </w:rPr>
              <w:t>短线交易可转债。</w:t>
            </w:r>
          </w:p>
        </w:tc>
      </w:tr>
      <w:tr>
        <w:trPr>
          <w:trHeight w:val="735" w:hRule="atLeast"/>
        </w:trPr>
        <w:tc>
          <w:tcPr>
            <w:tcW w:w="8055" w:type="dxa"/>
            <w:vAlign w:val="top"/>
            <w:gridSpan w:val="3"/>
          </w:tcPr>
          <w:p>
            <w:pPr>
              <w:ind w:left="106" w:right="100" w:firstLine="11"/>
              <w:spacing w:before="100"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中国证券监督管理委员会深圳监管局决定对高管采取出具警示函的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监管措施。</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1813" w:hRule="atLeast"/>
        </w:trPr>
        <w:tc>
          <w:tcPr>
            <w:shd w:val="clear" w:fill="B8CCE4"/>
            <w:tcW w:w="1214" w:type="dxa"/>
            <w:vAlign w:val="top"/>
            <w:tcBorders>
              <w:top w:val="single" w:color="4F81BD" w:sz="2" w:space="0"/>
            </w:tcBorders>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ind w:left="11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601801</w:t>
            </w:r>
          </w:p>
        </w:tc>
        <w:tc>
          <w:tcPr>
            <w:shd w:val="clear" w:fill="B8CCE4"/>
            <w:tcW w:w="1345" w:type="dxa"/>
            <w:vAlign w:val="top"/>
            <w:tcBorders>
              <w:top w:val="single" w:color="4F81BD" w:sz="2" w:space="0"/>
            </w:tcBorders>
          </w:tcPr>
          <w:p>
            <w:pPr>
              <w:rPr>
                <w:rFonts w:ascii="Arial"/>
                <w:sz w:val="21"/>
              </w:rPr>
            </w:pPr>
            <w:r/>
          </w:p>
          <w:p>
            <w:pPr>
              <w:spacing w:line="241" w:lineRule="auto"/>
              <w:rPr>
                <w:rFonts w:ascii="Arial"/>
                <w:sz w:val="21"/>
              </w:rPr>
            </w:pPr>
            <w:r/>
          </w:p>
          <w:p>
            <w:pPr>
              <w:spacing w:line="241" w:lineRule="auto"/>
              <w:rPr>
                <w:rFonts w:ascii="Arial"/>
                <w:sz w:val="21"/>
              </w:rPr>
            </w:pPr>
            <w:r/>
          </w:p>
          <w:p>
            <w:pPr>
              <w:ind w:left="106"/>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皖新传媒</w:t>
            </w:r>
          </w:p>
        </w:tc>
        <w:tc>
          <w:tcPr>
            <w:shd w:val="clear" w:fill="B8CCE4"/>
            <w:tcW w:w="5496" w:type="dxa"/>
            <w:vAlign w:val="top"/>
            <w:tcBorders>
              <w:top w:val="single" w:color="4F81BD" w:sz="2" w:space="0"/>
            </w:tcBorders>
          </w:tcPr>
          <w:p>
            <w:pPr>
              <w:ind w:left="100" w:right="97" w:firstLine="1"/>
              <w:spacing w:before="99" w:line="22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安徽新华传媒股份有限公司与部分客户开展的相关业务，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b/>
                <w:bCs/>
                <w:spacing w:val="7"/>
              </w:rPr>
              <w:t>收入确认不符合企业会计准则规定,</w:t>
            </w:r>
            <w:r>
              <w:rPr>
                <w:rFonts w:ascii="Microsoft YaHei" w:hAnsi="Microsoft YaHei" w:eastAsia="Microsoft YaHei" w:cs="Microsoft YaHei"/>
                <w:sz w:val="21"/>
                <w:szCs w:val="21"/>
                <w:spacing w:val="7"/>
              </w:rPr>
              <w:t>导致安徽新华传媒股</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3"/>
              </w:rPr>
              <w:t>份有限公司2020年年度财务报告虚增营</w:t>
            </w:r>
            <w:r>
              <w:rPr>
                <w:rFonts w:ascii="Microsoft YaHei" w:hAnsi="Microsoft YaHei" w:eastAsia="Microsoft YaHei" w:cs="Microsoft YaHei"/>
                <w:sz w:val="21"/>
                <w:szCs w:val="21"/>
                <w:spacing w:val="2"/>
              </w:rPr>
              <w:t>业收入，</w:t>
            </w:r>
            <w:r>
              <w:rPr>
                <w:rFonts w:ascii="Microsoft YaHei" w:hAnsi="Microsoft YaHei" w:eastAsia="Microsoft YaHei" w:cs="Microsoft YaHei"/>
                <w:sz w:val="21"/>
                <w:szCs w:val="21"/>
                <w:spacing w:val="-41"/>
              </w:rPr>
              <w:t xml:space="preserve"> </w:t>
            </w:r>
            <w:r>
              <w:rPr>
                <w:rFonts w:ascii="Microsoft YaHei" w:hAnsi="Microsoft YaHei" w:eastAsia="Microsoft YaHei" w:cs="Microsoft YaHei"/>
                <w:sz w:val="21"/>
                <w:szCs w:val="21"/>
                <w:spacing w:val="2"/>
              </w:rPr>
              <w:t>2021年</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年度财务报告虚增营业收入。安徽新华传媒股份有限公司</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
              </w:rPr>
              <w:t>还存在内控制度不完善、财务管理不规范等问题。</w:t>
            </w:r>
          </w:p>
        </w:tc>
      </w:tr>
      <w:tr>
        <w:trPr>
          <w:trHeight w:val="726" w:hRule="atLeast"/>
        </w:trPr>
        <w:tc>
          <w:tcPr>
            <w:tcW w:w="8055" w:type="dxa"/>
            <w:vAlign w:val="top"/>
            <w:gridSpan w:val="3"/>
          </w:tcPr>
          <w:p>
            <w:pPr>
              <w:ind w:left="105" w:right="100" w:firstLine="12"/>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安徽证监局对安徽新华传媒股份有限公司采取出具警示函的行政监</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管措施,并将相关违规行为记入诚信档案。</w:t>
            </w:r>
          </w:p>
        </w:tc>
      </w:tr>
      <w:tr>
        <w:trPr>
          <w:trHeight w:val="723" w:hRule="atLeast"/>
        </w:trPr>
        <w:tc>
          <w:tcPr>
            <w:shd w:val="clear" w:fill="B8CCE4"/>
            <w:tcW w:w="1214" w:type="dxa"/>
            <w:vAlign w:val="top"/>
          </w:tcPr>
          <w:p>
            <w:pPr>
              <w:ind w:left="117"/>
              <w:spacing w:before="277"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301321</w:t>
            </w:r>
          </w:p>
        </w:tc>
        <w:tc>
          <w:tcPr>
            <w:shd w:val="clear" w:fill="B8CCE4"/>
            <w:tcW w:w="1345" w:type="dxa"/>
            <w:vAlign w:val="top"/>
          </w:tcPr>
          <w:p>
            <w:pPr>
              <w:ind w:left="101"/>
              <w:spacing w:before="268"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翰博高新</w:t>
            </w:r>
          </w:p>
        </w:tc>
        <w:tc>
          <w:tcPr>
            <w:shd w:val="clear" w:fill="B8CCE4"/>
            <w:tcW w:w="5496" w:type="dxa"/>
            <w:vAlign w:val="top"/>
          </w:tcPr>
          <w:p>
            <w:pPr>
              <w:ind w:left="102" w:right="100" w:firstLine="7"/>
              <w:spacing w:before="8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1"/>
              </w:rPr>
              <w:t>2022年度业绩预告与2022年年度报告信息存在</w:t>
            </w:r>
            <w:r>
              <w:rPr>
                <w:rFonts w:ascii="Microsoft YaHei" w:hAnsi="Microsoft YaHei" w:eastAsia="Microsoft YaHei" w:cs="Microsoft YaHei"/>
                <w:sz w:val="21"/>
                <w:szCs w:val="21"/>
                <w:spacing w:val="10"/>
              </w:rPr>
              <w:t>较大差</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异， </w:t>
            </w:r>
            <w:r>
              <w:rPr>
                <w:rFonts w:ascii="Microsoft YaHei" w:hAnsi="Microsoft YaHei" w:eastAsia="Microsoft YaHei" w:cs="Microsoft YaHei"/>
                <w:sz w:val="21"/>
                <w:szCs w:val="21"/>
                <w:b/>
                <w:bCs/>
                <w:spacing w:val="-6"/>
              </w:rPr>
              <w:t>信息披露不准确。</w:t>
            </w:r>
          </w:p>
        </w:tc>
      </w:tr>
      <w:tr>
        <w:trPr>
          <w:trHeight w:val="1086" w:hRule="atLeast"/>
        </w:trPr>
        <w:tc>
          <w:tcPr>
            <w:tcW w:w="8055" w:type="dxa"/>
            <w:vAlign w:val="top"/>
            <w:gridSpan w:val="3"/>
          </w:tcPr>
          <w:p>
            <w:pPr>
              <w:ind w:left="104" w:right="101" w:firstLine="13"/>
              <w:spacing w:before="94"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2"/>
              </w:rPr>
              <w:t>【行政监管措施】</w:t>
            </w:r>
            <w:r>
              <w:rPr>
                <w:rFonts w:ascii="Microsoft YaHei" w:hAnsi="Microsoft YaHei" w:eastAsia="Microsoft YaHei" w:cs="Microsoft YaHei"/>
                <w:sz w:val="21"/>
                <w:szCs w:val="21"/>
                <w:b/>
                <w:bCs/>
                <w:spacing w:val="19"/>
              </w:rPr>
              <w:t xml:space="preserve"> </w:t>
            </w:r>
            <w:r>
              <w:rPr>
                <w:rFonts w:ascii="Microsoft YaHei" w:hAnsi="Microsoft YaHei" w:eastAsia="Microsoft YaHei" w:cs="Microsoft YaHei"/>
                <w:sz w:val="21"/>
                <w:szCs w:val="21"/>
                <w:spacing w:val="-2"/>
              </w:rPr>
              <w:t>中国证券监督管理委员会安徽监管局决定对翰博高新材料（合肥） </w:t>
            </w:r>
            <w:r>
              <w:rPr>
                <w:rFonts w:ascii="Microsoft YaHei" w:hAnsi="Microsoft YaHei" w:eastAsia="Microsoft YaHei" w:cs="Microsoft YaHei"/>
                <w:sz w:val="21"/>
                <w:szCs w:val="21"/>
                <w:spacing w:val="2"/>
              </w:rPr>
              <w:t>股份有限公司及财务总监李某萍采取出具警示函的行政监</w:t>
            </w:r>
            <w:r>
              <w:rPr>
                <w:rFonts w:ascii="Microsoft YaHei" w:hAnsi="Microsoft YaHei" w:eastAsia="Microsoft YaHei" w:cs="Microsoft YaHei"/>
                <w:sz w:val="21"/>
                <w:szCs w:val="21"/>
                <w:spacing w:val="1"/>
              </w:rPr>
              <w:t>管措施并记入证券期货市场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4"/>
              </w:rPr>
              <w:t>诚信档案。</w:t>
            </w:r>
          </w:p>
        </w:tc>
      </w:tr>
      <w:tr>
        <w:trPr>
          <w:trHeight w:val="1805" w:hRule="atLeast"/>
        </w:trPr>
        <w:tc>
          <w:tcPr>
            <w:shd w:val="clear" w:fill="B8CCE4"/>
            <w:tcW w:w="1214"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ind w:left="11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601801</w:t>
            </w:r>
          </w:p>
        </w:tc>
        <w:tc>
          <w:tcPr>
            <w:shd w:val="clear" w:fill="B8CCE4"/>
            <w:tcW w:w="1345" w:type="dxa"/>
            <w:vAlign w:val="top"/>
          </w:tcPr>
          <w:p>
            <w:pPr>
              <w:spacing w:line="358" w:lineRule="auto"/>
              <w:rPr>
                <w:rFonts w:ascii="Arial"/>
                <w:sz w:val="21"/>
              </w:rPr>
            </w:pPr>
            <w:r/>
          </w:p>
          <w:p>
            <w:pPr>
              <w:spacing w:line="359" w:lineRule="auto"/>
              <w:rPr>
                <w:rFonts w:ascii="Arial"/>
                <w:sz w:val="21"/>
              </w:rPr>
            </w:pPr>
            <w:r/>
          </w:p>
          <w:p>
            <w:pPr>
              <w:ind w:left="106"/>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皖新传媒</w:t>
            </w:r>
          </w:p>
        </w:tc>
        <w:tc>
          <w:tcPr>
            <w:shd w:val="clear" w:fill="B8CCE4"/>
            <w:tcW w:w="5496" w:type="dxa"/>
            <w:vAlign w:val="top"/>
          </w:tcPr>
          <w:p>
            <w:pPr>
              <w:ind w:left="100" w:right="126" w:firstLine="1"/>
              <w:spacing w:before="91" w:line="22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安徽新华传媒股份有限公司与部分客户开展的相关业务，</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b/>
                <w:bCs/>
                <w:spacing w:val="-1"/>
              </w:rPr>
              <w:t>收入确认不符合企业会计准则规定,</w:t>
            </w:r>
            <w:r>
              <w:rPr>
                <w:rFonts w:ascii="Microsoft YaHei" w:hAnsi="Microsoft YaHei" w:eastAsia="Microsoft YaHei" w:cs="Microsoft YaHei"/>
                <w:sz w:val="21"/>
                <w:szCs w:val="21"/>
                <w:spacing w:val="-1"/>
              </w:rPr>
              <w:t>导致安徽新华传媒股   </w:t>
            </w:r>
            <w:r>
              <w:rPr>
                <w:rFonts w:ascii="Microsoft YaHei" w:hAnsi="Microsoft YaHei" w:eastAsia="Microsoft YaHei" w:cs="Microsoft YaHei"/>
                <w:sz w:val="21"/>
                <w:szCs w:val="21"/>
              </w:rPr>
              <w:t>份有限公司2020年年度财务报告虚增营业收入，2021年  </w:t>
            </w:r>
            <w:r>
              <w:rPr>
                <w:rFonts w:ascii="Microsoft YaHei" w:hAnsi="Microsoft YaHei" w:eastAsia="Microsoft YaHei" w:cs="Microsoft YaHei"/>
                <w:sz w:val="21"/>
                <w:szCs w:val="21"/>
              </w:rPr>
              <w:t>年度财务报告虚增营业收入。安徽新华传媒股份有限公司</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
              </w:rPr>
              <w:t>还存在内控制度不完善、财务管理不规范等问题。</w:t>
            </w:r>
          </w:p>
        </w:tc>
      </w:tr>
      <w:tr>
        <w:trPr>
          <w:trHeight w:val="723" w:hRule="atLeast"/>
        </w:trPr>
        <w:tc>
          <w:tcPr>
            <w:tcW w:w="8055" w:type="dxa"/>
            <w:vAlign w:val="top"/>
            <w:gridSpan w:val="3"/>
          </w:tcPr>
          <w:p>
            <w:pPr>
              <w:ind w:left="106" w:right="99" w:firstLine="11"/>
              <w:spacing w:before="94"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rPr>
              <w:t>【行政监管措施】</w:t>
            </w:r>
            <w:r>
              <w:rPr>
                <w:rFonts w:ascii="Microsoft YaHei" w:hAnsi="Microsoft YaHei" w:eastAsia="Microsoft YaHei" w:cs="Microsoft YaHei"/>
                <w:sz w:val="21"/>
                <w:szCs w:val="21"/>
              </w:rPr>
              <w:t>安徽证监局对时任高管邓某采取出具警示函的行政监管措施,并将相 </w:t>
            </w:r>
            <w:r>
              <w:rPr>
                <w:rFonts w:ascii="Microsoft YaHei" w:hAnsi="Microsoft YaHei" w:eastAsia="Microsoft YaHei" w:cs="Microsoft YaHei"/>
                <w:sz w:val="21"/>
                <w:szCs w:val="21"/>
                <w:spacing w:val="-1"/>
              </w:rPr>
              <w:t>关违规行为记入诚信档案。</w:t>
            </w:r>
          </w:p>
        </w:tc>
      </w:tr>
      <w:tr>
        <w:trPr>
          <w:trHeight w:val="1445" w:hRule="atLeast"/>
        </w:trPr>
        <w:tc>
          <w:tcPr>
            <w:shd w:val="clear" w:fill="B8CCE4"/>
            <w:tcW w:w="1214" w:type="dxa"/>
            <w:vAlign w:val="top"/>
          </w:tcPr>
          <w:p>
            <w:pPr>
              <w:spacing w:line="276" w:lineRule="auto"/>
              <w:rPr>
                <w:rFonts w:ascii="Arial"/>
                <w:sz w:val="21"/>
              </w:rPr>
            </w:pPr>
            <w:r/>
          </w:p>
          <w:p>
            <w:pPr>
              <w:spacing w:line="276" w:lineRule="auto"/>
              <w:rPr>
                <w:rFonts w:ascii="Arial"/>
                <w:sz w:val="21"/>
              </w:rPr>
            </w:pPr>
            <w:r/>
          </w:p>
          <w:p>
            <w:pPr>
              <w:ind w:left="114"/>
              <w:spacing w:before="9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600052</w:t>
            </w:r>
          </w:p>
        </w:tc>
        <w:tc>
          <w:tcPr>
            <w:shd w:val="clear" w:fill="B8CCE4"/>
            <w:tcW w:w="1345" w:type="dxa"/>
            <w:vAlign w:val="top"/>
          </w:tcPr>
          <w:p>
            <w:pPr>
              <w:spacing w:line="271" w:lineRule="auto"/>
              <w:rPr>
                <w:rFonts w:ascii="Arial"/>
                <w:sz w:val="21"/>
              </w:rPr>
            </w:pPr>
            <w:r/>
          </w:p>
          <w:p>
            <w:pPr>
              <w:spacing w:line="272" w:lineRule="auto"/>
              <w:rPr>
                <w:rFonts w:ascii="Arial"/>
                <w:sz w:val="21"/>
              </w:rPr>
            </w:pPr>
            <w:r/>
          </w:p>
          <w:p>
            <w:pPr>
              <w:ind w:left="97"/>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东望时代</w:t>
            </w:r>
          </w:p>
        </w:tc>
        <w:tc>
          <w:tcPr>
            <w:shd w:val="clear" w:fill="B8CCE4"/>
            <w:tcW w:w="5496" w:type="dxa"/>
            <w:vAlign w:val="top"/>
          </w:tcPr>
          <w:p>
            <w:pPr>
              <w:ind w:left="100" w:right="101"/>
              <w:spacing w:before="95" w:line="223"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公司前述转让建设用地土地收益权事项达到应当提交股东</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
              </w:rPr>
              <w:t>大会审议的标准，应当披露标的资产由资产评估机构出具</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
              </w:rPr>
              <w:t>的评估报告，而公司</w:t>
            </w:r>
            <w:r>
              <w:rPr>
                <w:rFonts w:ascii="Microsoft YaHei" w:hAnsi="Microsoft YaHei" w:eastAsia="Microsoft YaHei" w:cs="Microsoft YaHei"/>
                <w:sz w:val="21"/>
                <w:szCs w:val="21"/>
                <w:b/>
                <w:bCs/>
                <w:spacing w:val="1"/>
              </w:rPr>
              <w:t>未按规定披露资产评估报告</w:t>
            </w:r>
            <w:r>
              <w:rPr>
                <w:rFonts w:ascii="Microsoft YaHei" w:hAnsi="Microsoft YaHei" w:eastAsia="Microsoft YaHei" w:cs="Microsoft YaHei"/>
                <w:sz w:val="21"/>
                <w:szCs w:val="21"/>
                <w:spacing w:val="1"/>
              </w:rPr>
              <w:t>，仅披露</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rPr>
              <w:t>了土地估价咨询报告。</w:t>
            </w:r>
          </w:p>
        </w:tc>
      </w:tr>
      <w:tr>
        <w:trPr>
          <w:trHeight w:val="1086" w:hRule="atLeast"/>
        </w:trPr>
        <w:tc>
          <w:tcPr>
            <w:tcW w:w="8055" w:type="dxa"/>
            <w:vAlign w:val="top"/>
            <w:gridSpan w:val="3"/>
          </w:tcPr>
          <w:p>
            <w:pPr>
              <w:ind w:left="105" w:right="100" w:firstLine="12"/>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中国证券监督管理委员会浙江监管局决定对公司、时任董事长蒋某</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峰、总经理赵某池、董事会秘书姚某峰分别采取出具警</w:t>
            </w:r>
            <w:r>
              <w:rPr>
                <w:rFonts w:ascii="Microsoft YaHei" w:hAnsi="Microsoft YaHei" w:eastAsia="Microsoft YaHei" w:cs="Microsoft YaHei"/>
                <w:sz w:val="21"/>
                <w:szCs w:val="21"/>
                <w:spacing w:val="1"/>
              </w:rPr>
              <w:t>示函的行政监管措施，并记入</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证券期货市场诚信档案。</w:t>
            </w:r>
          </w:p>
        </w:tc>
      </w:tr>
      <w:tr>
        <w:trPr>
          <w:trHeight w:val="1443" w:hRule="atLeast"/>
        </w:trPr>
        <w:tc>
          <w:tcPr>
            <w:shd w:val="clear" w:fill="B8CCE4"/>
            <w:tcW w:w="1214" w:type="dxa"/>
            <w:vAlign w:val="top"/>
          </w:tcPr>
          <w:p>
            <w:pPr>
              <w:spacing w:line="276" w:lineRule="auto"/>
              <w:rPr>
                <w:rFonts w:ascii="Arial"/>
                <w:sz w:val="21"/>
              </w:rPr>
            </w:pPr>
            <w:r/>
          </w:p>
          <w:p>
            <w:pPr>
              <w:spacing w:line="277"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000632</w:t>
            </w:r>
          </w:p>
        </w:tc>
        <w:tc>
          <w:tcPr>
            <w:shd w:val="clear" w:fill="B8CCE4"/>
            <w:tcW w:w="1345" w:type="dxa"/>
            <w:vAlign w:val="top"/>
          </w:tcPr>
          <w:p>
            <w:pPr>
              <w:spacing w:line="271" w:lineRule="auto"/>
              <w:rPr>
                <w:rFonts w:ascii="Arial"/>
                <w:sz w:val="21"/>
              </w:rPr>
            </w:pPr>
            <w:r/>
          </w:p>
          <w:p>
            <w:pPr>
              <w:spacing w:line="272" w:lineRule="auto"/>
              <w:rPr>
                <w:rFonts w:ascii="Arial"/>
                <w:sz w:val="21"/>
              </w:rPr>
            </w:pPr>
            <w:r/>
          </w:p>
          <w:p>
            <w:pPr>
              <w:ind w:left="101"/>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三木集团</w:t>
            </w:r>
          </w:p>
        </w:tc>
        <w:tc>
          <w:tcPr>
            <w:shd w:val="clear" w:fill="B8CCE4"/>
            <w:tcW w:w="5496" w:type="dxa"/>
            <w:vAlign w:val="top"/>
          </w:tcPr>
          <w:p>
            <w:pPr>
              <w:ind w:left="100" w:right="99" w:firstLine="1"/>
              <w:spacing w:before="99" w:line="22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部分外贸业务收入不完全符合</w:t>
            </w:r>
            <w:r>
              <w:rPr>
                <w:rFonts w:ascii="Microsoft YaHei" w:hAnsi="Microsoft YaHei" w:eastAsia="Microsoft YaHei" w:cs="Microsoft YaHei"/>
                <w:sz w:val="21"/>
                <w:szCs w:val="21"/>
                <w:b/>
                <w:bCs/>
                <w:spacing w:val="1"/>
              </w:rPr>
              <w:t>总额法确认</w:t>
            </w:r>
            <w:r>
              <w:rPr>
                <w:rFonts w:ascii="Microsoft YaHei" w:hAnsi="Microsoft YaHei" w:eastAsia="Microsoft YaHei" w:cs="Microsoft YaHei"/>
                <w:sz w:val="21"/>
                <w:szCs w:val="21"/>
                <w:spacing w:val="1"/>
              </w:rPr>
              <w:t>条件；部分房地</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1"/>
              </w:rPr>
              <w:t>产开发项目存在</w:t>
            </w:r>
            <w:r>
              <w:rPr>
                <w:rFonts w:ascii="Microsoft YaHei" w:hAnsi="Microsoft YaHei" w:eastAsia="Microsoft YaHei" w:cs="Microsoft YaHei"/>
                <w:sz w:val="21"/>
                <w:szCs w:val="21"/>
                <w:b/>
                <w:bCs/>
                <w:spacing w:val="1"/>
              </w:rPr>
              <w:t>提前确认收入</w:t>
            </w:r>
            <w:r>
              <w:rPr>
                <w:rFonts w:ascii="Microsoft YaHei" w:hAnsi="Microsoft YaHei" w:eastAsia="Microsoft YaHei" w:cs="Microsoft YaHei"/>
                <w:sz w:val="21"/>
                <w:szCs w:val="21"/>
                <w:spacing w:val="1"/>
              </w:rPr>
              <w:t>情形；部分已出租的存货、</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固定资产</w:t>
            </w:r>
            <w:r>
              <w:rPr>
                <w:rFonts w:ascii="Microsoft YaHei" w:hAnsi="Microsoft YaHei" w:eastAsia="Microsoft YaHei" w:cs="Microsoft YaHei"/>
                <w:sz w:val="21"/>
                <w:szCs w:val="21"/>
                <w:b/>
                <w:bCs/>
                <w:spacing w:val="1"/>
              </w:rPr>
              <w:t>未转为</w:t>
            </w:r>
            <w:r>
              <w:rPr>
                <w:rFonts w:ascii="Microsoft YaHei" w:hAnsi="Microsoft YaHei" w:eastAsia="Microsoft YaHei" w:cs="Microsoft YaHei"/>
                <w:sz w:val="21"/>
                <w:szCs w:val="21"/>
                <w:spacing w:val="1"/>
              </w:rPr>
              <w:t>投资性房地产核算；未按权责发生制</w:t>
            </w:r>
            <w:r>
              <w:rPr>
                <w:rFonts w:ascii="Microsoft YaHei" w:hAnsi="Microsoft YaHei" w:eastAsia="Microsoft YaHei" w:cs="Microsoft YaHei"/>
                <w:sz w:val="21"/>
                <w:szCs w:val="21"/>
                <w:b/>
                <w:bCs/>
                <w:spacing w:val="1"/>
              </w:rPr>
              <w:t>确认</w:t>
            </w:r>
            <w:r>
              <w:rPr>
                <w:rFonts w:ascii="Microsoft YaHei" w:hAnsi="Microsoft YaHei" w:eastAsia="Microsoft YaHei" w:cs="Microsoft YaHei"/>
                <w:sz w:val="21"/>
                <w:szCs w:val="21"/>
                <w:b/>
                <w:bCs/>
                <w:spacing w:val="4"/>
              </w:rPr>
              <w:t xml:space="preserve"> </w:t>
            </w:r>
            <w:r>
              <w:rPr>
                <w:rFonts w:ascii="Microsoft YaHei" w:hAnsi="Microsoft YaHei" w:eastAsia="Microsoft YaHei" w:cs="Microsoft YaHei"/>
                <w:sz w:val="21"/>
                <w:szCs w:val="21"/>
              </w:rPr>
              <w:t>部分经营租赁业务</w:t>
            </w:r>
            <w:r>
              <w:rPr>
                <w:rFonts w:ascii="Microsoft YaHei" w:hAnsi="Microsoft YaHei" w:eastAsia="Microsoft YaHei" w:cs="Microsoft YaHei"/>
                <w:sz w:val="21"/>
                <w:szCs w:val="21"/>
                <w:b/>
                <w:bCs/>
              </w:rPr>
              <w:t>收入</w:t>
            </w:r>
            <w:r>
              <w:rPr>
                <w:rFonts w:ascii="Microsoft YaHei" w:hAnsi="Microsoft YaHei" w:eastAsia="Microsoft YaHei" w:cs="Microsoft YaHei"/>
                <w:sz w:val="21"/>
                <w:szCs w:val="21"/>
              </w:rPr>
              <w:t>；</w:t>
            </w:r>
            <w:r>
              <w:rPr>
                <w:rFonts w:ascii="Microsoft YaHei" w:hAnsi="Microsoft YaHei" w:eastAsia="Microsoft YaHei" w:cs="Microsoft YaHei"/>
                <w:sz w:val="21"/>
                <w:szCs w:val="21"/>
                <w:b/>
                <w:bCs/>
              </w:rPr>
              <w:t>对外担保</w:t>
            </w:r>
            <w:r>
              <w:rPr>
                <w:rFonts w:ascii="Microsoft YaHei" w:hAnsi="Microsoft YaHei" w:eastAsia="Microsoft YaHei" w:cs="Microsoft YaHei"/>
                <w:sz w:val="21"/>
                <w:szCs w:val="21"/>
              </w:rPr>
              <w:t>信息披露不完整。</w:t>
            </w:r>
          </w:p>
        </w:tc>
      </w:tr>
      <w:tr>
        <w:trPr>
          <w:trHeight w:val="1086" w:hRule="atLeast"/>
        </w:trPr>
        <w:tc>
          <w:tcPr>
            <w:tcW w:w="8055" w:type="dxa"/>
            <w:vAlign w:val="top"/>
            <w:gridSpan w:val="3"/>
          </w:tcPr>
          <w:p>
            <w:pPr>
              <w:ind w:left="105" w:right="100" w:firstLine="13"/>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中国证券监督管理委员会福建监管局决定对三木集团及时任董事长</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卢某辉、时任董事长林某、总经理王某、财务总监林某</w:t>
            </w:r>
            <w:r>
              <w:rPr>
                <w:rFonts w:ascii="Microsoft YaHei" w:hAnsi="Microsoft YaHei" w:eastAsia="Microsoft YaHei" w:cs="Microsoft YaHei"/>
                <w:sz w:val="21"/>
                <w:szCs w:val="21"/>
                <w:spacing w:val="1"/>
              </w:rPr>
              <w:t>香采取出具警示函的监督管理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措施，</w:t>
            </w:r>
            <w:r>
              <w:rPr>
                <w:rFonts w:ascii="Microsoft YaHei" w:hAnsi="Microsoft YaHei" w:eastAsia="Microsoft YaHei" w:cs="Microsoft YaHei"/>
                <w:sz w:val="21"/>
                <w:szCs w:val="21"/>
                <w:spacing w:val="39"/>
              </w:rPr>
              <w:t xml:space="preserve"> </w:t>
            </w:r>
            <w:r>
              <w:rPr>
                <w:rFonts w:ascii="Microsoft YaHei" w:hAnsi="Microsoft YaHei" w:eastAsia="Microsoft YaHei" w:cs="Microsoft YaHei"/>
                <w:sz w:val="21"/>
                <w:szCs w:val="21"/>
                <w:spacing w:val="-6"/>
              </w:rPr>
              <w:t>并记入证券期货市场诚信档案数据库。</w:t>
            </w:r>
          </w:p>
        </w:tc>
      </w:tr>
      <w:tr>
        <w:trPr>
          <w:trHeight w:val="724" w:hRule="atLeast"/>
        </w:trPr>
        <w:tc>
          <w:tcPr>
            <w:shd w:val="clear" w:fill="B8CCE4"/>
            <w:tcW w:w="1214" w:type="dxa"/>
            <w:vAlign w:val="top"/>
          </w:tcPr>
          <w:p>
            <w:pPr>
              <w:ind w:left="111"/>
              <w:spacing w:before="287"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002107</w:t>
            </w:r>
          </w:p>
        </w:tc>
        <w:tc>
          <w:tcPr>
            <w:shd w:val="clear" w:fill="B8CCE4"/>
            <w:tcW w:w="1345" w:type="dxa"/>
            <w:vAlign w:val="top"/>
          </w:tcPr>
          <w:p>
            <w:pPr>
              <w:ind w:left="98"/>
              <w:spacing w:before="279"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沃华医药</w:t>
            </w:r>
          </w:p>
        </w:tc>
        <w:tc>
          <w:tcPr>
            <w:shd w:val="clear" w:fill="B8CCE4"/>
            <w:tcW w:w="5496" w:type="dxa"/>
            <w:vAlign w:val="top"/>
          </w:tcPr>
          <w:p>
            <w:pPr>
              <w:ind w:left="100" w:right="100" w:firstLine="18"/>
              <w:spacing w:before="98"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山东沃华医药科技股份有限公司</w:t>
            </w:r>
            <w:r>
              <w:rPr>
                <w:rFonts w:ascii="Microsoft YaHei" w:hAnsi="Microsoft YaHei" w:eastAsia="Microsoft YaHei" w:cs="Microsoft YaHei"/>
                <w:sz w:val="21"/>
                <w:szCs w:val="21"/>
                <w:b/>
                <w:bCs/>
              </w:rPr>
              <w:t>实际控制人、董事长被纪</w:t>
            </w:r>
            <w:r>
              <w:rPr>
                <w:rFonts w:ascii="Microsoft YaHei" w:hAnsi="Microsoft YaHei" w:eastAsia="Microsoft YaHei" w:cs="Microsoft YaHei"/>
                <w:sz w:val="21"/>
                <w:szCs w:val="21"/>
                <w:b/>
                <w:bCs/>
                <w:spacing w:val="10"/>
              </w:rPr>
              <w:t xml:space="preserve"> </w:t>
            </w:r>
            <w:r>
              <w:rPr>
                <w:rFonts w:ascii="Microsoft YaHei" w:hAnsi="Microsoft YaHei" w:eastAsia="Microsoft YaHei" w:cs="Microsoft YaHei"/>
                <w:sz w:val="21"/>
                <w:szCs w:val="21"/>
                <w:b/>
                <w:bCs/>
              </w:rPr>
              <w:t>检监察机关采取留置措施</w:t>
            </w:r>
            <w:r>
              <w:rPr>
                <w:rFonts w:ascii="Microsoft YaHei" w:hAnsi="Microsoft YaHei" w:eastAsia="Microsoft YaHei" w:cs="Microsoft YaHei"/>
                <w:sz w:val="21"/>
                <w:szCs w:val="21"/>
              </w:rPr>
              <w:t>未及时披露。</w:t>
            </w:r>
          </w:p>
        </w:tc>
      </w:tr>
      <w:tr>
        <w:trPr>
          <w:trHeight w:val="1086" w:hRule="atLeast"/>
        </w:trPr>
        <w:tc>
          <w:tcPr>
            <w:tcW w:w="8055" w:type="dxa"/>
            <w:vAlign w:val="top"/>
            <w:gridSpan w:val="3"/>
          </w:tcPr>
          <w:p>
            <w:pPr>
              <w:ind w:left="104" w:right="100" w:firstLine="14"/>
              <w:spacing w:before="103"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中国证券监督管理委员会山东监管局决定对山东沃华医药科技股份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4"/>
              </w:rPr>
              <w:t>有限公司及董事长,实际控制人赵某贤、董事会秘书,董事赵某霞、总经理曾某姿采取</w:t>
            </w:r>
            <w:r>
              <w:rPr>
                <w:rFonts w:ascii="Microsoft YaHei" w:hAnsi="Microsoft YaHei" w:eastAsia="Microsoft YaHei" w:cs="Microsoft YaHei"/>
                <w:sz w:val="21"/>
                <w:szCs w:val="21"/>
                <w:spacing w:val="17"/>
                <w:w w:val="101"/>
              </w:rPr>
              <w:t xml:space="preserve"> </w:t>
            </w:r>
            <w:r>
              <w:rPr>
                <w:rFonts w:ascii="Microsoft YaHei" w:hAnsi="Microsoft YaHei" w:eastAsia="Microsoft YaHei" w:cs="Microsoft YaHei"/>
                <w:sz w:val="21"/>
                <w:szCs w:val="21"/>
                <w:spacing w:val="-2"/>
              </w:rPr>
              <w:t>出具警示函的监管措施， 并将有关情况记入证券期</w:t>
            </w:r>
            <w:r>
              <w:rPr>
                <w:rFonts w:ascii="Microsoft YaHei" w:hAnsi="Microsoft YaHei" w:eastAsia="Microsoft YaHei" w:cs="Microsoft YaHei"/>
                <w:sz w:val="21"/>
                <w:szCs w:val="21"/>
                <w:spacing w:val="-3"/>
              </w:rPr>
              <w:t>货市场诚信档案数据库。</w:t>
            </w:r>
          </w:p>
        </w:tc>
      </w:tr>
      <w:tr>
        <w:trPr>
          <w:trHeight w:val="723" w:hRule="atLeast"/>
        </w:trPr>
        <w:tc>
          <w:tcPr>
            <w:shd w:val="clear" w:fill="B8CCE4"/>
            <w:tcW w:w="1214" w:type="dxa"/>
            <w:vAlign w:val="top"/>
          </w:tcPr>
          <w:p>
            <w:pPr>
              <w:ind w:left="111"/>
              <w:spacing w:before="289"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002589</w:t>
            </w:r>
          </w:p>
        </w:tc>
        <w:tc>
          <w:tcPr>
            <w:shd w:val="clear" w:fill="B8CCE4"/>
            <w:tcW w:w="1345" w:type="dxa"/>
            <w:vAlign w:val="top"/>
          </w:tcPr>
          <w:p>
            <w:pPr>
              <w:ind w:left="98"/>
              <w:spacing w:before="28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瑞康医药</w:t>
            </w:r>
          </w:p>
        </w:tc>
        <w:tc>
          <w:tcPr>
            <w:shd w:val="clear" w:fill="B8CCE4"/>
            <w:tcW w:w="5496" w:type="dxa"/>
            <w:vAlign w:val="top"/>
          </w:tcPr>
          <w:p>
            <w:pPr>
              <w:ind w:left="100" w:right="100"/>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未按规定披露</w:t>
            </w:r>
            <w:r>
              <w:rPr>
                <w:rFonts w:ascii="Microsoft YaHei" w:hAnsi="Microsoft YaHei" w:eastAsia="Microsoft YaHei" w:cs="Microsoft YaHei"/>
                <w:sz w:val="21"/>
                <w:szCs w:val="21"/>
                <w:b/>
                <w:bCs/>
                <w:spacing w:val="1"/>
              </w:rPr>
              <w:t>关联交易、财务资助</w:t>
            </w:r>
            <w:r>
              <w:rPr>
                <w:rFonts w:ascii="Microsoft YaHei" w:hAnsi="Microsoft YaHei" w:eastAsia="Microsoft YaHei" w:cs="Microsoft YaHei"/>
                <w:sz w:val="21"/>
                <w:szCs w:val="21"/>
                <w:spacing w:val="1"/>
              </w:rPr>
              <w:t>等事项；未按规定及时</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rPr>
              <w:t>披露</w:t>
            </w:r>
            <w:r>
              <w:rPr>
                <w:rFonts w:ascii="Microsoft YaHei" w:hAnsi="Microsoft YaHei" w:eastAsia="Microsoft YaHei" w:cs="Microsoft YaHei"/>
                <w:sz w:val="21"/>
                <w:szCs w:val="21"/>
                <w:b/>
                <w:bCs/>
              </w:rPr>
              <w:t>重大诉讼、仲裁</w:t>
            </w:r>
            <w:r>
              <w:rPr>
                <w:rFonts w:ascii="Microsoft YaHei" w:hAnsi="Microsoft YaHei" w:eastAsia="Microsoft YaHei" w:cs="Microsoft YaHei"/>
                <w:sz w:val="21"/>
                <w:szCs w:val="21"/>
              </w:rPr>
              <w:t>事项。</w:t>
            </w:r>
          </w:p>
        </w:tc>
      </w:tr>
      <w:tr>
        <w:trPr>
          <w:trHeight w:val="1458" w:hRule="atLeast"/>
        </w:trPr>
        <w:tc>
          <w:tcPr>
            <w:tcW w:w="8055" w:type="dxa"/>
            <w:vAlign w:val="top"/>
            <w:gridSpan w:val="3"/>
          </w:tcPr>
          <w:p>
            <w:pPr>
              <w:ind w:left="105" w:right="100" w:firstLine="13"/>
              <w:spacing w:before="102"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中国证券监督管理委员会山东监管局决定对瑞康医药集团股份有限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公司和时任董事长、总裁韩某、时任总经理张某华、时</w:t>
            </w:r>
            <w:r>
              <w:rPr>
                <w:rFonts w:ascii="Microsoft YaHei" w:hAnsi="Microsoft YaHei" w:eastAsia="Microsoft YaHei" w:cs="Microsoft YaHei"/>
                <w:sz w:val="21"/>
                <w:szCs w:val="21"/>
                <w:spacing w:val="1"/>
              </w:rPr>
              <w:t>任财务总监冯某、时任董事会</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秘书周某、时任董事代行董事会秘书李某采取出具警示</w:t>
            </w:r>
            <w:r>
              <w:rPr>
                <w:rFonts w:ascii="Microsoft YaHei" w:hAnsi="Microsoft YaHei" w:eastAsia="Microsoft YaHei" w:cs="Microsoft YaHei"/>
                <w:sz w:val="21"/>
                <w:szCs w:val="21"/>
                <w:spacing w:val="1"/>
              </w:rPr>
              <w:t>函的行政监管措施，并将有关</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情况记入证券期货市场诚信档案数据库。</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1453" w:hRule="atLeast"/>
        </w:trPr>
        <w:tc>
          <w:tcPr>
            <w:shd w:val="clear" w:fill="B8CCE4"/>
            <w:tcW w:w="1214" w:type="dxa"/>
            <w:vAlign w:val="top"/>
            <w:tcBorders>
              <w:top w:val="single" w:color="4F81BD" w:sz="2" w:space="0"/>
            </w:tcBorders>
          </w:tcPr>
          <w:p>
            <w:pPr>
              <w:spacing w:line="276" w:lineRule="auto"/>
              <w:rPr>
                <w:rFonts w:ascii="Arial"/>
                <w:sz w:val="21"/>
              </w:rPr>
            </w:pPr>
            <w:r/>
          </w:p>
          <w:p>
            <w:pPr>
              <w:spacing w:line="277"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600375</w:t>
            </w:r>
          </w:p>
        </w:tc>
        <w:tc>
          <w:tcPr>
            <w:shd w:val="clear" w:fill="B8CCE4"/>
            <w:tcW w:w="1345" w:type="dxa"/>
            <w:vAlign w:val="top"/>
            <w:tcBorders>
              <w:top w:val="single" w:color="4F81BD" w:sz="2" w:space="0"/>
            </w:tcBorders>
          </w:tcPr>
          <w:p>
            <w:pPr>
              <w:spacing w:line="271" w:lineRule="auto"/>
              <w:rPr>
                <w:rFonts w:ascii="Arial"/>
                <w:sz w:val="21"/>
              </w:rPr>
            </w:pPr>
            <w:r/>
          </w:p>
          <w:p>
            <w:pPr>
              <w:spacing w:line="272"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汉马科技</w:t>
            </w:r>
          </w:p>
        </w:tc>
        <w:tc>
          <w:tcPr>
            <w:shd w:val="clear" w:fill="B8CCE4"/>
            <w:tcW w:w="5496" w:type="dxa"/>
            <w:vAlign w:val="top"/>
            <w:tcBorders>
              <w:top w:val="single" w:color="4F81BD" w:sz="2" w:space="0"/>
            </w:tcBorders>
          </w:tcPr>
          <w:p>
            <w:pPr>
              <w:ind w:left="99" w:right="100" w:firstLine="15"/>
              <w:spacing w:before="97"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中联资产评估集团（浙江）有限公司、评估师在汉马科技</w:t>
            </w:r>
            <w:r>
              <w:rPr>
                <w:rFonts w:ascii="Microsoft YaHei" w:hAnsi="Microsoft YaHei" w:eastAsia="Microsoft YaHei" w:cs="Microsoft YaHei"/>
                <w:sz w:val="21"/>
                <w:szCs w:val="21"/>
                <w:spacing w:val="13"/>
              </w:rPr>
              <w:t xml:space="preserve"> </w:t>
            </w:r>
            <w:r>
              <w:rPr>
                <w:rFonts w:ascii="Microsoft YaHei" w:hAnsi="Microsoft YaHei" w:eastAsia="Microsoft YaHei" w:cs="Microsoft YaHei"/>
                <w:sz w:val="21"/>
                <w:szCs w:val="21"/>
                <w:spacing w:val="1"/>
              </w:rPr>
              <w:t>集团股份有限公司拟进行资产减值测试涉及的</w:t>
            </w:r>
            <w:r>
              <w:rPr>
                <w:rFonts w:ascii="Microsoft YaHei" w:hAnsi="Microsoft YaHei" w:eastAsia="Microsoft YaHei" w:cs="Microsoft YaHei"/>
                <w:sz w:val="21"/>
                <w:szCs w:val="21"/>
                <w:b/>
                <w:bCs/>
                <w:spacing w:val="1"/>
              </w:rPr>
              <w:t>投资性房地</w:t>
            </w:r>
            <w:r>
              <w:rPr>
                <w:rFonts w:ascii="Microsoft YaHei" w:hAnsi="Microsoft YaHei" w:eastAsia="Microsoft YaHei" w:cs="Microsoft YaHei"/>
                <w:sz w:val="21"/>
                <w:szCs w:val="21"/>
                <w:b/>
                <w:bCs/>
                <w:spacing w:val="4"/>
              </w:rPr>
              <w:t xml:space="preserve"> </w:t>
            </w:r>
            <w:r>
              <w:rPr>
                <w:rFonts w:ascii="Microsoft YaHei" w:hAnsi="Microsoft YaHei" w:eastAsia="Microsoft YaHei" w:cs="Microsoft YaHei"/>
                <w:sz w:val="21"/>
                <w:szCs w:val="21"/>
                <w:b/>
                <w:bCs/>
                <w:spacing w:val="1"/>
              </w:rPr>
              <w:t>产、固定资产、在建工程及无形资产评估项目执业</w:t>
            </w:r>
            <w:r>
              <w:rPr>
                <w:rFonts w:ascii="Microsoft YaHei" w:hAnsi="Microsoft YaHei" w:eastAsia="Microsoft YaHei" w:cs="Microsoft YaHei"/>
                <w:sz w:val="21"/>
                <w:szCs w:val="21"/>
                <w:spacing w:val="1"/>
              </w:rPr>
              <w:t>中存在</w:t>
            </w:r>
            <w:r>
              <w:rPr>
                <w:rFonts w:ascii="Microsoft YaHei" w:hAnsi="Microsoft YaHei" w:eastAsia="Microsoft YaHei" w:cs="Microsoft YaHei"/>
                <w:sz w:val="21"/>
                <w:szCs w:val="21"/>
                <w:spacing w:val="5"/>
              </w:rPr>
              <w:t xml:space="preserve"> </w:t>
            </w:r>
            <w:r>
              <w:rPr>
                <w:rFonts w:ascii="Microsoft YaHei" w:hAnsi="Microsoft YaHei" w:eastAsia="Microsoft YaHei" w:cs="Microsoft YaHei"/>
                <w:sz w:val="21"/>
                <w:szCs w:val="21"/>
                <w:spacing w:val="-9"/>
              </w:rPr>
              <w:t>问题。</w:t>
            </w:r>
          </w:p>
        </w:tc>
      </w:tr>
      <w:tr>
        <w:trPr>
          <w:trHeight w:val="1086" w:hRule="atLeast"/>
        </w:trPr>
        <w:tc>
          <w:tcPr>
            <w:tcW w:w="8055" w:type="dxa"/>
            <w:vAlign w:val="top"/>
            <w:gridSpan w:val="3"/>
          </w:tcPr>
          <w:p>
            <w:pPr>
              <w:ind w:left="105" w:right="101" w:firstLine="13"/>
              <w:spacing w:before="89"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中国证券监督管理委员会安徽监管局决定对中联资产评估集团（浙</w:t>
            </w:r>
            <w:r>
              <w:rPr>
                <w:rFonts w:ascii="Microsoft YaHei" w:hAnsi="Microsoft YaHei" w:eastAsia="Microsoft YaHei" w:cs="Microsoft YaHei"/>
                <w:sz w:val="21"/>
                <w:szCs w:val="21"/>
                <w:spacing w:val="8"/>
              </w:rPr>
              <w:t xml:space="preserve"> </w:t>
            </w:r>
            <w:r>
              <w:rPr>
                <w:rFonts w:ascii="Microsoft YaHei" w:hAnsi="Microsoft YaHei" w:eastAsia="Microsoft YaHei" w:cs="Microsoft YaHei"/>
                <w:sz w:val="21"/>
                <w:szCs w:val="21"/>
              </w:rPr>
              <w:t>江） 有限公司、评估师采取出具警示函的监督管理措施，并记入证券期货市场诚信档 </w:t>
            </w:r>
            <w:r>
              <w:rPr>
                <w:rFonts w:ascii="Microsoft YaHei" w:hAnsi="Microsoft YaHei" w:eastAsia="Microsoft YaHei" w:cs="Microsoft YaHei"/>
                <w:sz w:val="21"/>
                <w:szCs w:val="21"/>
                <w:spacing w:val="-11"/>
              </w:rPr>
              <w:t>案。</w:t>
            </w:r>
          </w:p>
        </w:tc>
      </w:tr>
      <w:tr>
        <w:trPr>
          <w:trHeight w:val="1083" w:hRule="atLeast"/>
        </w:trPr>
        <w:tc>
          <w:tcPr>
            <w:shd w:val="clear" w:fill="B8CCE4"/>
            <w:tcW w:w="1214" w:type="dxa"/>
            <w:vAlign w:val="top"/>
          </w:tcPr>
          <w:p>
            <w:pPr>
              <w:spacing w:line="366"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600375</w:t>
            </w:r>
          </w:p>
        </w:tc>
        <w:tc>
          <w:tcPr>
            <w:shd w:val="clear" w:fill="B8CCE4"/>
            <w:tcW w:w="1345" w:type="dxa"/>
            <w:vAlign w:val="top"/>
          </w:tcPr>
          <w:p>
            <w:pPr>
              <w:spacing w:line="356"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汉马科技</w:t>
            </w:r>
          </w:p>
        </w:tc>
        <w:tc>
          <w:tcPr>
            <w:shd w:val="clear" w:fill="B8CCE4"/>
            <w:tcW w:w="5496" w:type="dxa"/>
            <w:vAlign w:val="top"/>
          </w:tcPr>
          <w:p>
            <w:pPr>
              <w:ind w:left="100" w:right="99"/>
              <w:spacing w:before="91"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浙江天平会计师事务所（特殊普通合伙）、注册会计师在</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5"/>
              </w:rPr>
              <w:t>汉马科技集团股份有限公司</w:t>
            </w:r>
            <w:r>
              <w:rPr>
                <w:rFonts w:ascii="Microsoft YaHei" w:hAnsi="Microsoft YaHei" w:eastAsia="Microsoft YaHei" w:cs="Microsoft YaHei"/>
                <w:sz w:val="21"/>
                <w:szCs w:val="21"/>
                <w:b/>
                <w:bCs/>
                <w:spacing w:val="5"/>
              </w:rPr>
              <w:t>2022年年报审计项目执业</w:t>
            </w:r>
            <w:r>
              <w:rPr>
                <w:rFonts w:ascii="Microsoft YaHei" w:hAnsi="Microsoft YaHei" w:eastAsia="Microsoft YaHei" w:cs="Microsoft YaHei"/>
                <w:sz w:val="21"/>
                <w:szCs w:val="21"/>
                <w:spacing w:val="5"/>
              </w:rPr>
              <w:t>中</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4"/>
              </w:rPr>
              <w:t>存在问题。</w:t>
            </w:r>
          </w:p>
        </w:tc>
      </w:tr>
      <w:tr>
        <w:trPr>
          <w:trHeight w:val="1086" w:hRule="atLeast"/>
        </w:trPr>
        <w:tc>
          <w:tcPr>
            <w:tcW w:w="8055" w:type="dxa"/>
            <w:vAlign w:val="top"/>
            <w:gridSpan w:val="3"/>
          </w:tcPr>
          <w:p>
            <w:pPr>
              <w:ind w:left="105" w:right="100" w:firstLine="13"/>
              <w:spacing w:before="94"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中国证券监督管理委员会安徽监管局决定对浙江天平会计师事务所</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（特殊普通合伙）、注册会计师采取出具警示函的行政</w:t>
            </w:r>
            <w:r>
              <w:rPr>
                <w:rFonts w:ascii="Microsoft YaHei" w:hAnsi="Microsoft YaHei" w:eastAsia="Microsoft YaHei" w:cs="Microsoft YaHei"/>
                <w:sz w:val="21"/>
                <w:szCs w:val="21"/>
                <w:spacing w:val="1"/>
              </w:rPr>
              <w:t>监管措施，并记入证券期货市</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场诚信档案。</w:t>
            </w:r>
          </w:p>
        </w:tc>
      </w:tr>
      <w:tr>
        <w:trPr>
          <w:trHeight w:val="1086" w:hRule="atLeast"/>
        </w:trPr>
        <w:tc>
          <w:tcPr>
            <w:shd w:val="clear" w:fill="B8CCE4"/>
            <w:tcW w:w="1214" w:type="dxa"/>
            <w:vAlign w:val="top"/>
          </w:tcPr>
          <w:p>
            <w:pPr>
              <w:spacing w:line="368" w:lineRule="auto"/>
              <w:rPr>
                <w:rFonts w:ascii="Arial"/>
                <w:sz w:val="21"/>
              </w:rPr>
            </w:pPr>
            <w:r/>
          </w:p>
          <w:p>
            <w:pPr>
              <w:ind w:left="114"/>
              <w:spacing w:before="9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600567</w:t>
            </w:r>
          </w:p>
        </w:tc>
        <w:tc>
          <w:tcPr>
            <w:shd w:val="clear" w:fill="B8CCE4"/>
            <w:tcW w:w="1345" w:type="dxa"/>
            <w:vAlign w:val="top"/>
          </w:tcPr>
          <w:p>
            <w:pPr>
              <w:spacing w:line="359" w:lineRule="auto"/>
              <w:rPr>
                <w:rFonts w:ascii="Arial"/>
                <w:sz w:val="21"/>
              </w:rPr>
            </w:pPr>
            <w:r/>
          </w:p>
          <w:p>
            <w:pPr>
              <w:ind w:left="116"/>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山鹰国际</w:t>
            </w:r>
          </w:p>
        </w:tc>
        <w:tc>
          <w:tcPr>
            <w:shd w:val="clear" w:fill="B8CCE4"/>
            <w:tcW w:w="5496" w:type="dxa"/>
            <w:vAlign w:val="top"/>
          </w:tcPr>
          <w:p>
            <w:pPr>
              <w:ind w:left="99" w:right="98"/>
              <w:spacing w:before="89"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永中和会计师事务所（特殊普通合伙）、注册会计师在山</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5"/>
              </w:rPr>
              <w:t>鹰国际控股股份公司</w:t>
            </w:r>
            <w:r>
              <w:rPr>
                <w:rFonts w:ascii="Microsoft YaHei" w:hAnsi="Microsoft YaHei" w:eastAsia="Microsoft YaHei" w:cs="Microsoft YaHei"/>
                <w:sz w:val="21"/>
                <w:szCs w:val="21"/>
                <w:b/>
                <w:bCs/>
                <w:spacing w:val="5"/>
              </w:rPr>
              <w:t>2022年年报审计项目执业</w:t>
            </w:r>
            <w:r>
              <w:rPr>
                <w:rFonts w:ascii="Microsoft YaHei" w:hAnsi="Microsoft YaHei" w:eastAsia="Microsoft YaHei" w:cs="Microsoft YaHei"/>
                <w:sz w:val="21"/>
                <w:szCs w:val="21"/>
                <w:spacing w:val="5"/>
              </w:rPr>
              <w:t>中存在问</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11"/>
              </w:rPr>
              <w:t>题。</w:t>
            </w:r>
          </w:p>
        </w:tc>
      </w:tr>
      <w:tr>
        <w:trPr>
          <w:trHeight w:val="1083" w:hRule="atLeast"/>
        </w:trPr>
        <w:tc>
          <w:tcPr>
            <w:tcW w:w="8055" w:type="dxa"/>
            <w:vAlign w:val="top"/>
            <w:gridSpan w:val="3"/>
          </w:tcPr>
          <w:p>
            <w:pPr>
              <w:ind w:left="105" w:right="100" w:firstLine="13"/>
              <w:spacing w:before="91"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中国证券监督管理委员会安徽监管局决定对信永中和会计师事务所</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（特殊普通合伙）、注册会计师采取出具警示函的监督</w:t>
            </w:r>
            <w:r>
              <w:rPr>
                <w:rFonts w:ascii="Microsoft YaHei" w:hAnsi="Microsoft YaHei" w:eastAsia="Microsoft YaHei" w:cs="Microsoft YaHei"/>
                <w:sz w:val="21"/>
                <w:szCs w:val="21"/>
                <w:spacing w:val="1"/>
              </w:rPr>
              <w:t>管理措施，并记入证券期货市</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场诚信档案。</w:t>
            </w:r>
          </w:p>
        </w:tc>
      </w:tr>
      <w:tr>
        <w:trPr>
          <w:trHeight w:val="1445" w:hRule="atLeast"/>
        </w:trPr>
        <w:tc>
          <w:tcPr>
            <w:shd w:val="clear" w:fill="B8CCE4"/>
            <w:tcW w:w="1214" w:type="dxa"/>
            <w:vAlign w:val="top"/>
          </w:tcPr>
          <w:p>
            <w:pPr>
              <w:spacing w:line="275" w:lineRule="auto"/>
              <w:rPr>
                <w:rFonts w:ascii="Arial"/>
                <w:sz w:val="21"/>
              </w:rPr>
            </w:pPr>
            <w:r/>
          </w:p>
          <w:p>
            <w:pPr>
              <w:spacing w:line="276" w:lineRule="auto"/>
              <w:rPr>
                <w:rFonts w:ascii="Arial"/>
                <w:sz w:val="21"/>
              </w:rPr>
            </w:pPr>
            <w:r/>
          </w:p>
          <w:p>
            <w:pPr>
              <w:ind w:left="114"/>
              <w:spacing w:before="9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600567</w:t>
            </w:r>
          </w:p>
        </w:tc>
        <w:tc>
          <w:tcPr>
            <w:shd w:val="clear" w:fill="B8CCE4"/>
            <w:tcW w:w="1345" w:type="dxa"/>
            <w:vAlign w:val="top"/>
          </w:tcPr>
          <w:p>
            <w:pPr>
              <w:spacing w:line="271" w:lineRule="auto"/>
              <w:rPr>
                <w:rFonts w:ascii="Arial"/>
                <w:sz w:val="21"/>
              </w:rPr>
            </w:pPr>
            <w:r/>
          </w:p>
          <w:p>
            <w:pPr>
              <w:spacing w:line="271" w:lineRule="auto"/>
              <w:rPr>
                <w:rFonts w:ascii="Arial"/>
                <w:sz w:val="21"/>
              </w:rPr>
            </w:pPr>
            <w:r/>
          </w:p>
          <w:p>
            <w:pPr>
              <w:ind w:left="116"/>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5"/>
              </w:rPr>
              <w:t>山鹰国际</w:t>
            </w:r>
          </w:p>
        </w:tc>
        <w:tc>
          <w:tcPr>
            <w:shd w:val="clear" w:fill="B8CCE4"/>
            <w:tcW w:w="5496" w:type="dxa"/>
            <w:vAlign w:val="top"/>
          </w:tcPr>
          <w:p>
            <w:pPr>
              <w:ind w:left="99" w:right="100" w:firstLine="1"/>
              <w:spacing w:before="95" w:line="223"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深圳市鹏信资产评估土地房地产估价有限公司、评估师在</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1"/>
              </w:rPr>
              <w:t>山鹰国际控股股份公司拟进行商誉减值测试涉及的并购山</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1"/>
              </w:rPr>
              <w:t>鹰华南纸业有限公司形成的</w:t>
            </w:r>
            <w:r>
              <w:rPr>
                <w:rFonts w:ascii="Microsoft YaHei" w:hAnsi="Microsoft YaHei" w:eastAsia="Microsoft YaHei" w:cs="Microsoft YaHei"/>
                <w:sz w:val="21"/>
                <w:szCs w:val="21"/>
                <w:b/>
                <w:bCs/>
                <w:spacing w:val="1"/>
              </w:rPr>
              <w:t>含商誉资产组的可收回金额评</w:t>
            </w:r>
            <w:r>
              <w:rPr>
                <w:rFonts w:ascii="Microsoft YaHei" w:hAnsi="Microsoft YaHei" w:eastAsia="Microsoft YaHei" w:cs="Microsoft YaHei"/>
                <w:sz w:val="21"/>
                <w:szCs w:val="21"/>
                <w:b/>
                <w:bCs/>
                <w:spacing w:val="4"/>
              </w:rPr>
              <w:t xml:space="preserve"> </w:t>
            </w:r>
            <w:r>
              <w:rPr>
                <w:rFonts w:ascii="Microsoft YaHei" w:hAnsi="Microsoft YaHei" w:eastAsia="Microsoft YaHei" w:cs="Microsoft YaHei"/>
                <w:sz w:val="21"/>
                <w:szCs w:val="21"/>
                <w:b/>
                <w:bCs/>
                <w:spacing w:val="-2"/>
              </w:rPr>
              <w:t>估项目执业</w:t>
            </w:r>
            <w:r>
              <w:rPr>
                <w:rFonts w:ascii="Microsoft YaHei" w:hAnsi="Microsoft YaHei" w:eastAsia="Microsoft YaHei" w:cs="Microsoft YaHei"/>
                <w:sz w:val="21"/>
                <w:szCs w:val="21"/>
                <w:spacing w:val="-2"/>
              </w:rPr>
              <w:t>中存在问题。</w:t>
            </w:r>
          </w:p>
        </w:tc>
      </w:tr>
      <w:tr>
        <w:trPr>
          <w:trHeight w:val="1086" w:hRule="atLeast"/>
        </w:trPr>
        <w:tc>
          <w:tcPr>
            <w:tcW w:w="8055" w:type="dxa"/>
            <w:vAlign w:val="top"/>
            <w:gridSpan w:val="3"/>
          </w:tcPr>
          <w:p>
            <w:pPr>
              <w:ind w:left="103" w:right="100" w:firstLine="14"/>
              <w:spacing w:before="94"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中国证券监督管理委员会安徽监管局决定对深圳市鹏信资产评估土</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地房地产估价有限公司、评估师采取出具警示函的监督管理</w:t>
            </w:r>
            <w:r>
              <w:rPr>
                <w:rFonts w:ascii="Microsoft YaHei" w:hAnsi="Microsoft YaHei" w:eastAsia="Microsoft YaHei" w:cs="Microsoft YaHei"/>
                <w:sz w:val="21"/>
                <w:szCs w:val="21"/>
                <w:spacing w:val="1"/>
              </w:rPr>
              <w:t>措施，并记入证券期货市</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场诚信档案。</w:t>
            </w:r>
          </w:p>
        </w:tc>
      </w:tr>
      <w:tr>
        <w:trPr>
          <w:trHeight w:val="723" w:hRule="atLeast"/>
        </w:trPr>
        <w:tc>
          <w:tcPr>
            <w:shd w:val="clear" w:fill="B8CCE4"/>
            <w:tcW w:w="1214" w:type="dxa"/>
            <w:vAlign w:val="top"/>
          </w:tcPr>
          <w:p>
            <w:pPr>
              <w:ind w:left="111"/>
              <w:spacing w:before="284"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002291</w:t>
            </w:r>
          </w:p>
        </w:tc>
        <w:tc>
          <w:tcPr>
            <w:shd w:val="clear" w:fill="B8CCE4"/>
            <w:tcW w:w="1345" w:type="dxa"/>
            <w:vAlign w:val="top"/>
          </w:tcPr>
          <w:p>
            <w:pPr>
              <w:ind w:left="98"/>
              <w:spacing w:before="27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遥望科技</w:t>
            </w:r>
          </w:p>
        </w:tc>
        <w:tc>
          <w:tcPr>
            <w:shd w:val="clear" w:fill="B8CCE4"/>
            <w:tcW w:w="5496" w:type="dxa"/>
            <w:vAlign w:val="top"/>
          </w:tcPr>
          <w:p>
            <w:pPr>
              <w:ind w:left="109" w:right="101" w:hanging="9"/>
              <w:spacing w:before="97"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9"/>
              </w:rPr>
              <w:t>大华会计师事务所（特殊普通合伙）执业的遥望科技</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spacing w:val="-4"/>
              </w:rPr>
              <w:t>2021年、</w:t>
            </w:r>
            <w:r>
              <w:rPr>
                <w:rFonts w:ascii="Microsoft YaHei" w:hAnsi="Microsoft YaHei" w:eastAsia="Microsoft YaHei" w:cs="Microsoft YaHei"/>
                <w:sz w:val="21"/>
                <w:szCs w:val="21"/>
                <w:spacing w:val="29"/>
              </w:rPr>
              <w:t xml:space="preserve"> </w:t>
            </w:r>
            <w:r>
              <w:rPr>
                <w:rFonts w:ascii="Microsoft YaHei" w:hAnsi="Microsoft YaHei" w:eastAsia="Microsoft YaHei" w:cs="Microsoft YaHei"/>
                <w:sz w:val="21"/>
                <w:szCs w:val="21"/>
                <w:spacing w:val="-4"/>
              </w:rPr>
              <w:t>2022年年报审计工作执业中存在问题。</w:t>
            </w:r>
          </w:p>
        </w:tc>
      </w:tr>
      <w:tr>
        <w:trPr>
          <w:trHeight w:val="726" w:hRule="atLeast"/>
        </w:trPr>
        <w:tc>
          <w:tcPr>
            <w:tcW w:w="8055" w:type="dxa"/>
            <w:vAlign w:val="top"/>
            <w:gridSpan w:val="3"/>
          </w:tcPr>
          <w:p>
            <w:pPr>
              <w:ind w:left="105" w:right="100" w:firstLine="13"/>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中国证券监督管理委员会广东监管局决定对大华所、注册会计师采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取出具警示函的行政监管措施。</w:t>
            </w:r>
          </w:p>
        </w:tc>
      </w:tr>
      <w:tr>
        <w:trPr>
          <w:trHeight w:val="364" w:hRule="atLeast"/>
        </w:trPr>
        <w:tc>
          <w:tcPr>
            <w:shd w:val="clear" w:fill="B8CCE4"/>
            <w:tcW w:w="1214" w:type="dxa"/>
            <w:vAlign w:val="top"/>
          </w:tcPr>
          <w:p>
            <w:pPr>
              <w:ind w:left="111"/>
              <w:spacing w:before="106" w:line="16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002789</w:t>
            </w:r>
          </w:p>
        </w:tc>
        <w:tc>
          <w:tcPr>
            <w:shd w:val="clear" w:fill="B8CCE4"/>
            <w:tcW w:w="1345" w:type="dxa"/>
            <w:vAlign w:val="top"/>
          </w:tcPr>
          <w:p>
            <w:pPr>
              <w:ind w:left="98"/>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建艺集团</w:t>
            </w:r>
          </w:p>
        </w:tc>
        <w:tc>
          <w:tcPr>
            <w:shd w:val="clear" w:fill="B8CCE4"/>
            <w:tcW w:w="5496" w:type="dxa"/>
            <w:vAlign w:val="top"/>
          </w:tcPr>
          <w:p>
            <w:pPr>
              <w:ind w:left="100"/>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公司</w:t>
            </w:r>
            <w:r>
              <w:rPr>
                <w:rFonts w:ascii="Microsoft YaHei" w:hAnsi="Microsoft YaHei" w:eastAsia="Microsoft YaHei" w:cs="Microsoft YaHei"/>
                <w:sz w:val="21"/>
                <w:szCs w:val="21"/>
                <w:b/>
                <w:bCs/>
                <w:spacing w:val="-1"/>
              </w:rPr>
              <w:t>治理、财务会计核算和信息披露</w:t>
            </w:r>
            <w:r>
              <w:rPr>
                <w:rFonts w:ascii="Microsoft YaHei" w:hAnsi="Microsoft YaHei" w:eastAsia="Microsoft YaHei" w:cs="Microsoft YaHei"/>
                <w:sz w:val="21"/>
                <w:szCs w:val="21"/>
                <w:spacing w:val="-1"/>
              </w:rPr>
              <w:t>不规范。</w:t>
            </w:r>
          </w:p>
        </w:tc>
      </w:tr>
      <w:tr>
        <w:trPr>
          <w:trHeight w:val="1086" w:hRule="atLeast"/>
        </w:trPr>
        <w:tc>
          <w:tcPr>
            <w:tcW w:w="8055" w:type="dxa"/>
            <w:vAlign w:val="top"/>
            <w:gridSpan w:val="3"/>
          </w:tcPr>
          <w:p>
            <w:pPr>
              <w:ind w:left="106" w:right="100" w:firstLine="12"/>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中国证券监督管理委员会深圳监管局决定对时任董事长兼总经理刘</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某云、董事长唐某、总经理张某文、时任财务总监李</w:t>
            </w:r>
            <w:r>
              <w:rPr>
                <w:rFonts w:ascii="Microsoft YaHei" w:hAnsi="Microsoft YaHei" w:eastAsia="Microsoft YaHei" w:cs="Microsoft YaHei"/>
                <w:sz w:val="21"/>
                <w:szCs w:val="21"/>
                <w:spacing w:val="1"/>
              </w:rPr>
              <w:t>某波、财务总监高某强、时任董</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事会秘书高某华、董事会秘书林某栋分别采取出具警示函的行政监管措施。</w:t>
            </w:r>
          </w:p>
        </w:tc>
      </w:tr>
      <w:tr>
        <w:trPr>
          <w:trHeight w:val="1083" w:hRule="atLeast"/>
        </w:trPr>
        <w:tc>
          <w:tcPr>
            <w:shd w:val="clear" w:fill="B8CCE4"/>
            <w:tcW w:w="1214" w:type="dxa"/>
            <w:vAlign w:val="top"/>
          </w:tcPr>
          <w:p>
            <w:pPr>
              <w:spacing w:line="376"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688788</w:t>
            </w:r>
          </w:p>
        </w:tc>
        <w:tc>
          <w:tcPr>
            <w:shd w:val="clear" w:fill="B8CCE4"/>
            <w:tcW w:w="1345" w:type="dxa"/>
            <w:vAlign w:val="top"/>
          </w:tcPr>
          <w:p>
            <w:pPr>
              <w:spacing w:line="366"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科思科技</w:t>
            </w:r>
          </w:p>
        </w:tc>
        <w:tc>
          <w:tcPr>
            <w:shd w:val="clear" w:fill="B8CCE4"/>
            <w:tcW w:w="5496" w:type="dxa"/>
            <w:vAlign w:val="top"/>
          </w:tcPr>
          <w:p>
            <w:pPr>
              <w:ind w:left="99" w:right="98" w:firstLine="1"/>
              <w:spacing w:before="100"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6"/>
              </w:rPr>
              <w:t>深圳市科思科技股份有限公司未对2022年度</w:t>
            </w:r>
            <w:r>
              <w:rPr>
                <w:rFonts w:ascii="Microsoft YaHei" w:hAnsi="Microsoft YaHei" w:eastAsia="Microsoft YaHei" w:cs="Microsoft YaHei"/>
                <w:sz w:val="21"/>
                <w:szCs w:val="21"/>
                <w:b/>
                <w:bCs/>
                <w:spacing w:val="6"/>
              </w:rPr>
              <w:t>计提大额减</w:t>
            </w:r>
            <w:r>
              <w:rPr>
                <w:rFonts w:ascii="Microsoft YaHei" w:hAnsi="Microsoft YaHei" w:eastAsia="Microsoft YaHei" w:cs="Microsoft YaHei"/>
                <w:sz w:val="21"/>
                <w:szCs w:val="21"/>
                <w:b/>
                <w:bCs/>
                <w:spacing w:val="11"/>
              </w:rPr>
              <w:t xml:space="preserve"> </w:t>
            </w:r>
            <w:r>
              <w:rPr>
                <w:rFonts w:ascii="Microsoft YaHei" w:hAnsi="Microsoft YaHei" w:eastAsia="Microsoft YaHei" w:cs="Microsoft YaHei"/>
                <w:sz w:val="21"/>
                <w:szCs w:val="21"/>
                <w:b/>
                <w:bCs/>
                <w:spacing w:val="5"/>
              </w:rPr>
              <w:t>值事项</w:t>
            </w:r>
            <w:r>
              <w:rPr>
                <w:rFonts w:ascii="Microsoft YaHei" w:hAnsi="Microsoft YaHei" w:eastAsia="Microsoft YaHei" w:cs="Microsoft YaHei"/>
                <w:sz w:val="21"/>
                <w:szCs w:val="21"/>
                <w:spacing w:val="5"/>
              </w:rPr>
              <w:t>单独履行临时公告义务，</w:t>
            </w:r>
            <w:r>
              <w:rPr>
                <w:rFonts w:ascii="Microsoft YaHei" w:hAnsi="Microsoft YaHei" w:eastAsia="Microsoft YaHei" w:cs="Microsoft YaHei"/>
                <w:sz w:val="21"/>
                <w:szCs w:val="21"/>
                <w:spacing w:val="-24"/>
              </w:rPr>
              <w:t xml:space="preserve"> </w:t>
            </w:r>
            <w:r>
              <w:rPr>
                <w:rFonts w:ascii="Microsoft YaHei" w:hAnsi="Microsoft YaHei" w:eastAsia="Microsoft YaHei" w:cs="Microsoft YaHei"/>
                <w:sz w:val="21"/>
                <w:szCs w:val="21"/>
                <w:spacing w:val="5"/>
              </w:rPr>
              <w:t>2021年业绩快报内幕信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息知情人档案存在</w:t>
            </w:r>
            <w:r>
              <w:rPr>
                <w:rFonts w:ascii="Microsoft YaHei" w:hAnsi="Microsoft YaHei" w:eastAsia="Microsoft YaHei" w:cs="Microsoft YaHei"/>
                <w:sz w:val="21"/>
                <w:szCs w:val="21"/>
                <w:b/>
                <w:bCs/>
              </w:rPr>
              <w:t>遗漏登记法定知悉人员</w:t>
            </w:r>
            <w:r>
              <w:rPr>
                <w:rFonts w:ascii="Microsoft YaHei" w:hAnsi="Microsoft YaHei" w:eastAsia="Microsoft YaHei" w:cs="Microsoft YaHei"/>
                <w:sz w:val="21"/>
                <w:szCs w:val="21"/>
              </w:rPr>
              <w:t>情形。</w:t>
            </w:r>
          </w:p>
        </w:tc>
      </w:tr>
      <w:tr>
        <w:trPr>
          <w:trHeight w:val="726" w:hRule="atLeast"/>
        </w:trPr>
        <w:tc>
          <w:tcPr>
            <w:tcW w:w="8055" w:type="dxa"/>
            <w:vAlign w:val="top"/>
            <w:gridSpan w:val="3"/>
          </w:tcPr>
          <w:p>
            <w:pPr>
              <w:ind w:left="115" w:right="100" w:firstLine="2"/>
              <w:spacing w:before="103"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中国证券监督管理委员会深圳监管局决定对深圳市科思科技股份有</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限公司、董事长刘某德和时任董秘庄某华采取出具警示函的监管措施。</w:t>
            </w:r>
          </w:p>
        </w:tc>
      </w:tr>
      <w:tr>
        <w:trPr>
          <w:trHeight w:val="723" w:hRule="atLeast"/>
        </w:trPr>
        <w:tc>
          <w:tcPr>
            <w:shd w:val="clear" w:fill="B8CCE4"/>
            <w:tcW w:w="1214" w:type="dxa"/>
            <w:vAlign w:val="top"/>
          </w:tcPr>
          <w:p>
            <w:pPr>
              <w:ind w:left="117"/>
              <w:spacing w:before="289"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300961</w:t>
            </w:r>
          </w:p>
        </w:tc>
        <w:tc>
          <w:tcPr>
            <w:shd w:val="clear" w:fill="B8CCE4"/>
            <w:tcW w:w="1345" w:type="dxa"/>
            <w:vAlign w:val="top"/>
          </w:tcPr>
          <w:p>
            <w:pPr>
              <w:ind w:left="99"/>
              <w:spacing w:before="28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深水海纳</w:t>
            </w:r>
          </w:p>
        </w:tc>
        <w:tc>
          <w:tcPr>
            <w:shd w:val="clear" w:fill="B8CCE4"/>
            <w:tcW w:w="5496" w:type="dxa"/>
            <w:vAlign w:val="top"/>
          </w:tcPr>
          <w:p>
            <w:pPr>
              <w:ind w:left="100" w:right="100"/>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坏账准备计提、收入成本核算、特许经营权摊销</w:t>
            </w:r>
            <w:r>
              <w:rPr>
                <w:rFonts w:ascii="Microsoft YaHei" w:hAnsi="Microsoft YaHei" w:eastAsia="Microsoft YaHei" w:cs="Microsoft YaHei"/>
                <w:sz w:val="21"/>
                <w:szCs w:val="21"/>
                <w:spacing w:val="1"/>
              </w:rPr>
              <w:t>等方面不</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0"/>
              </w:rPr>
              <w:t>规范。</w:t>
            </w:r>
          </w:p>
        </w:tc>
      </w:tr>
      <w:tr>
        <w:trPr>
          <w:trHeight w:val="736" w:hRule="atLeast"/>
        </w:trPr>
        <w:tc>
          <w:tcPr>
            <w:tcW w:w="8055" w:type="dxa"/>
            <w:vAlign w:val="top"/>
            <w:gridSpan w:val="3"/>
          </w:tcPr>
          <w:p>
            <w:pPr>
              <w:ind w:left="105" w:right="108" w:firstLine="13"/>
              <w:spacing w:before="104"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6"/>
              </w:rPr>
              <w:t>【行政监管措施】</w:t>
            </w:r>
            <w:r>
              <w:rPr>
                <w:rFonts w:ascii="Microsoft YaHei" w:hAnsi="Microsoft YaHei" w:eastAsia="Microsoft YaHei" w:cs="Microsoft YaHei"/>
                <w:sz w:val="21"/>
                <w:szCs w:val="21"/>
                <w:b/>
                <w:bCs/>
                <w:spacing w:val="-28"/>
              </w:rPr>
              <w:t xml:space="preserve"> </w:t>
            </w:r>
            <w:r>
              <w:rPr>
                <w:rFonts w:ascii="Microsoft YaHei" w:hAnsi="Microsoft YaHei" w:eastAsia="Microsoft YaHei" w:cs="Microsoft YaHei"/>
                <w:sz w:val="21"/>
                <w:szCs w:val="21"/>
                <w:spacing w:val="6"/>
              </w:rPr>
              <w:t>中国证券监督管理委员会深圳监管局决定对董事长，总经理李某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波、时任总经理肖某成、财务总监秦某采取出具警示函的监管措施。</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374" w:hRule="atLeast"/>
        </w:trPr>
        <w:tc>
          <w:tcPr>
            <w:shd w:val="clear" w:fill="B8CCE4"/>
            <w:tcW w:w="1214" w:type="dxa"/>
            <w:vAlign w:val="top"/>
            <w:tcBorders>
              <w:top w:val="single" w:color="4F81BD" w:sz="2" w:space="0"/>
            </w:tcBorders>
          </w:tcPr>
          <w:p>
            <w:pPr>
              <w:ind w:left="117"/>
              <w:spacing w:before="10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300647</w:t>
            </w:r>
          </w:p>
        </w:tc>
        <w:tc>
          <w:tcPr>
            <w:shd w:val="clear" w:fill="B8CCE4"/>
            <w:tcW w:w="1345" w:type="dxa"/>
            <w:vAlign w:val="top"/>
            <w:tcBorders>
              <w:top w:val="single" w:color="4F81BD" w:sz="2" w:space="0"/>
            </w:tcBorders>
          </w:tcPr>
          <w:p>
            <w:pPr>
              <w:ind w:left="99"/>
              <w:spacing w:before="96" w:line="17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超频三</w:t>
            </w:r>
          </w:p>
        </w:tc>
        <w:tc>
          <w:tcPr>
            <w:shd w:val="clear" w:fill="B8CCE4"/>
            <w:tcW w:w="5496" w:type="dxa"/>
            <w:vAlign w:val="top"/>
            <w:tcBorders>
              <w:top w:val="single" w:color="4F81BD" w:sz="2" w:space="0"/>
            </w:tcBorders>
          </w:tcPr>
          <w:p>
            <w:pPr>
              <w:ind w:left="102"/>
              <w:spacing w:before="96" w:line="17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董事配偶</w:t>
            </w:r>
            <w:r>
              <w:rPr>
                <w:rFonts w:ascii="Microsoft YaHei" w:hAnsi="Microsoft YaHei" w:eastAsia="Microsoft YaHei" w:cs="Microsoft YaHei"/>
                <w:sz w:val="21"/>
                <w:szCs w:val="21"/>
                <w:b/>
                <w:bCs/>
                <w:spacing w:val="-3"/>
              </w:rPr>
              <w:t>短线交易。</w:t>
            </w:r>
          </w:p>
        </w:tc>
      </w:tr>
      <w:tr>
        <w:trPr>
          <w:trHeight w:val="724" w:hRule="atLeast"/>
        </w:trPr>
        <w:tc>
          <w:tcPr>
            <w:tcW w:w="8055" w:type="dxa"/>
            <w:vAlign w:val="top"/>
            <w:gridSpan w:val="3"/>
          </w:tcPr>
          <w:p>
            <w:pPr>
              <w:ind w:left="106" w:right="100" w:firstLine="11"/>
              <w:spacing w:before="86" w:line="20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中国证券监督管理委员会深圳监管局决定对董事采取出具警示函的</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5"/>
              </w:rPr>
              <w:t>监管措施。</w:t>
            </w:r>
          </w:p>
        </w:tc>
      </w:tr>
      <w:tr>
        <w:trPr>
          <w:trHeight w:val="582" w:hRule="atLeast"/>
        </w:trPr>
        <w:tc>
          <w:tcPr>
            <w:shd w:val="clear" w:fill="B8CCE4"/>
            <w:tcW w:w="1214" w:type="dxa"/>
            <w:vAlign w:val="top"/>
          </w:tcPr>
          <w:p>
            <w:pPr>
              <w:ind w:left="117"/>
              <w:spacing w:before="207"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300877</w:t>
            </w:r>
          </w:p>
        </w:tc>
        <w:tc>
          <w:tcPr>
            <w:shd w:val="clear" w:fill="B8CCE4"/>
            <w:tcW w:w="1345" w:type="dxa"/>
            <w:vAlign w:val="top"/>
          </w:tcPr>
          <w:p>
            <w:pPr>
              <w:ind w:left="97"/>
              <w:spacing w:before="199"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金春股份</w:t>
            </w:r>
          </w:p>
        </w:tc>
        <w:tc>
          <w:tcPr>
            <w:shd w:val="clear" w:fill="B8CCE4"/>
            <w:tcW w:w="5496" w:type="dxa"/>
            <w:vAlign w:val="top"/>
          </w:tcPr>
          <w:p>
            <w:pPr>
              <w:ind w:left="109"/>
              <w:spacing w:before="198"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2022年度</w:t>
            </w:r>
            <w:r>
              <w:rPr>
                <w:rFonts w:ascii="Microsoft YaHei" w:hAnsi="Microsoft YaHei" w:eastAsia="Microsoft YaHei" w:cs="Microsoft YaHei"/>
                <w:sz w:val="21"/>
                <w:szCs w:val="21"/>
                <w:b/>
                <w:bCs/>
                <w:spacing w:val="-1"/>
              </w:rPr>
              <w:t>业绩预告</w:t>
            </w:r>
            <w:r>
              <w:rPr>
                <w:rFonts w:ascii="Microsoft YaHei" w:hAnsi="Microsoft YaHei" w:eastAsia="Microsoft YaHei" w:cs="Microsoft YaHei"/>
                <w:sz w:val="21"/>
                <w:szCs w:val="21"/>
                <w:spacing w:val="-1"/>
              </w:rPr>
              <w:t>不准确；</w:t>
            </w:r>
            <w:r>
              <w:rPr>
                <w:rFonts w:ascii="Microsoft YaHei" w:hAnsi="Microsoft YaHei" w:eastAsia="Microsoft YaHei" w:cs="Microsoft YaHei"/>
                <w:sz w:val="21"/>
                <w:szCs w:val="21"/>
                <w:b/>
                <w:bCs/>
                <w:spacing w:val="-1"/>
              </w:rPr>
              <w:t>募集资金</w:t>
            </w:r>
            <w:r>
              <w:rPr>
                <w:rFonts w:ascii="Microsoft YaHei" w:hAnsi="Microsoft YaHei" w:eastAsia="Microsoft YaHei" w:cs="Microsoft YaHei"/>
                <w:sz w:val="21"/>
                <w:szCs w:val="21"/>
                <w:spacing w:val="-1"/>
              </w:rPr>
              <w:t>使用管理不</w:t>
            </w:r>
            <w:r>
              <w:rPr>
                <w:rFonts w:ascii="Microsoft YaHei" w:hAnsi="Microsoft YaHei" w:eastAsia="Microsoft YaHei" w:cs="Microsoft YaHei"/>
                <w:sz w:val="21"/>
                <w:szCs w:val="21"/>
                <w:spacing w:val="-2"/>
              </w:rPr>
              <w:t>规范。</w:t>
            </w:r>
          </w:p>
        </w:tc>
      </w:tr>
      <w:tr>
        <w:trPr>
          <w:trHeight w:val="1083" w:hRule="atLeast"/>
        </w:trPr>
        <w:tc>
          <w:tcPr>
            <w:tcW w:w="8055" w:type="dxa"/>
            <w:vAlign w:val="top"/>
            <w:gridSpan w:val="3"/>
          </w:tcPr>
          <w:p>
            <w:pPr>
              <w:ind w:left="106" w:right="100" w:firstLine="12"/>
              <w:spacing w:before="86"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中国证券监督管理委员会安徽监管局决定对安徽金春无纺布股份有</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限公司采取出具警示函的行政监管措施并记入证券期</w:t>
            </w:r>
            <w:r>
              <w:rPr>
                <w:rFonts w:ascii="Microsoft YaHei" w:hAnsi="Microsoft YaHei" w:eastAsia="Microsoft YaHei" w:cs="Microsoft YaHei"/>
                <w:sz w:val="21"/>
                <w:szCs w:val="21"/>
                <w:spacing w:val="1"/>
              </w:rPr>
              <w:t>货市场诚信档案，对财务总监仰</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某勇采取监管谈话的行政监管措施并计入证券期货市场诚信档案。</w:t>
            </w:r>
          </w:p>
        </w:tc>
      </w:tr>
      <w:tr>
        <w:trPr>
          <w:trHeight w:val="726" w:hRule="atLeast"/>
        </w:trPr>
        <w:tc>
          <w:tcPr>
            <w:shd w:val="clear" w:fill="B8CCE4"/>
            <w:tcW w:w="1214" w:type="dxa"/>
            <w:vAlign w:val="top"/>
          </w:tcPr>
          <w:p>
            <w:pPr>
              <w:ind w:left="114"/>
              <w:spacing w:before="28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603011</w:t>
            </w:r>
          </w:p>
        </w:tc>
        <w:tc>
          <w:tcPr>
            <w:shd w:val="clear" w:fill="B8CCE4"/>
            <w:tcW w:w="1345" w:type="dxa"/>
            <w:vAlign w:val="top"/>
          </w:tcPr>
          <w:p>
            <w:pPr>
              <w:ind w:left="98"/>
              <w:spacing w:before="272"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合锻智能</w:t>
            </w:r>
          </w:p>
        </w:tc>
        <w:tc>
          <w:tcPr>
            <w:shd w:val="clear" w:fill="B8CCE4"/>
            <w:tcW w:w="5496" w:type="dxa"/>
            <w:vAlign w:val="top"/>
          </w:tcPr>
          <w:p>
            <w:pPr>
              <w:ind w:left="101" w:right="126" w:hanging="1"/>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应收票据会计确认</w:t>
            </w:r>
            <w:r>
              <w:rPr>
                <w:rFonts w:ascii="Microsoft YaHei" w:hAnsi="Microsoft YaHei" w:eastAsia="Microsoft YaHei" w:cs="Microsoft YaHei"/>
                <w:sz w:val="21"/>
                <w:szCs w:val="21"/>
                <w:spacing w:val="-4"/>
              </w:rPr>
              <w:t>计量不准确；</w:t>
            </w:r>
            <w:r>
              <w:rPr>
                <w:rFonts w:ascii="Microsoft YaHei" w:hAnsi="Microsoft YaHei" w:eastAsia="Microsoft YaHei" w:cs="Microsoft YaHei"/>
                <w:sz w:val="21"/>
                <w:szCs w:val="21"/>
                <w:spacing w:val="40"/>
                <w:w w:val="101"/>
              </w:rPr>
              <w:t xml:space="preserve"> </w:t>
            </w:r>
            <w:r>
              <w:rPr>
                <w:rFonts w:ascii="Microsoft YaHei" w:hAnsi="Microsoft YaHei" w:eastAsia="Microsoft YaHei" w:cs="Microsoft YaHei"/>
                <w:sz w:val="21"/>
                <w:szCs w:val="21"/>
                <w:spacing w:val="-4"/>
              </w:rPr>
              <w:t>公司</w:t>
            </w:r>
            <w:r>
              <w:rPr>
                <w:rFonts w:ascii="Microsoft YaHei" w:hAnsi="Microsoft YaHei" w:eastAsia="Microsoft YaHei" w:cs="Microsoft YaHei"/>
                <w:sz w:val="21"/>
                <w:szCs w:val="21"/>
                <w:b/>
                <w:bCs/>
                <w:spacing w:val="-4"/>
              </w:rPr>
              <w:t>业绩预告</w:t>
            </w:r>
            <w:r>
              <w:rPr>
                <w:rFonts w:ascii="Microsoft YaHei" w:hAnsi="Microsoft YaHei" w:eastAsia="Microsoft YaHei" w:cs="Microsoft YaHei"/>
                <w:sz w:val="21"/>
                <w:szCs w:val="21"/>
                <w:spacing w:val="-4"/>
              </w:rPr>
              <w:t>信息披露不</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8"/>
              </w:rPr>
              <w:t>准确；</w:t>
            </w:r>
            <w:r>
              <w:rPr>
                <w:rFonts w:ascii="Microsoft YaHei" w:hAnsi="Microsoft YaHei" w:eastAsia="Microsoft YaHei" w:cs="Microsoft YaHei"/>
                <w:sz w:val="21"/>
                <w:szCs w:val="21"/>
                <w:spacing w:val="51"/>
                <w:w w:val="101"/>
              </w:rPr>
              <w:t xml:space="preserve"> </w:t>
            </w:r>
            <w:r>
              <w:rPr>
                <w:rFonts w:ascii="Microsoft YaHei" w:hAnsi="Microsoft YaHei" w:eastAsia="Microsoft YaHei" w:cs="Microsoft YaHei"/>
                <w:sz w:val="21"/>
                <w:szCs w:val="21"/>
                <w:b/>
                <w:bCs/>
                <w:spacing w:val="-8"/>
              </w:rPr>
              <w:t>公司治理</w:t>
            </w:r>
            <w:r>
              <w:rPr>
                <w:rFonts w:ascii="Microsoft YaHei" w:hAnsi="Microsoft YaHei" w:eastAsia="Microsoft YaHei" w:cs="Microsoft YaHei"/>
                <w:sz w:val="21"/>
                <w:szCs w:val="21"/>
                <w:spacing w:val="-8"/>
              </w:rPr>
              <w:t>不规范， 公司制度执行不到位。</w:t>
            </w:r>
          </w:p>
        </w:tc>
      </w:tr>
      <w:tr>
        <w:trPr>
          <w:trHeight w:val="1805" w:hRule="atLeast"/>
        </w:trPr>
        <w:tc>
          <w:tcPr>
            <w:tcW w:w="8055" w:type="dxa"/>
            <w:vAlign w:val="top"/>
            <w:gridSpan w:val="3"/>
          </w:tcPr>
          <w:p>
            <w:pPr>
              <w:ind w:left="103" w:right="100" w:firstLine="14"/>
              <w:spacing w:before="91" w:line="22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中国证券监督管理委员会安徽监管局决定对合肥合锻智能制造股份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有限公司采取警示函的行政监管措施，</w:t>
            </w:r>
            <w:r>
              <w:rPr>
                <w:rFonts w:ascii="Microsoft YaHei" w:hAnsi="Microsoft YaHei" w:eastAsia="Microsoft YaHei" w:cs="Microsoft YaHei"/>
                <w:sz w:val="21"/>
                <w:szCs w:val="21"/>
                <w:spacing w:val="74"/>
                <w:w w:val="101"/>
              </w:rPr>
              <w:t xml:space="preserve"> </w:t>
            </w:r>
            <w:r>
              <w:rPr>
                <w:rFonts w:ascii="Microsoft YaHei" w:hAnsi="Microsoft YaHei" w:eastAsia="Microsoft YaHei" w:cs="Microsoft YaHei"/>
                <w:sz w:val="21"/>
                <w:szCs w:val="21"/>
                <w:spacing w:val="-2"/>
              </w:rPr>
              <w:t>并记入证券期货市场诚信档案。中国证券监督</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管理委员会安徽监管局决定对董事长严某文、时任董事张某</w:t>
            </w:r>
            <w:r>
              <w:rPr>
                <w:rFonts w:ascii="Microsoft YaHei" w:hAnsi="Microsoft YaHei" w:eastAsia="Microsoft YaHei" w:cs="Microsoft YaHei"/>
                <w:sz w:val="21"/>
                <w:szCs w:val="21"/>
                <w:spacing w:val="1"/>
              </w:rPr>
              <w:t>平、总经理王某、副总经</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7"/>
              </w:rPr>
              <w:t>理韩某风、董秘王某峰采取监管谈话的行政监管措施，并记入证券期货市场诚信档</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spacing w:val="-11"/>
              </w:rPr>
              <w:t>案。</w:t>
            </w:r>
          </w:p>
        </w:tc>
      </w:tr>
      <w:tr>
        <w:trPr>
          <w:trHeight w:val="364" w:hRule="atLeast"/>
        </w:trPr>
        <w:tc>
          <w:tcPr>
            <w:shd w:val="clear" w:fill="B8CCE4"/>
            <w:tcW w:w="1214" w:type="dxa"/>
            <w:vAlign w:val="top"/>
          </w:tcPr>
          <w:p>
            <w:pPr>
              <w:ind w:left="117"/>
              <w:spacing w:before="101"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300886</w:t>
            </w:r>
          </w:p>
        </w:tc>
        <w:tc>
          <w:tcPr>
            <w:shd w:val="clear" w:fill="B8CCE4"/>
            <w:tcW w:w="1345" w:type="dxa"/>
            <w:vAlign w:val="top"/>
          </w:tcPr>
          <w:p>
            <w:pPr>
              <w:ind w:left="100"/>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华业香料</w:t>
            </w:r>
          </w:p>
        </w:tc>
        <w:tc>
          <w:tcPr>
            <w:shd w:val="clear" w:fill="B8CCE4"/>
            <w:tcW w:w="5496" w:type="dxa"/>
            <w:vAlign w:val="top"/>
          </w:tcPr>
          <w:p>
            <w:pPr>
              <w:ind w:left="105"/>
              <w:spacing w:before="92"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5"/>
              </w:rPr>
              <w:t>董事会运作不</w:t>
            </w:r>
            <w:r>
              <w:rPr>
                <w:rFonts w:ascii="Microsoft YaHei" w:hAnsi="Microsoft YaHei" w:eastAsia="Microsoft YaHei" w:cs="Microsoft YaHei"/>
                <w:sz w:val="21"/>
                <w:szCs w:val="21"/>
                <w:spacing w:val="-5"/>
              </w:rPr>
              <w:t>规范；</w:t>
            </w:r>
            <w:r>
              <w:rPr>
                <w:rFonts w:ascii="Microsoft YaHei" w:hAnsi="Microsoft YaHei" w:eastAsia="Microsoft YaHei" w:cs="Microsoft YaHei"/>
                <w:sz w:val="21"/>
                <w:szCs w:val="21"/>
                <w:spacing w:val="33"/>
                <w:w w:val="101"/>
              </w:rPr>
              <w:t xml:space="preserve"> </w:t>
            </w:r>
            <w:r>
              <w:rPr>
                <w:rFonts w:ascii="Microsoft YaHei" w:hAnsi="Microsoft YaHei" w:eastAsia="Microsoft YaHei" w:cs="Microsoft YaHei"/>
                <w:sz w:val="21"/>
                <w:szCs w:val="21"/>
                <w:b/>
                <w:bCs/>
                <w:spacing w:val="-5"/>
              </w:rPr>
              <w:t>内幕信息知情人</w:t>
            </w:r>
            <w:r>
              <w:rPr>
                <w:rFonts w:ascii="Microsoft YaHei" w:hAnsi="Microsoft YaHei" w:eastAsia="Microsoft YaHei" w:cs="Microsoft YaHei"/>
                <w:sz w:val="21"/>
                <w:szCs w:val="21"/>
                <w:spacing w:val="-5"/>
              </w:rPr>
              <w:t>登记管理不规范。</w:t>
            </w:r>
          </w:p>
        </w:tc>
      </w:tr>
      <w:tr>
        <w:trPr>
          <w:trHeight w:val="726" w:hRule="atLeast"/>
        </w:trPr>
        <w:tc>
          <w:tcPr>
            <w:tcW w:w="8055" w:type="dxa"/>
            <w:vAlign w:val="top"/>
            <w:gridSpan w:val="3"/>
          </w:tcPr>
          <w:p>
            <w:pPr>
              <w:ind w:left="105" w:right="100" w:firstLine="13"/>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中国证券监督管理委员会安徽监管局决定对安徽华业香料股份有限</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公司采取责令改正并出具警示函的监督管理措施， 并计</w:t>
            </w:r>
            <w:r>
              <w:rPr>
                <w:rFonts w:ascii="Microsoft YaHei" w:hAnsi="Microsoft YaHei" w:eastAsia="Microsoft YaHei" w:cs="Microsoft YaHei"/>
                <w:sz w:val="21"/>
                <w:szCs w:val="21"/>
                <w:spacing w:val="-3"/>
              </w:rPr>
              <w:t>入证券期货市场诚信档案。</w:t>
            </w:r>
          </w:p>
        </w:tc>
      </w:tr>
      <w:tr>
        <w:trPr>
          <w:trHeight w:val="2525" w:hRule="atLeast"/>
        </w:trPr>
        <w:tc>
          <w:tcPr>
            <w:shd w:val="clear" w:fill="B8CCE4"/>
            <w:tcW w:w="1214" w:type="dxa"/>
            <w:vAlign w:val="top"/>
          </w:tcPr>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ind w:left="111"/>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002712</w:t>
            </w:r>
          </w:p>
        </w:tc>
        <w:tc>
          <w:tcPr>
            <w:shd w:val="clear" w:fill="B8CCE4"/>
            <w:tcW w:w="1345" w:type="dxa"/>
            <w:vAlign w:val="top"/>
          </w:tcPr>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spacing w:line="269"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思美传媒</w:t>
            </w:r>
          </w:p>
        </w:tc>
        <w:tc>
          <w:tcPr>
            <w:shd w:val="clear" w:fill="B8CCE4"/>
            <w:tcW w:w="5496" w:type="dxa"/>
            <w:vAlign w:val="top"/>
          </w:tcPr>
          <w:p>
            <w:pPr>
              <w:ind w:left="99" w:right="98"/>
              <w:spacing w:before="97" w:line="230"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朱某虬及一致行动人昌吉州首创投资有限合伙企业向四川</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
              </w:rPr>
              <w:t>省旅游投资集团有限责任公司分三次合计转让思美传媒股</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4"/>
              </w:rPr>
              <w:t>份有限公司29.99%股份，先后签署了共计</w:t>
            </w:r>
            <w:r>
              <w:rPr>
                <w:rFonts w:ascii="Microsoft YaHei" w:hAnsi="Microsoft YaHei" w:eastAsia="Microsoft YaHei" w:cs="Microsoft YaHei"/>
                <w:sz w:val="21"/>
                <w:szCs w:val="21"/>
                <w:spacing w:val="3"/>
              </w:rPr>
              <w:t>11份协议，其</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3"/>
              </w:rPr>
              <w:t>中仅告知并通过上市公司披露了《股份转让协议》（3</w:t>
            </w:r>
            <w:r>
              <w:rPr>
                <w:rFonts w:ascii="Microsoft YaHei" w:hAnsi="Microsoft YaHei" w:eastAsia="Microsoft YaHei" w:cs="Microsoft YaHei"/>
                <w:sz w:val="21"/>
                <w:szCs w:val="21"/>
                <w:spacing w:val="14"/>
              </w:rPr>
              <w:t xml:space="preserve"> </w:t>
            </w:r>
            <w:r>
              <w:rPr>
                <w:rFonts w:ascii="Microsoft YaHei" w:hAnsi="Microsoft YaHei" w:eastAsia="Microsoft YaHei" w:cs="Microsoft YaHei"/>
                <w:sz w:val="21"/>
                <w:szCs w:val="21"/>
                <w:spacing w:val="1"/>
              </w:rPr>
              <w:t>份）、《表决权委托协议》、朱某虬股份质押给四川旅投</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1"/>
              </w:rPr>
              <w:t>集团情况，但未披露《收购备忘录》《收购备忘录之补充</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rPr>
              <w:t>协议》等其他6份协议。</w:t>
            </w:r>
          </w:p>
        </w:tc>
      </w:tr>
      <w:tr>
        <w:trPr>
          <w:trHeight w:val="1083" w:hRule="atLeast"/>
        </w:trPr>
        <w:tc>
          <w:tcPr>
            <w:tcW w:w="8055" w:type="dxa"/>
            <w:vAlign w:val="top"/>
            <w:gridSpan w:val="3"/>
          </w:tcPr>
          <w:p>
            <w:pPr>
              <w:ind w:left="103" w:right="100" w:firstLine="14"/>
              <w:spacing w:before="95"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中国证券监督管理委员会浙江监管局决定对控股股东朱某虬、昌吉</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州首创投资有限合伙企业、四川省旅游投资集团有限责任公</w:t>
            </w:r>
            <w:r>
              <w:rPr>
                <w:rFonts w:ascii="Microsoft YaHei" w:hAnsi="Microsoft YaHei" w:eastAsia="Microsoft YaHei" w:cs="Microsoft YaHei"/>
                <w:sz w:val="21"/>
                <w:szCs w:val="21"/>
                <w:spacing w:val="1"/>
              </w:rPr>
              <w:t>司采取责令改正的监督管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理措施，并记入证券期货市场诚信档案。</w:t>
            </w:r>
          </w:p>
        </w:tc>
      </w:tr>
      <w:tr>
        <w:trPr>
          <w:trHeight w:val="366" w:hRule="atLeast"/>
        </w:trPr>
        <w:tc>
          <w:tcPr>
            <w:shd w:val="clear" w:fill="B8CCE4"/>
            <w:tcW w:w="1214" w:type="dxa"/>
            <w:vAlign w:val="top"/>
          </w:tcPr>
          <w:p>
            <w:pPr>
              <w:ind w:left="114"/>
              <w:spacing w:before="108" w:line="16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603880</w:t>
            </w:r>
          </w:p>
        </w:tc>
        <w:tc>
          <w:tcPr>
            <w:shd w:val="clear" w:fill="B8CCE4"/>
            <w:tcW w:w="1345" w:type="dxa"/>
            <w:vAlign w:val="top"/>
          </w:tcPr>
          <w:p>
            <w:pPr>
              <w:ind w:left="109"/>
              <w:spacing w:before="99"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ST南卫</w:t>
            </w:r>
          </w:p>
        </w:tc>
        <w:tc>
          <w:tcPr>
            <w:shd w:val="clear" w:fill="B8CCE4"/>
            <w:tcW w:w="5496" w:type="dxa"/>
            <w:vAlign w:val="top"/>
          </w:tcPr>
          <w:p>
            <w:pPr>
              <w:ind w:left="115"/>
              <w:spacing w:before="99"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5%以上的股东减持行为发生在ST南卫</w:t>
            </w:r>
            <w:r>
              <w:rPr>
                <w:rFonts w:ascii="Microsoft YaHei" w:hAnsi="Microsoft YaHei" w:eastAsia="Microsoft YaHei" w:cs="Microsoft YaHei"/>
                <w:sz w:val="21"/>
                <w:szCs w:val="21"/>
                <w:b/>
                <w:bCs/>
                <w:spacing w:val="-1"/>
              </w:rPr>
              <w:t>被立案调查期间</w:t>
            </w:r>
            <w:r>
              <w:rPr>
                <w:rFonts w:ascii="Microsoft YaHei" w:hAnsi="Microsoft YaHei" w:eastAsia="Microsoft YaHei" w:cs="Microsoft YaHei"/>
                <w:sz w:val="21"/>
                <w:szCs w:val="21"/>
                <w:spacing w:val="-1"/>
              </w:rPr>
              <w:t>。</w:t>
            </w:r>
          </w:p>
        </w:tc>
      </w:tr>
      <w:tr>
        <w:trPr>
          <w:trHeight w:val="723" w:hRule="atLeast"/>
        </w:trPr>
        <w:tc>
          <w:tcPr>
            <w:tcW w:w="8055" w:type="dxa"/>
            <w:vAlign w:val="top"/>
            <w:gridSpan w:val="3"/>
          </w:tcPr>
          <w:p>
            <w:pPr>
              <w:ind w:left="114" w:right="100" w:firstLine="4"/>
              <w:spacing w:before="97"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中国证券监督管理委员会江苏监管局决定对股东徐某采取责令改正</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的监管措施,并记入证券期货市场诚信档案。</w:t>
            </w:r>
          </w:p>
        </w:tc>
      </w:tr>
      <w:tr>
        <w:trPr>
          <w:trHeight w:val="611" w:hRule="atLeast"/>
        </w:trPr>
        <w:tc>
          <w:tcPr>
            <w:shd w:val="clear" w:fill="B8CCE4"/>
            <w:tcW w:w="1214" w:type="dxa"/>
            <w:vAlign w:val="top"/>
          </w:tcPr>
          <w:p>
            <w:pPr>
              <w:ind w:left="117"/>
              <w:spacing w:before="232"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300626</w:t>
            </w:r>
          </w:p>
        </w:tc>
        <w:tc>
          <w:tcPr>
            <w:shd w:val="clear" w:fill="B8CCE4"/>
            <w:tcW w:w="1345" w:type="dxa"/>
            <w:vAlign w:val="top"/>
          </w:tcPr>
          <w:p>
            <w:pPr>
              <w:ind w:left="100"/>
              <w:spacing w:before="223"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华瑞股份</w:t>
            </w:r>
          </w:p>
        </w:tc>
        <w:tc>
          <w:tcPr>
            <w:shd w:val="clear" w:fill="B8CCE4"/>
            <w:tcW w:w="5496" w:type="dxa"/>
            <w:vAlign w:val="top"/>
          </w:tcPr>
          <w:p>
            <w:pPr>
              <w:ind w:left="100"/>
              <w:spacing w:before="223"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未履行公开</w:t>
            </w:r>
            <w:r>
              <w:rPr>
                <w:rFonts w:ascii="Microsoft YaHei" w:hAnsi="Microsoft YaHei" w:eastAsia="Microsoft YaHei" w:cs="Microsoft YaHei"/>
                <w:sz w:val="21"/>
                <w:szCs w:val="21"/>
                <w:b/>
                <w:bCs/>
              </w:rPr>
              <w:t>业绩补偿承诺</w:t>
            </w:r>
            <w:r>
              <w:rPr>
                <w:rFonts w:ascii="Microsoft YaHei" w:hAnsi="Microsoft YaHei" w:eastAsia="Microsoft YaHei" w:cs="Microsoft YaHei"/>
                <w:sz w:val="21"/>
                <w:szCs w:val="21"/>
              </w:rPr>
              <w:t>。</w:t>
            </w:r>
          </w:p>
        </w:tc>
      </w:tr>
      <w:tr>
        <w:trPr>
          <w:trHeight w:val="726" w:hRule="atLeast"/>
        </w:trPr>
        <w:tc>
          <w:tcPr>
            <w:tcW w:w="8055" w:type="dxa"/>
            <w:vAlign w:val="top"/>
            <w:gridSpan w:val="3"/>
          </w:tcPr>
          <w:p>
            <w:pPr>
              <w:ind w:left="105" w:right="100" w:firstLine="13"/>
              <w:spacing w:before="100"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中国证券监督管理委员会宁波监管局决定对业绩承诺方采取责令改</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正的行政监管措施， 并将前述相关情况记入证券期货市场诚信档案。</w:t>
            </w:r>
          </w:p>
        </w:tc>
      </w:tr>
      <w:tr>
        <w:trPr>
          <w:trHeight w:val="364" w:hRule="atLeast"/>
        </w:trPr>
        <w:tc>
          <w:tcPr>
            <w:shd w:val="clear" w:fill="B8CCE4"/>
            <w:tcW w:w="1214" w:type="dxa"/>
            <w:vAlign w:val="top"/>
          </w:tcPr>
          <w:p>
            <w:pPr>
              <w:ind w:left="114"/>
              <w:spacing w:before="109" w:line="16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600525</w:t>
            </w:r>
          </w:p>
        </w:tc>
        <w:tc>
          <w:tcPr>
            <w:shd w:val="clear" w:fill="B8CCE4"/>
            <w:tcW w:w="1345" w:type="dxa"/>
            <w:vAlign w:val="top"/>
          </w:tcPr>
          <w:p>
            <w:pPr>
              <w:ind w:left="101"/>
              <w:spacing w:before="100"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长园集团</w:t>
            </w:r>
          </w:p>
        </w:tc>
        <w:tc>
          <w:tcPr>
            <w:shd w:val="clear" w:fill="B8CCE4"/>
            <w:tcW w:w="5496" w:type="dxa"/>
            <w:vAlign w:val="top"/>
          </w:tcPr>
          <w:p>
            <w:pPr>
              <w:ind w:left="99"/>
              <w:spacing w:before="100"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原副总裁虚拟任期减持</w:t>
            </w:r>
            <w:r>
              <w:rPr>
                <w:rFonts w:ascii="Microsoft YaHei" w:hAnsi="Microsoft YaHei" w:eastAsia="Microsoft YaHei" w:cs="Microsoft YaHei"/>
                <w:sz w:val="21"/>
                <w:szCs w:val="21"/>
                <w:b/>
                <w:bCs/>
              </w:rPr>
              <w:t>超比例</w:t>
            </w:r>
            <w:r>
              <w:rPr>
                <w:rFonts w:ascii="Microsoft YaHei" w:hAnsi="Microsoft YaHei" w:eastAsia="Microsoft YaHei" w:cs="Microsoft YaHei"/>
                <w:sz w:val="21"/>
                <w:szCs w:val="21"/>
              </w:rPr>
              <w:t>。</w:t>
            </w:r>
          </w:p>
        </w:tc>
      </w:tr>
      <w:tr>
        <w:trPr>
          <w:trHeight w:val="726" w:hRule="atLeast"/>
        </w:trPr>
        <w:tc>
          <w:tcPr>
            <w:tcW w:w="8055" w:type="dxa"/>
            <w:vAlign w:val="top"/>
            <w:gridSpan w:val="3"/>
          </w:tcPr>
          <w:p>
            <w:pPr>
              <w:ind w:left="105" w:right="100" w:firstLine="13"/>
              <w:spacing w:before="103"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中国证券监督管理委员会深圳监管局决定对时任高管魏某忠采取责</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令改正的行政监管措施。</w:t>
            </w:r>
          </w:p>
        </w:tc>
      </w:tr>
      <w:tr>
        <w:trPr>
          <w:trHeight w:val="723" w:hRule="atLeast"/>
        </w:trPr>
        <w:tc>
          <w:tcPr>
            <w:shd w:val="clear" w:fill="B8CCE4"/>
            <w:tcW w:w="1214" w:type="dxa"/>
            <w:vAlign w:val="top"/>
          </w:tcPr>
          <w:p>
            <w:pPr>
              <w:ind w:left="111"/>
              <w:spacing w:before="2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002528</w:t>
            </w:r>
          </w:p>
        </w:tc>
        <w:tc>
          <w:tcPr>
            <w:shd w:val="clear" w:fill="B8CCE4"/>
            <w:tcW w:w="1345" w:type="dxa"/>
            <w:vAlign w:val="top"/>
          </w:tcPr>
          <w:p>
            <w:pPr>
              <w:ind w:left="98"/>
              <w:spacing w:before="28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英飞拓</w:t>
            </w:r>
          </w:p>
        </w:tc>
        <w:tc>
          <w:tcPr>
            <w:shd w:val="clear" w:fill="B8CCE4"/>
            <w:tcW w:w="5496" w:type="dxa"/>
            <w:vAlign w:val="top"/>
          </w:tcPr>
          <w:p>
            <w:pPr>
              <w:ind w:left="100" w:right="101" w:firstLine="9"/>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2019年至2020年</w:t>
            </w:r>
            <w:r>
              <w:rPr>
                <w:rFonts w:ascii="Microsoft YaHei" w:hAnsi="Microsoft YaHei" w:eastAsia="Microsoft YaHei" w:cs="Microsoft YaHei"/>
                <w:sz w:val="21"/>
                <w:szCs w:val="21"/>
                <w:b/>
                <w:bCs/>
                <w:spacing w:val="2"/>
              </w:rPr>
              <w:t>财务报告</w:t>
            </w:r>
            <w:r>
              <w:rPr>
                <w:rFonts w:ascii="Microsoft YaHei" w:hAnsi="Microsoft YaHei" w:eastAsia="Microsoft YaHei" w:cs="Microsoft YaHei"/>
                <w:sz w:val="21"/>
                <w:szCs w:val="21"/>
                <w:spacing w:val="2"/>
              </w:rPr>
              <w:t>披露不准确；</w:t>
            </w:r>
            <w:r>
              <w:rPr>
                <w:rFonts w:ascii="Microsoft YaHei" w:hAnsi="Microsoft YaHei" w:eastAsia="Microsoft YaHei" w:cs="Microsoft YaHei"/>
                <w:sz w:val="21"/>
                <w:szCs w:val="21"/>
                <w:spacing w:val="-31"/>
              </w:rPr>
              <w:t xml:space="preserve"> </w:t>
            </w:r>
            <w:r>
              <w:rPr>
                <w:rFonts w:ascii="Microsoft YaHei" w:hAnsi="Microsoft YaHei" w:eastAsia="Microsoft YaHei" w:cs="Microsoft YaHei"/>
                <w:sz w:val="21"/>
                <w:szCs w:val="21"/>
                <w:b/>
                <w:bCs/>
                <w:spacing w:val="2"/>
              </w:rPr>
              <w:t>自愿</w:t>
            </w:r>
            <w:r>
              <w:rPr>
                <w:rFonts w:ascii="Microsoft YaHei" w:hAnsi="Microsoft YaHei" w:eastAsia="Microsoft YaHei" w:cs="Microsoft YaHei"/>
                <w:sz w:val="21"/>
                <w:szCs w:val="21"/>
                <w:b/>
                <w:bCs/>
                <w:spacing w:val="1"/>
              </w:rPr>
              <w:t>性信息披露</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spacing w:val="-2"/>
              </w:rPr>
              <w:t>未保持一致性和持续性。</w:t>
            </w:r>
          </w:p>
        </w:tc>
      </w:tr>
      <w:tr>
        <w:trPr>
          <w:trHeight w:val="726" w:hRule="atLeast"/>
        </w:trPr>
        <w:tc>
          <w:tcPr>
            <w:tcW w:w="8055" w:type="dxa"/>
            <w:vAlign w:val="top"/>
            <w:gridSpan w:val="3"/>
          </w:tcPr>
          <w:p>
            <w:pPr>
              <w:ind w:left="115" w:right="100" w:firstLine="2"/>
              <w:spacing w:before="103"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中国证券监督管理委员会深圳监管局决定对深圳英飞拓科技股份有</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限公司采取责令改正的行政监管措施。</w:t>
            </w:r>
          </w:p>
        </w:tc>
      </w:tr>
      <w:tr>
        <w:trPr>
          <w:trHeight w:val="736" w:hRule="atLeast"/>
        </w:trPr>
        <w:tc>
          <w:tcPr>
            <w:shd w:val="clear" w:fill="B8CCE4"/>
            <w:tcW w:w="1214" w:type="dxa"/>
            <w:vAlign w:val="top"/>
          </w:tcPr>
          <w:p>
            <w:pPr>
              <w:ind w:left="114"/>
              <w:spacing w:before="292"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600338</w:t>
            </w:r>
          </w:p>
        </w:tc>
        <w:tc>
          <w:tcPr>
            <w:shd w:val="clear" w:fill="B8CCE4"/>
            <w:tcW w:w="1345" w:type="dxa"/>
            <w:vAlign w:val="top"/>
          </w:tcPr>
          <w:p>
            <w:pPr>
              <w:ind w:left="101"/>
              <w:spacing w:before="283"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西藏珠峰</w:t>
            </w:r>
          </w:p>
        </w:tc>
        <w:tc>
          <w:tcPr>
            <w:shd w:val="clear" w:fill="B8CCE4"/>
            <w:tcW w:w="5496" w:type="dxa"/>
            <w:vAlign w:val="top"/>
          </w:tcPr>
          <w:p>
            <w:pPr>
              <w:ind w:left="101" w:right="99" w:hanging="1"/>
              <w:spacing w:before="10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存在未经审议及披露的</w:t>
            </w:r>
            <w:r>
              <w:rPr>
                <w:rFonts w:ascii="Microsoft YaHei" w:hAnsi="Microsoft YaHei" w:eastAsia="Microsoft YaHei" w:cs="Microsoft YaHei"/>
                <w:sz w:val="21"/>
                <w:szCs w:val="21"/>
                <w:b/>
                <w:bCs/>
                <w:spacing w:val="2"/>
              </w:rPr>
              <w:t>关联交易</w:t>
            </w:r>
            <w:r>
              <w:rPr>
                <w:rFonts w:ascii="Microsoft YaHei" w:hAnsi="Microsoft YaHei" w:eastAsia="Microsoft YaHei" w:cs="Microsoft YaHei"/>
                <w:sz w:val="21"/>
                <w:szCs w:val="21"/>
                <w:spacing w:val="2"/>
              </w:rPr>
              <w:t>；</w:t>
            </w:r>
            <w:r>
              <w:rPr>
                <w:rFonts w:ascii="Microsoft YaHei" w:hAnsi="Microsoft YaHei" w:eastAsia="Microsoft YaHei" w:cs="Microsoft YaHei"/>
                <w:sz w:val="21"/>
                <w:szCs w:val="21"/>
                <w:spacing w:val="-24"/>
              </w:rPr>
              <w:t xml:space="preserve"> </w:t>
            </w:r>
            <w:r>
              <w:rPr>
                <w:rFonts w:ascii="Microsoft YaHei" w:hAnsi="Microsoft YaHei" w:eastAsia="Microsoft YaHei" w:cs="Microsoft YaHei"/>
                <w:sz w:val="21"/>
                <w:szCs w:val="21"/>
                <w:spacing w:val="2"/>
              </w:rPr>
              <w:t>2017年度、2018年半</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7"/>
              </w:rPr>
              <w:t>年度、</w:t>
            </w:r>
            <w:r>
              <w:rPr>
                <w:rFonts w:ascii="Microsoft YaHei" w:hAnsi="Microsoft YaHei" w:eastAsia="Microsoft YaHei" w:cs="Microsoft YaHei"/>
                <w:sz w:val="21"/>
                <w:szCs w:val="21"/>
                <w:spacing w:val="56"/>
              </w:rPr>
              <w:t xml:space="preserve"> </w:t>
            </w:r>
            <w:r>
              <w:rPr>
                <w:rFonts w:ascii="Microsoft YaHei" w:hAnsi="Microsoft YaHei" w:eastAsia="Microsoft YaHei" w:cs="Microsoft YaHei"/>
                <w:sz w:val="21"/>
                <w:szCs w:val="21"/>
                <w:spacing w:val="-7"/>
              </w:rPr>
              <w:t>2018年度财务报告不准确。</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33" w:hRule="atLeast"/>
        </w:trPr>
        <w:tc>
          <w:tcPr>
            <w:tcW w:w="8055" w:type="dxa"/>
            <w:vAlign w:val="top"/>
            <w:gridSpan w:val="3"/>
            <w:tcBorders>
              <w:top w:val="single" w:color="4F81BD" w:sz="2" w:space="0"/>
            </w:tcBorders>
          </w:tcPr>
          <w:p>
            <w:pPr>
              <w:ind w:left="105" w:right="100" w:firstLine="13"/>
              <w:spacing w:before="9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中国证券监督管理委员会西藏监管局决定对西藏珠峰资源股份有限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公司采取责令改正的监督管理措施， 并记入资本市场诚信档案。</w:t>
            </w:r>
          </w:p>
        </w:tc>
      </w:tr>
      <w:tr>
        <w:trPr>
          <w:trHeight w:val="1086" w:hRule="atLeast"/>
        </w:trPr>
        <w:tc>
          <w:tcPr>
            <w:shd w:val="clear" w:fill="B8CCE4"/>
            <w:tcW w:w="1214" w:type="dxa"/>
            <w:vAlign w:val="top"/>
          </w:tcPr>
          <w:p>
            <w:pPr>
              <w:spacing w:line="364" w:lineRule="auto"/>
              <w:rPr>
                <w:rFonts w:ascii="Arial"/>
                <w:sz w:val="21"/>
              </w:rPr>
            </w:pPr>
            <w:r/>
          </w:p>
          <w:p>
            <w:pPr>
              <w:ind w:left="117"/>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300511</w:t>
            </w:r>
          </w:p>
        </w:tc>
        <w:tc>
          <w:tcPr>
            <w:shd w:val="clear" w:fill="B8CCE4"/>
            <w:tcW w:w="1345" w:type="dxa"/>
            <w:vAlign w:val="top"/>
          </w:tcPr>
          <w:p>
            <w:pPr>
              <w:spacing w:line="355" w:lineRule="auto"/>
              <w:rPr>
                <w:rFonts w:ascii="Arial"/>
                <w:sz w:val="21"/>
              </w:rPr>
            </w:pPr>
            <w:r/>
          </w:p>
          <w:p>
            <w:pPr>
              <w:ind w:left="106"/>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雪榕生物</w:t>
            </w:r>
          </w:p>
        </w:tc>
        <w:tc>
          <w:tcPr>
            <w:shd w:val="clear" w:fill="B8CCE4"/>
            <w:tcW w:w="5496" w:type="dxa"/>
            <w:vAlign w:val="top"/>
          </w:tcPr>
          <w:p>
            <w:pPr>
              <w:ind w:left="100" w:right="97" w:firstLine="9"/>
              <w:spacing w:before="89"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2020-2022年对全资子公司威宁香榕生物科技有</w:t>
            </w:r>
            <w:r>
              <w:rPr>
                <w:rFonts w:ascii="Microsoft YaHei" w:hAnsi="Microsoft YaHei" w:eastAsia="Microsoft YaHei" w:cs="Microsoft YaHei"/>
                <w:sz w:val="21"/>
                <w:szCs w:val="21"/>
                <w:spacing w:val="-1"/>
              </w:rPr>
              <w:t>限公司资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产组的减值测试中存在计算错误、预测方法不恰当导致</w:t>
            </w:r>
            <w:r>
              <w:rPr>
                <w:rFonts w:ascii="Microsoft YaHei" w:hAnsi="Microsoft YaHei" w:eastAsia="Microsoft YaHei" w:cs="Microsoft YaHei"/>
                <w:sz w:val="21"/>
                <w:szCs w:val="21"/>
                <w:b/>
                <w:bCs/>
                <w:spacing w:val="1"/>
              </w:rPr>
              <w:t>减</w:t>
            </w:r>
            <w:r>
              <w:rPr>
                <w:rFonts w:ascii="Microsoft YaHei" w:hAnsi="Microsoft YaHei" w:eastAsia="Microsoft YaHei" w:cs="Microsoft YaHei"/>
                <w:sz w:val="21"/>
                <w:szCs w:val="21"/>
                <w:b/>
                <w:bCs/>
                <w:spacing w:val="5"/>
              </w:rPr>
              <w:t xml:space="preserve"> </w:t>
            </w:r>
            <w:r>
              <w:rPr>
                <w:rFonts w:ascii="Microsoft YaHei" w:hAnsi="Microsoft YaHei" w:eastAsia="Microsoft YaHei" w:cs="Microsoft YaHei"/>
                <w:sz w:val="21"/>
                <w:szCs w:val="21"/>
                <w:b/>
                <w:bCs/>
                <w:spacing w:val="-3"/>
              </w:rPr>
              <w:t>值测试不准确。</w:t>
            </w:r>
          </w:p>
        </w:tc>
      </w:tr>
      <w:tr>
        <w:trPr>
          <w:trHeight w:val="724" w:hRule="atLeast"/>
        </w:trPr>
        <w:tc>
          <w:tcPr>
            <w:tcW w:w="8055" w:type="dxa"/>
            <w:vAlign w:val="top"/>
            <w:gridSpan w:val="3"/>
          </w:tcPr>
          <w:p>
            <w:pPr>
              <w:ind w:left="104" w:right="100" w:firstLine="14"/>
              <w:spacing w:before="89"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中国证券监督管理委员会上海监管局决定对上海雪榕生物科技股份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有限公司采取责令改正的监督管理措施。</w:t>
            </w:r>
          </w:p>
        </w:tc>
      </w:tr>
      <w:tr>
        <w:trPr>
          <w:trHeight w:val="726" w:hRule="atLeast"/>
        </w:trPr>
        <w:tc>
          <w:tcPr>
            <w:shd w:val="clear" w:fill="B8CCE4"/>
            <w:tcW w:w="1214" w:type="dxa"/>
            <w:vAlign w:val="top"/>
          </w:tcPr>
          <w:p>
            <w:pPr>
              <w:ind w:left="111"/>
              <w:spacing w:before="28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002681</w:t>
            </w:r>
          </w:p>
        </w:tc>
        <w:tc>
          <w:tcPr>
            <w:shd w:val="clear" w:fill="B8CCE4"/>
            <w:tcW w:w="1345" w:type="dxa"/>
            <w:vAlign w:val="top"/>
          </w:tcPr>
          <w:p>
            <w:pPr>
              <w:ind w:left="97"/>
              <w:spacing w:before="27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奋达科技</w:t>
            </w:r>
          </w:p>
        </w:tc>
        <w:tc>
          <w:tcPr>
            <w:shd w:val="clear" w:fill="B8CCE4"/>
            <w:tcW w:w="5496" w:type="dxa"/>
            <w:vAlign w:val="top"/>
          </w:tcPr>
          <w:p>
            <w:pPr>
              <w:ind w:left="109" w:right="98" w:hanging="9"/>
              <w:spacing w:before="88" w:line="20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0"/>
              </w:rPr>
              <w:t>未对</w:t>
            </w:r>
            <w:r>
              <w:rPr>
                <w:rFonts w:ascii="Microsoft YaHei" w:hAnsi="Microsoft YaHei" w:eastAsia="Microsoft YaHei" w:cs="Microsoft YaHei"/>
                <w:sz w:val="21"/>
                <w:szCs w:val="21"/>
                <w:b/>
                <w:bCs/>
                <w:spacing w:val="10"/>
              </w:rPr>
              <w:t>股权转让系列补充协议</w:t>
            </w:r>
            <w:r>
              <w:rPr>
                <w:rFonts w:ascii="Microsoft YaHei" w:hAnsi="Microsoft YaHei" w:eastAsia="Microsoft YaHei" w:cs="Microsoft YaHei"/>
                <w:sz w:val="21"/>
                <w:szCs w:val="21"/>
                <w:spacing w:val="10"/>
              </w:rPr>
              <w:t>履行临时公告义务；未确认</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spacing w:val="-1"/>
              </w:rPr>
              <w:t>2021年</w:t>
            </w:r>
            <w:r>
              <w:rPr>
                <w:rFonts w:ascii="Microsoft YaHei" w:hAnsi="Microsoft YaHei" w:eastAsia="Microsoft YaHei" w:cs="Microsoft YaHei"/>
                <w:sz w:val="21"/>
                <w:szCs w:val="21"/>
                <w:b/>
                <w:bCs/>
                <w:spacing w:val="-1"/>
              </w:rPr>
              <w:t>资产负债表日后调整事项</w:t>
            </w:r>
            <w:r>
              <w:rPr>
                <w:rFonts w:ascii="Microsoft YaHei" w:hAnsi="Microsoft YaHei" w:eastAsia="Microsoft YaHei" w:cs="Microsoft YaHei"/>
                <w:sz w:val="21"/>
                <w:szCs w:val="21"/>
                <w:spacing w:val="-1"/>
              </w:rPr>
              <w:t>。</w:t>
            </w:r>
          </w:p>
        </w:tc>
      </w:tr>
      <w:tr>
        <w:trPr>
          <w:trHeight w:val="723" w:hRule="atLeast"/>
        </w:trPr>
        <w:tc>
          <w:tcPr>
            <w:tcW w:w="8055" w:type="dxa"/>
            <w:vAlign w:val="top"/>
            <w:gridSpan w:val="3"/>
          </w:tcPr>
          <w:p>
            <w:pPr>
              <w:ind w:left="115" w:right="100" w:firstLine="2"/>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中国证券监督管理委员会深圳监管局决定对深圳市奋达科技股份有</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限公司采取责令改正的行政监管措施。</w:t>
            </w:r>
          </w:p>
        </w:tc>
      </w:tr>
      <w:tr>
        <w:trPr>
          <w:trHeight w:val="366" w:hRule="atLeast"/>
        </w:trPr>
        <w:tc>
          <w:tcPr>
            <w:shd w:val="clear" w:fill="B8CCE4"/>
            <w:tcW w:w="1214" w:type="dxa"/>
            <w:vAlign w:val="top"/>
          </w:tcPr>
          <w:p>
            <w:pPr>
              <w:ind w:left="111"/>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002601</w:t>
            </w:r>
          </w:p>
        </w:tc>
        <w:tc>
          <w:tcPr>
            <w:shd w:val="clear" w:fill="B8CCE4"/>
            <w:tcW w:w="1345" w:type="dxa"/>
            <w:vAlign w:val="top"/>
          </w:tcPr>
          <w:p>
            <w:pPr>
              <w:ind w:left="96"/>
              <w:spacing w:before="9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龙佰集团</w:t>
            </w:r>
          </w:p>
        </w:tc>
        <w:tc>
          <w:tcPr>
            <w:shd w:val="clear" w:fill="B8CCE4"/>
            <w:tcW w:w="5496" w:type="dxa"/>
            <w:vAlign w:val="top"/>
          </w:tcPr>
          <w:p>
            <w:pPr>
              <w:ind w:left="100"/>
              <w:spacing w:before="9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未完整履行</w:t>
            </w:r>
            <w:r>
              <w:rPr>
                <w:rFonts w:ascii="Microsoft YaHei" w:hAnsi="Microsoft YaHei" w:eastAsia="Microsoft YaHei" w:cs="Microsoft YaHei"/>
                <w:sz w:val="21"/>
                <w:szCs w:val="21"/>
                <w:b/>
                <w:bCs/>
              </w:rPr>
              <w:t>增持承诺</w:t>
            </w:r>
            <w:r>
              <w:rPr>
                <w:rFonts w:ascii="Microsoft YaHei" w:hAnsi="Microsoft YaHei" w:eastAsia="Microsoft YaHei" w:cs="Microsoft YaHei"/>
                <w:sz w:val="21"/>
                <w:szCs w:val="21"/>
              </w:rPr>
              <w:t>。</w:t>
            </w:r>
          </w:p>
        </w:tc>
      </w:tr>
      <w:tr>
        <w:trPr>
          <w:trHeight w:val="724" w:hRule="atLeast"/>
        </w:trPr>
        <w:tc>
          <w:tcPr>
            <w:tcW w:w="8055" w:type="dxa"/>
            <w:vAlign w:val="top"/>
            <w:gridSpan w:val="3"/>
          </w:tcPr>
          <w:p>
            <w:pPr>
              <w:ind w:left="105" w:right="100" w:firstLine="13"/>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中国证券监督管理委员会河南监管局决定对时任董事杨某乐采取出</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具责令改正的行政监管措施，并记入证券期货市场诚信档案。</w:t>
            </w:r>
          </w:p>
        </w:tc>
      </w:tr>
      <w:tr>
        <w:trPr>
          <w:trHeight w:val="366" w:hRule="atLeast"/>
        </w:trPr>
        <w:tc>
          <w:tcPr>
            <w:shd w:val="clear" w:fill="B8CCE4"/>
            <w:tcW w:w="1214" w:type="dxa"/>
            <w:vAlign w:val="top"/>
          </w:tcPr>
          <w:p>
            <w:pPr>
              <w:ind w:left="114"/>
              <w:spacing w:before="102"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603023</w:t>
            </w:r>
          </w:p>
        </w:tc>
        <w:tc>
          <w:tcPr>
            <w:shd w:val="clear" w:fill="B8CCE4"/>
            <w:tcW w:w="1345" w:type="dxa"/>
            <w:vAlign w:val="top"/>
          </w:tcPr>
          <w:p>
            <w:pPr>
              <w:ind w:left="98"/>
              <w:spacing w:before="9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威帝股份</w:t>
            </w:r>
          </w:p>
        </w:tc>
        <w:tc>
          <w:tcPr>
            <w:shd w:val="clear" w:fill="B8CCE4"/>
            <w:tcW w:w="5496" w:type="dxa"/>
            <w:vAlign w:val="top"/>
          </w:tcPr>
          <w:p>
            <w:pPr>
              <w:ind w:left="101"/>
              <w:spacing w:before="93"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高管</w:t>
            </w:r>
            <w:r>
              <w:rPr>
                <w:rFonts w:ascii="Microsoft YaHei" w:hAnsi="Microsoft YaHei" w:eastAsia="Microsoft YaHei" w:cs="Microsoft YaHei"/>
                <w:sz w:val="21"/>
                <w:szCs w:val="21"/>
                <w:b/>
                <w:bCs/>
                <w:spacing w:val="-1"/>
              </w:rPr>
              <w:t>敏感期买卖</w:t>
            </w:r>
            <w:r>
              <w:rPr>
                <w:rFonts w:ascii="Microsoft YaHei" w:hAnsi="Microsoft YaHei" w:eastAsia="Microsoft YaHei" w:cs="Microsoft YaHei"/>
                <w:sz w:val="21"/>
                <w:szCs w:val="21"/>
                <w:spacing w:val="-1"/>
              </w:rPr>
              <w:t>。</w:t>
            </w:r>
          </w:p>
        </w:tc>
      </w:tr>
      <w:tr>
        <w:trPr>
          <w:trHeight w:val="724" w:hRule="atLeast"/>
        </w:trPr>
        <w:tc>
          <w:tcPr>
            <w:tcW w:w="8055" w:type="dxa"/>
            <w:vAlign w:val="top"/>
            <w:gridSpan w:val="3"/>
          </w:tcPr>
          <w:p>
            <w:pPr>
              <w:ind w:left="105" w:right="100" w:firstLine="12"/>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中国证券监督管理委员会黑龙江监管局决定对高管采取责令改正的</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3"/>
              </w:rPr>
              <w:t>行政监管措施， 并记入证券期货市场诚信档案。</w:t>
            </w:r>
          </w:p>
        </w:tc>
      </w:tr>
      <w:tr>
        <w:trPr>
          <w:trHeight w:val="1086" w:hRule="atLeast"/>
        </w:trPr>
        <w:tc>
          <w:tcPr>
            <w:shd w:val="clear" w:fill="B8CCE4"/>
            <w:tcW w:w="1214" w:type="dxa"/>
            <w:vAlign w:val="top"/>
          </w:tcPr>
          <w:p>
            <w:pPr>
              <w:spacing w:line="370"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605069</w:t>
            </w:r>
          </w:p>
        </w:tc>
        <w:tc>
          <w:tcPr>
            <w:shd w:val="clear" w:fill="B8CCE4"/>
            <w:tcW w:w="1345" w:type="dxa"/>
            <w:vAlign w:val="top"/>
          </w:tcPr>
          <w:p>
            <w:pPr>
              <w:spacing w:line="361"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正和生态</w:t>
            </w:r>
          </w:p>
        </w:tc>
        <w:tc>
          <w:tcPr>
            <w:shd w:val="clear" w:fill="B8CCE4"/>
            <w:tcW w:w="5496" w:type="dxa"/>
            <w:vAlign w:val="top"/>
          </w:tcPr>
          <w:p>
            <w:pPr>
              <w:ind w:left="99" w:right="101"/>
              <w:spacing w:before="94"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募集资金</w:t>
            </w:r>
            <w:r>
              <w:rPr>
                <w:rFonts w:ascii="Microsoft YaHei" w:hAnsi="Microsoft YaHei" w:eastAsia="Microsoft YaHei" w:cs="Microsoft YaHei"/>
                <w:sz w:val="21"/>
                <w:szCs w:val="21"/>
                <w:spacing w:val="1"/>
              </w:rPr>
              <w:t>使用不规范；个别</w:t>
            </w:r>
            <w:r>
              <w:rPr>
                <w:rFonts w:ascii="Microsoft YaHei" w:hAnsi="Microsoft YaHei" w:eastAsia="Microsoft YaHei" w:cs="Microsoft YaHei"/>
                <w:sz w:val="21"/>
                <w:szCs w:val="21"/>
                <w:b/>
                <w:bCs/>
                <w:spacing w:val="1"/>
              </w:rPr>
              <w:t>关联关系及关联交易</w:t>
            </w:r>
            <w:r>
              <w:rPr>
                <w:rFonts w:ascii="Microsoft YaHei" w:hAnsi="Microsoft YaHei" w:eastAsia="Microsoft YaHei" w:cs="Microsoft YaHei"/>
                <w:sz w:val="21"/>
                <w:szCs w:val="21"/>
                <w:spacing w:val="1"/>
              </w:rPr>
              <w:t>未披露； </w:t>
            </w:r>
            <w:r>
              <w:rPr>
                <w:rFonts w:ascii="Microsoft YaHei" w:hAnsi="Microsoft YaHei" w:eastAsia="Microsoft YaHei" w:cs="Microsoft YaHei"/>
                <w:sz w:val="21"/>
                <w:szCs w:val="21"/>
                <w:spacing w:val="1"/>
              </w:rPr>
              <w:t>成本费用核算不规范、减值核算不规范、部分重大诉讼披</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2"/>
              </w:rPr>
              <w:t>露不及时、备用金管理不规范。</w:t>
            </w:r>
          </w:p>
        </w:tc>
      </w:tr>
      <w:tr>
        <w:trPr>
          <w:trHeight w:val="1083" w:hRule="atLeast"/>
        </w:trPr>
        <w:tc>
          <w:tcPr>
            <w:tcW w:w="8055" w:type="dxa"/>
            <w:vAlign w:val="top"/>
            <w:gridSpan w:val="3"/>
          </w:tcPr>
          <w:p>
            <w:pPr>
              <w:ind w:left="105" w:right="100" w:firstLine="13"/>
              <w:spacing w:before="95"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中国证券监督管理委员会北京监管局决定对北京正和恒基滨水生态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环境治理股份有限公司、董事长张某君、总裁张某鹏、</w:t>
            </w:r>
            <w:r>
              <w:rPr>
                <w:rFonts w:ascii="Microsoft YaHei" w:hAnsi="Microsoft YaHei" w:eastAsia="Microsoft YaHei" w:cs="Microsoft YaHei"/>
                <w:sz w:val="21"/>
                <w:szCs w:val="21"/>
                <w:spacing w:val="1"/>
              </w:rPr>
              <w:t>财务总监韩某萍、董事会秘书</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王某采取责令改正的行政监管措施,并计入证券期货市场诚信档案。</w:t>
            </w:r>
          </w:p>
        </w:tc>
      </w:tr>
      <w:tr>
        <w:trPr>
          <w:trHeight w:val="1445" w:hRule="atLeast"/>
        </w:trPr>
        <w:tc>
          <w:tcPr>
            <w:shd w:val="clear" w:fill="B8CCE4"/>
            <w:tcW w:w="1214" w:type="dxa"/>
            <w:vAlign w:val="top"/>
          </w:tcPr>
          <w:p>
            <w:pPr>
              <w:spacing w:line="277" w:lineRule="auto"/>
              <w:rPr>
                <w:rFonts w:ascii="Arial"/>
                <w:sz w:val="21"/>
              </w:rPr>
            </w:pPr>
            <w:r/>
          </w:p>
          <w:p>
            <w:pPr>
              <w:spacing w:line="277"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002789</w:t>
            </w:r>
          </w:p>
        </w:tc>
        <w:tc>
          <w:tcPr>
            <w:shd w:val="clear" w:fill="B8CCE4"/>
            <w:tcW w:w="1345" w:type="dxa"/>
            <w:vAlign w:val="top"/>
          </w:tcPr>
          <w:p>
            <w:pPr>
              <w:spacing w:line="272" w:lineRule="auto"/>
              <w:rPr>
                <w:rFonts w:ascii="Arial"/>
                <w:sz w:val="21"/>
              </w:rPr>
            </w:pPr>
            <w:r/>
          </w:p>
          <w:p>
            <w:pPr>
              <w:spacing w:line="272" w:lineRule="auto"/>
              <w:rPr>
                <w:rFonts w:ascii="Arial"/>
                <w:sz w:val="21"/>
              </w:rPr>
            </w:pPr>
            <w:r/>
          </w:p>
          <w:p>
            <w:pPr>
              <w:ind w:left="98"/>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建艺集团</w:t>
            </w:r>
          </w:p>
        </w:tc>
        <w:tc>
          <w:tcPr>
            <w:shd w:val="clear" w:fill="B8CCE4"/>
            <w:tcW w:w="5496" w:type="dxa"/>
            <w:vAlign w:val="top"/>
          </w:tcPr>
          <w:p>
            <w:pPr>
              <w:ind w:left="99" w:right="99" w:firstLine="1"/>
              <w:spacing w:before="95" w:line="223"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装饰装修业务</w:t>
            </w:r>
            <w:r>
              <w:rPr>
                <w:rFonts w:ascii="Microsoft YaHei" w:hAnsi="Microsoft YaHei" w:eastAsia="Microsoft YaHei" w:cs="Microsoft YaHei"/>
                <w:sz w:val="21"/>
                <w:szCs w:val="21"/>
                <w:b/>
                <w:bCs/>
                <w:spacing w:val="1"/>
              </w:rPr>
              <w:t>成本核算</w:t>
            </w:r>
            <w:r>
              <w:rPr>
                <w:rFonts w:ascii="Microsoft YaHei" w:hAnsi="Microsoft YaHei" w:eastAsia="Microsoft YaHei" w:cs="Microsoft YaHei"/>
                <w:sz w:val="21"/>
                <w:szCs w:val="21"/>
                <w:spacing w:val="1"/>
              </w:rPr>
              <w:t>不准确、应收账款</w:t>
            </w:r>
            <w:r>
              <w:rPr>
                <w:rFonts w:ascii="Microsoft YaHei" w:hAnsi="Microsoft YaHei" w:eastAsia="Microsoft YaHei" w:cs="Microsoft YaHei"/>
                <w:sz w:val="21"/>
                <w:szCs w:val="21"/>
                <w:b/>
                <w:bCs/>
                <w:spacing w:val="1"/>
              </w:rPr>
              <w:t>坏账准备转回</w:t>
            </w:r>
            <w:r>
              <w:rPr>
                <w:rFonts w:ascii="Microsoft YaHei" w:hAnsi="Microsoft YaHei" w:eastAsia="Microsoft YaHei" w:cs="Microsoft YaHei"/>
                <w:sz w:val="21"/>
                <w:szCs w:val="21"/>
                <w:spacing w:val="1"/>
              </w:rPr>
              <w:t>依</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1"/>
              </w:rPr>
              <w:t>据不充分、合同资产</w:t>
            </w:r>
            <w:r>
              <w:rPr>
                <w:rFonts w:ascii="Microsoft YaHei" w:hAnsi="Microsoft YaHei" w:eastAsia="Microsoft YaHei" w:cs="Microsoft YaHei"/>
                <w:sz w:val="21"/>
                <w:szCs w:val="21"/>
                <w:b/>
                <w:bCs/>
                <w:spacing w:val="1"/>
              </w:rPr>
              <w:t>减值准备计提</w:t>
            </w:r>
            <w:r>
              <w:rPr>
                <w:rFonts w:ascii="Microsoft YaHei" w:hAnsi="Microsoft YaHei" w:eastAsia="Microsoft YaHei" w:cs="Microsoft YaHei"/>
                <w:sz w:val="21"/>
                <w:szCs w:val="21"/>
                <w:spacing w:val="1"/>
              </w:rPr>
              <w:t>不审慎、未及时披露</w:t>
            </w:r>
            <w:r>
              <w:rPr>
                <w:rFonts w:ascii="Microsoft YaHei" w:hAnsi="Microsoft YaHei" w:eastAsia="Microsoft YaHei" w:cs="Microsoft YaHei"/>
                <w:sz w:val="21"/>
                <w:szCs w:val="21"/>
                <w:b/>
                <w:bCs/>
                <w:spacing w:val="1"/>
              </w:rPr>
              <w:t>对</w:t>
            </w:r>
            <w:r>
              <w:rPr>
                <w:rFonts w:ascii="Microsoft YaHei" w:hAnsi="Microsoft YaHei" w:eastAsia="Microsoft YaHei" w:cs="Microsoft YaHei"/>
                <w:sz w:val="21"/>
                <w:szCs w:val="21"/>
                <w:b/>
                <w:bCs/>
                <w:spacing w:val="5"/>
              </w:rPr>
              <w:t xml:space="preserve"> </w:t>
            </w:r>
            <w:r>
              <w:rPr>
                <w:rFonts w:ascii="Microsoft YaHei" w:hAnsi="Microsoft YaHei" w:eastAsia="Microsoft YaHei" w:cs="Microsoft YaHei"/>
                <w:sz w:val="21"/>
                <w:szCs w:val="21"/>
                <w:b/>
                <w:bCs/>
                <w:spacing w:val="1"/>
              </w:rPr>
              <w:t>外投资和债务重组</w:t>
            </w:r>
            <w:r>
              <w:rPr>
                <w:rFonts w:ascii="Microsoft YaHei" w:hAnsi="Microsoft YaHei" w:eastAsia="Microsoft YaHei" w:cs="Microsoft YaHei"/>
                <w:sz w:val="21"/>
                <w:szCs w:val="21"/>
                <w:spacing w:val="1"/>
              </w:rPr>
              <w:t>事项、因统计错误导致</w:t>
            </w:r>
            <w:r>
              <w:rPr>
                <w:rFonts w:ascii="Microsoft YaHei" w:hAnsi="Microsoft YaHei" w:eastAsia="Microsoft YaHei" w:cs="Microsoft YaHei"/>
                <w:sz w:val="21"/>
                <w:szCs w:val="21"/>
                <w:b/>
                <w:bCs/>
                <w:spacing w:val="1"/>
              </w:rPr>
              <w:t>业绩预</w:t>
            </w:r>
            <w:r>
              <w:rPr>
                <w:rFonts w:ascii="Microsoft YaHei" w:hAnsi="Microsoft YaHei" w:eastAsia="Microsoft YaHei" w:cs="Microsoft YaHei"/>
                <w:sz w:val="21"/>
                <w:szCs w:val="21"/>
                <w:spacing w:val="1"/>
              </w:rPr>
              <w:t>告信息披</w:t>
            </w:r>
            <w:r>
              <w:rPr>
                <w:rFonts w:ascii="Microsoft YaHei" w:hAnsi="Microsoft YaHei" w:eastAsia="Microsoft YaHei" w:cs="Microsoft YaHei"/>
                <w:sz w:val="21"/>
                <w:szCs w:val="21"/>
                <w:spacing w:val="5"/>
              </w:rPr>
              <w:t xml:space="preserve"> </w:t>
            </w:r>
            <w:r>
              <w:rPr>
                <w:rFonts w:ascii="Microsoft YaHei" w:hAnsi="Microsoft YaHei" w:eastAsia="Microsoft YaHei" w:cs="Microsoft YaHei"/>
                <w:sz w:val="21"/>
                <w:szCs w:val="21"/>
                <w:spacing w:val="-4"/>
              </w:rPr>
              <w:t>露不准确。</w:t>
            </w:r>
          </w:p>
        </w:tc>
      </w:tr>
      <w:tr>
        <w:trPr>
          <w:trHeight w:val="724" w:hRule="atLeast"/>
        </w:trPr>
        <w:tc>
          <w:tcPr>
            <w:tcW w:w="8055" w:type="dxa"/>
            <w:vAlign w:val="top"/>
            <w:gridSpan w:val="3"/>
          </w:tcPr>
          <w:p>
            <w:pPr>
              <w:ind w:left="105" w:right="100" w:firstLine="13"/>
              <w:spacing w:before="98"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中国证券监督管理委员会深圳监管局决定对深圳市建艺装饰集团股</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份有限公司采取责令改正的行政监管措施。</w:t>
            </w:r>
          </w:p>
        </w:tc>
      </w:tr>
      <w:tr>
        <w:trPr>
          <w:trHeight w:val="1086" w:hRule="atLeast"/>
        </w:trPr>
        <w:tc>
          <w:tcPr>
            <w:shd w:val="clear" w:fill="B8CCE4"/>
            <w:tcW w:w="1214" w:type="dxa"/>
            <w:vAlign w:val="top"/>
          </w:tcPr>
          <w:p>
            <w:pPr>
              <w:spacing w:line="375" w:lineRule="auto"/>
              <w:rPr>
                <w:rFonts w:ascii="Arial"/>
                <w:sz w:val="21"/>
              </w:rPr>
            </w:pPr>
            <w:r/>
          </w:p>
          <w:p>
            <w:pPr>
              <w:ind w:left="117"/>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300961</w:t>
            </w:r>
          </w:p>
        </w:tc>
        <w:tc>
          <w:tcPr>
            <w:shd w:val="clear" w:fill="B8CCE4"/>
            <w:tcW w:w="1345" w:type="dxa"/>
            <w:vAlign w:val="top"/>
          </w:tcPr>
          <w:p>
            <w:pPr>
              <w:spacing w:line="367" w:lineRule="auto"/>
              <w:rPr>
                <w:rFonts w:ascii="Arial"/>
                <w:sz w:val="21"/>
              </w:rPr>
            </w:pPr>
            <w:r/>
          </w:p>
          <w:p>
            <w:pPr>
              <w:ind w:left="99"/>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深水海纳</w:t>
            </w:r>
          </w:p>
        </w:tc>
        <w:tc>
          <w:tcPr>
            <w:shd w:val="clear" w:fill="B8CCE4"/>
            <w:tcW w:w="5496" w:type="dxa"/>
            <w:vAlign w:val="top"/>
          </w:tcPr>
          <w:p>
            <w:pPr>
              <w:ind w:left="100" w:right="99"/>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4"/>
              </w:rPr>
              <w:t>坏账准备计提</w:t>
            </w:r>
            <w:r>
              <w:rPr>
                <w:rFonts w:ascii="Microsoft YaHei" w:hAnsi="Microsoft YaHei" w:eastAsia="Microsoft YaHei" w:cs="Microsoft YaHei"/>
                <w:sz w:val="21"/>
                <w:szCs w:val="21"/>
                <w:spacing w:val="-4"/>
              </w:rPr>
              <w:t>不审慎；部分收入</w:t>
            </w:r>
            <w:r>
              <w:rPr>
                <w:rFonts w:ascii="Microsoft YaHei" w:hAnsi="Microsoft YaHei" w:eastAsia="Microsoft YaHei" w:cs="Microsoft YaHei"/>
                <w:sz w:val="21"/>
                <w:szCs w:val="21"/>
                <w:b/>
                <w:bCs/>
                <w:spacing w:val="-4"/>
              </w:rPr>
              <w:t>成本核算</w:t>
            </w:r>
            <w:r>
              <w:rPr>
                <w:rFonts w:ascii="Microsoft YaHei" w:hAnsi="Microsoft YaHei" w:eastAsia="Microsoft YaHei" w:cs="Microsoft YaHei"/>
                <w:sz w:val="21"/>
                <w:szCs w:val="21"/>
                <w:spacing w:val="-4"/>
              </w:rPr>
              <w:t>不准确；</w:t>
            </w:r>
            <w:r>
              <w:rPr>
                <w:rFonts w:ascii="Microsoft YaHei" w:hAnsi="Microsoft YaHei" w:eastAsia="Microsoft YaHei" w:cs="Microsoft YaHei"/>
                <w:sz w:val="21"/>
                <w:szCs w:val="21"/>
                <w:spacing w:val="66"/>
                <w:w w:val="101"/>
              </w:rPr>
              <w:t xml:space="preserve"> </w:t>
            </w:r>
            <w:r>
              <w:rPr>
                <w:rFonts w:ascii="Microsoft YaHei" w:hAnsi="Microsoft YaHei" w:eastAsia="Microsoft YaHei" w:cs="Microsoft YaHei"/>
                <w:sz w:val="21"/>
                <w:szCs w:val="21"/>
                <w:b/>
                <w:bCs/>
                <w:spacing w:val="-4"/>
              </w:rPr>
              <w:t>特许经</w:t>
            </w:r>
            <w:r>
              <w:rPr>
                <w:rFonts w:ascii="Microsoft YaHei" w:hAnsi="Microsoft YaHei" w:eastAsia="Microsoft YaHei" w:cs="Microsoft YaHei"/>
                <w:sz w:val="21"/>
                <w:szCs w:val="21"/>
                <w:b/>
                <w:bCs/>
              </w:rPr>
              <w:t xml:space="preserve"> </w:t>
            </w:r>
            <w:r>
              <w:rPr>
                <w:rFonts w:ascii="Microsoft YaHei" w:hAnsi="Microsoft YaHei" w:eastAsia="Microsoft YaHei" w:cs="Microsoft YaHei"/>
                <w:sz w:val="21"/>
                <w:szCs w:val="21"/>
                <w:b/>
                <w:bCs/>
                <w:spacing w:val="-10"/>
              </w:rPr>
              <w:t>营权</w:t>
            </w:r>
            <w:r>
              <w:rPr>
                <w:rFonts w:ascii="Microsoft YaHei" w:hAnsi="Microsoft YaHei" w:eastAsia="Microsoft YaHei" w:cs="Microsoft YaHei"/>
                <w:sz w:val="21"/>
                <w:szCs w:val="21"/>
                <w:spacing w:val="-10"/>
              </w:rPr>
              <w:t>摊销不准确；</w:t>
            </w:r>
            <w:r>
              <w:rPr>
                <w:rFonts w:ascii="Microsoft YaHei" w:hAnsi="Microsoft YaHei" w:eastAsia="Microsoft YaHei" w:cs="Microsoft YaHei"/>
                <w:sz w:val="21"/>
                <w:szCs w:val="21"/>
                <w:spacing w:val="19"/>
              </w:rPr>
              <w:t xml:space="preserve">  </w:t>
            </w:r>
            <w:r>
              <w:rPr>
                <w:rFonts w:ascii="Microsoft YaHei" w:hAnsi="Microsoft YaHei" w:eastAsia="Microsoft YaHei" w:cs="Microsoft YaHei"/>
                <w:sz w:val="21"/>
                <w:szCs w:val="21"/>
                <w:b/>
                <w:bCs/>
                <w:spacing w:val="-10"/>
              </w:rPr>
              <w:t>三会会议记录</w:t>
            </w:r>
            <w:r>
              <w:rPr>
                <w:rFonts w:ascii="Microsoft YaHei" w:hAnsi="Microsoft YaHei" w:eastAsia="Microsoft YaHei" w:cs="Microsoft YaHei"/>
                <w:sz w:val="21"/>
                <w:szCs w:val="21"/>
                <w:spacing w:val="-10"/>
              </w:rPr>
              <w:t>管理、</w:t>
            </w:r>
            <w:r>
              <w:rPr>
                <w:rFonts w:ascii="Microsoft YaHei" w:hAnsi="Microsoft YaHei" w:eastAsia="Microsoft YaHei" w:cs="Microsoft YaHei"/>
                <w:sz w:val="21"/>
                <w:szCs w:val="21"/>
                <w:spacing w:val="54"/>
              </w:rPr>
              <w:t xml:space="preserve"> </w:t>
            </w:r>
            <w:r>
              <w:rPr>
                <w:rFonts w:ascii="Microsoft YaHei" w:hAnsi="Microsoft YaHei" w:eastAsia="Microsoft YaHei" w:cs="Microsoft YaHei"/>
                <w:sz w:val="21"/>
                <w:szCs w:val="21"/>
                <w:b/>
                <w:bCs/>
                <w:spacing w:val="-10"/>
              </w:rPr>
              <w:t>内幕信息知情人</w:t>
            </w:r>
            <w:r>
              <w:rPr>
                <w:rFonts w:ascii="Microsoft YaHei" w:hAnsi="Microsoft YaHei" w:eastAsia="Microsoft YaHei" w:cs="Microsoft YaHei"/>
                <w:sz w:val="21"/>
                <w:szCs w:val="21"/>
                <w:spacing w:val="-10"/>
              </w:rPr>
              <w:t>登</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记管理、</w:t>
            </w:r>
            <w:r>
              <w:rPr>
                <w:rFonts w:ascii="Microsoft YaHei" w:hAnsi="Microsoft YaHei" w:eastAsia="Microsoft YaHei" w:cs="Microsoft YaHei"/>
                <w:sz w:val="21"/>
                <w:szCs w:val="21"/>
                <w:b/>
                <w:bCs/>
              </w:rPr>
              <w:t>资金管控</w:t>
            </w:r>
            <w:r>
              <w:rPr>
                <w:rFonts w:ascii="Microsoft YaHei" w:hAnsi="Microsoft YaHei" w:eastAsia="Microsoft YaHei" w:cs="Microsoft YaHei"/>
                <w:sz w:val="21"/>
                <w:szCs w:val="21"/>
              </w:rPr>
              <w:t>等方面不规范。</w:t>
            </w:r>
          </w:p>
        </w:tc>
      </w:tr>
      <w:tr>
        <w:trPr>
          <w:trHeight w:val="726" w:hRule="atLeast"/>
        </w:trPr>
        <w:tc>
          <w:tcPr>
            <w:tcW w:w="8055" w:type="dxa"/>
            <w:vAlign w:val="top"/>
            <w:gridSpan w:val="3"/>
          </w:tcPr>
          <w:p>
            <w:pPr>
              <w:ind w:left="104" w:right="100" w:firstLine="14"/>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中国证券监督管理委员会深圳监管局决定对深水海纳水务集团股份</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有限公司采取责令改正的监管措施。</w:t>
            </w:r>
          </w:p>
        </w:tc>
      </w:tr>
      <w:tr>
        <w:trPr>
          <w:trHeight w:val="1083" w:hRule="atLeast"/>
        </w:trPr>
        <w:tc>
          <w:tcPr>
            <w:shd w:val="clear" w:fill="B8CCE4"/>
            <w:tcW w:w="1214" w:type="dxa"/>
            <w:vAlign w:val="top"/>
          </w:tcPr>
          <w:p>
            <w:pPr>
              <w:spacing w:line="376"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688659</w:t>
            </w:r>
          </w:p>
        </w:tc>
        <w:tc>
          <w:tcPr>
            <w:shd w:val="clear" w:fill="B8CCE4"/>
            <w:tcW w:w="1345" w:type="dxa"/>
            <w:vAlign w:val="top"/>
          </w:tcPr>
          <w:p>
            <w:pPr>
              <w:spacing w:line="366" w:lineRule="auto"/>
              <w:rPr>
                <w:rFonts w:ascii="Arial"/>
                <w:sz w:val="21"/>
              </w:rPr>
            </w:pPr>
            <w:r/>
          </w:p>
          <w:p>
            <w:pPr>
              <w:ind w:left="99"/>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元琛科技</w:t>
            </w:r>
          </w:p>
        </w:tc>
        <w:tc>
          <w:tcPr>
            <w:shd w:val="clear" w:fill="B8CCE4"/>
            <w:tcW w:w="5496" w:type="dxa"/>
            <w:vAlign w:val="top"/>
          </w:tcPr>
          <w:p>
            <w:pPr>
              <w:ind w:left="100" w:right="193" w:firstLine="9"/>
              <w:spacing w:before="100" w:line="21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2022年度</w:t>
            </w:r>
            <w:r>
              <w:rPr>
                <w:rFonts w:ascii="Microsoft YaHei" w:hAnsi="Microsoft YaHei" w:eastAsia="Microsoft YaHei" w:cs="Microsoft YaHei"/>
                <w:sz w:val="21"/>
                <w:szCs w:val="21"/>
                <w:b/>
                <w:bCs/>
              </w:rPr>
              <w:t>业绩预告及业绩快报</w:t>
            </w:r>
            <w:r>
              <w:rPr>
                <w:rFonts w:ascii="Microsoft YaHei" w:hAnsi="Microsoft YaHei" w:eastAsia="Microsoft YaHei" w:cs="Microsoft YaHei"/>
                <w:sz w:val="21"/>
                <w:szCs w:val="21"/>
              </w:rPr>
              <w:t>不准确；</w:t>
            </w:r>
            <w:r>
              <w:rPr>
                <w:rFonts w:ascii="Microsoft YaHei" w:hAnsi="Microsoft YaHei" w:eastAsia="Microsoft YaHei" w:cs="Microsoft YaHei"/>
                <w:sz w:val="21"/>
                <w:szCs w:val="21"/>
                <w:spacing w:val="-1"/>
              </w:rPr>
              <w:t>2022年</w:t>
            </w:r>
            <w:r>
              <w:rPr>
                <w:rFonts w:ascii="Microsoft YaHei" w:hAnsi="Microsoft YaHei" w:eastAsia="Microsoft YaHei" w:cs="Microsoft YaHei"/>
                <w:sz w:val="21"/>
                <w:szCs w:val="21"/>
                <w:b/>
                <w:bCs/>
                <w:spacing w:val="-1"/>
              </w:rPr>
              <w:t>半年报</w:t>
            </w:r>
            <w:r>
              <w:rPr>
                <w:rFonts w:ascii="Microsoft YaHei" w:hAnsi="Microsoft YaHei" w:eastAsia="Microsoft YaHei" w:cs="Microsoft YaHei"/>
                <w:sz w:val="21"/>
                <w:szCs w:val="21"/>
                <w:spacing w:val="-1"/>
              </w:rPr>
              <w:t>存</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在错报；</w:t>
            </w:r>
            <w:r>
              <w:rPr>
                <w:rFonts w:ascii="Microsoft YaHei" w:hAnsi="Microsoft YaHei" w:eastAsia="Microsoft YaHei" w:cs="Microsoft YaHei"/>
                <w:sz w:val="21"/>
                <w:szCs w:val="21"/>
                <w:b/>
                <w:bCs/>
                <w:spacing w:val="-3"/>
              </w:rPr>
              <w:t>股权激励对象</w:t>
            </w:r>
            <w:r>
              <w:rPr>
                <w:rFonts w:ascii="Microsoft YaHei" w:hAnsi="Microsoft YaHei" w:eastAsia="Microsoft YaHei" w:cs="Microsoft YaHei"/>
                <w:sz w:val="21"/>
                <w:szCs w:val="21"/>
                <w:spacing w:val="-3"/>
              </w:rPr>
              <w:t>不符合规定； </w:t>
            </w:r>
            <w:r>
              <w:rPr>
                <w:rFonts w:ascii="Microsoft YaHei" w:hAnsi="Microsoft YaHei" w:eastAsia="Microsoft YaHei" w:cs="Microsoft YaHei"/>
                <w:sz w:val="21"/>
                <w:szCs w:val="21"/>
                <w:b/>
                <w:bCs/>
                <w:spacing w:val="-3"/>
              </w:rPr>
              <w:t>募集资金</w:t>
            </w:r>
            <w:r>
              <w:rPr>
                <w:rFonts w:ascii="Microsoft YaHei" w:hAnsi="Microsoft YaHei" w:eastAsia="Microsoft YaHei" w:cs="Microsoft YaHei"/>
                <w:sz w:val="21"/>
                <w:szCs w:val="21"/>
                <w:spacing w:val="-3"/>
              </w:rPr>
              <w:t>使用不规   </w:t>
            </w:r>
            <w:r>
              <w:rPr>
                <w:rFonts w:ascii="Microsoft YaHei" w:hAnsi="Microsoft YaHei" w:eastAsia="Microsoft YaHei" w:cs="Microsoft YaHei"/>
                <w:sz w:val="21"/>
                <w:szCs w:val="21"/>
                <w:spacing w:val="-11"/>
              </w:rPr>
              <w:t>范。</w:t>
            </w:r>
          </w:p>
        </w:tc>
      </w:tr>
      <w:tr>
        <w:trPr>
          <w:trHeight w:val="1814" w:hRule="atLeast"/>
        </w:trPr>
        <w:tc>
          <w:tcPr>
            <w:tcW w:w="8055" w:type="dxa"/>
            <w:vAlign w:val="top"/>
            <w:gridSpan w:val="3"/>
          </w:tcPr>
          <w:p>
            <w:pPr>
              <w:ind w:left="104" w:right="100" w:firstLine="14"/>
              <w:spacing w:before="100" w:line="22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中国证券监督管理委员会安徽监管局决定对安徽元琛环保科技股份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有限公司采取责令改正并出具警示函的行政监管</w:t>
            </w:r>
            <w:r>
              <w:rPr>
                <w:rFonts w:ascii="Microsoft YaHei" w:hAnsi="Microsoft YaHei" w:eastAsia="Microsoft YaHei" w:cs="Microsoft YaHei"/>
                <w:sz w:val="21"/>
                <w:szCs w:val="21"/>
              </w:rPr>
              <w:t>措施并记入证券期货市场诚信档案。 </w:t>
            </w:r>
            <w:r>
              <w:rPr>
                <w:rFonts w:ascii="Microsoft YaHei" w:hAnsi="Microsoft YaHei" w:eastAsia="Microsoft YaHei" w:cs="Microsoft YaHei"/>
                <w:sz w:val="21"/>
                <w:szCs w:val="21"/>
                <w:spacing w:val="2"/>
              </w:rPr>
              <w:t>对时任董事长、实际控制人徐某、时任董事兼总经理、实</w:t>
            </w:r>
            <w:r>
              <w:rPr>
                <w:rFonts w:ascii="Microsoft YaHei" w:hAnsi="Microsoft YaHei" w:eastAsia="Microsoft YaHei" w:cs="Microsoft YaHei"/>
                <w:sz w:val="21"/>
                <w:szCs w:val="21"/>
                <w:spacing w:val="1"/>
              </w:rPr>
              <w:t>际控制人梁某、时任财务总</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监王某邻、时任董事会秘书蒯某采取出具警示函的行政监</w:t>
            </w:r>
            <w:r>
              <w:rPr>
                <w:rFonts w:ascii="Microsoft YaHei" w:hAnsi="Microsoft YaHei" w:eastAsia="Microsoft YaHei" w:cs="Microsoft YaHei"/>
                <w:sz w:val="21"/>
                <w:szCs w:val="21"/>
                <w:spacing w:val="1"/>
              </w:rPr>
              <w:t>管措施，并记入证券期货市</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场诚信档案。</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1453" w:hRule="atLeast"/>
        </w:trPr>
        <w:tc>
          <w:tcPr>
            <w:shd w:val="clear" w:fill="B8CCE4"/>
            <w:tcW w:w="1214" w:type="dxa"/>
            <w:vAlign w:val="top"/>
            <w:tcBorders>
              <w:top w:val="single" w:color="4F81BD" w:sz="2" w:space="0"/>
            </w:tcBorders>
          </w:tcPr>
          <w:p>
            <w:pPr>
              <w:spacing w:line="275" w:lineRule="auto"/>
              <w:rPr>
                <w:rFonts w:ascii="Arial"/>
                <w:sz w:val="21"/>
              </w:rPr>
            </w:pPr>
            <w:r/>
          </w:p>
          <w:p>
            <w:pPr>
              <w:spacing w:line="276" w:lineRule="auto"/>
              <w:rPr>
                <w:rFonts w:ascii="Arial"/>
                <w:sz w:val="21"/>
              </w:rPr>
            </w:pPr>
            <w:r/>
          </w:p>
          <w:p>
            <w:pPr>
              <w:ind w:left="10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400176</w:t>
            </w:r>
          </w:p>
        </w:tc>
        <w:tc>
          <w:tcPr>
            <w:shd w:val="clear" w:fill="B8CCE4"/>
            <w:tcW w:w="1345" w:type="dxa"/>
            <w:vAlign w:val="top"/>
            <w:tcBorders>
              <w:top w:val="single" w:color="4F81BD" w:sz="2" w:space="0"/>
            </w:tcBorders>
          </w:tcPr>
          <w:p>
            <w:pPr>
              <w:spacing w:line="272" w:lineRule="auto"/>
              <w:rPr>
                <w:rFonts w:ascii="Arial"/>
                <w:sz w:val="21"/>
              </w:rPr>
            </w:pPr>
            <w:r/>
          </w:p>
          <w:p>
            <w:pPr>
              <w:spacing w:line="272" w:lineRule="auto"/>
              <w:rPr>
                <w:rFonts w:ascii="Arial"/>
                <w:sz w:val="21"/>
              </w:rPr>
            </w:pPr>
            <w:r/>
          </w:p>
          <w:p>
            <w:pPr>
              <w:ind w:left="101"/>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奇信3</w:t>
            </w:r>
          </w:p>
        </w:tc>
        <w:tc>
          <w:tcPr>
            <w:shd w:val="clear" w:fill="B8CCE4"/>
            <w:tcW w:w="5496" w:type="dxa"/>
            <w:vAlign w:val="top"/>
            <w:tcBorders>
              <w:top w:val="single" w:color="4F81BD" w:sz="2" w:space="0"/>
            </w:tcBorders>
          </w:tcPr>
          <w:p>
            <w:pPr>
              <w:ind w:left="100" w:right="98"/>
              <w:spacing w:before="97"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0"/>
              </w:rPr>
              <w:t>安信证券股份有限公司作为江西奇信集团股份有限公司</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2020年非公开发行公司债券（第一期）主承销商兼受托</w:t>
            </w:r>
            <w:r>
              <w:rPr>
                <w:rFonts w:ascii="Microsoft YaHei" w:hAnsi="Microsoft YaHei" w:eastAsia="Microsoft YaHei" w:cs="Microsoft YaHei"/>
                <w:sz w:val="21"/>
                <w:szCs w:val="21"/>
                <w:spacing w:val="7"/>
              </w:rPr>
              <w:t xml:space="preserve"> </w:t>
            </w:r>
            <w:r>
              <w:rPr>
                <w:rFonts w:ascii="Microsoft YaHei" w:hAnsi="Microsoft YaHei" w:eastAsia="Microsoft YaHei" w:cs="Microsoft YaHei"/>
                <w:sz w:val="21"/>
                <w:szCs w:val="21"/>
                <w:spacing w:val="1"/>
              </w:rPr>
              <w:t>管理人，执业过程中未勤勉尽责，存在尽职调查不规范的</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9"/>
              </w:rPr>
              <w:t>情形。</w:t>
            </w:r>
          </w:p>
        </w:tc>
      </w:tr>
      <w:tr>
        <w:trPr>
          <w:trHeight w:val="726" w:hRule="atLeast"/>
        </w:trPr>
        <w:tc>
          <w:tcPr>
            <w:tcW w:w="8055" w:type="dxa"/>
            <w:vAlign w:val="top"/>
            <w:gridSpan w:val="3"/>
          </w:tcPr>
          <w:p>
            <w:pPr>
              <w:ind w:left="114" w:right="100" w:firstLine="4"/>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中国证券监督管理委员会深圳监管局决定对蒋某鹤采取出具警示函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的监管措施。</w:t>
            </w:r>
          </w:p>
        </w:tc>
      </w:tr>
      <w:tr>
        <w:trPr>
          <w:trHeight w:val="1443" w:hRule="atLeast"/>
        </w:trPr>
        <w:tc>
          <w:tcPr>
            <w:shd w:val="clear" w:fill="B8CCE4"/>
            <w:tcW w:w="1214" w:type="dxa"/>
            <w:vAlign w:val="top"/>
          </w:tcPr>
          <w:p>
            <w:pPr>
              <w:spacing w:line="272" w:lineRule="auto"/>
              <w:rPr>
                <w:rFonts w:ascii="Arial"/>
                <w:sz w:val="21"/>
              </w:rPr>
            </w:pPr>
            <w:r/>
          </w:p>
          <w:p>
            <w:pPr>
              <w:spacing w:line="272" w:lineRule="auto"/>
              <w:rPr>
                <w:rFonts w:ascii="Arial"/>
                <w:sz w:val="21"/>
              </w:rPr>
            </w:pPr>
            <w:r/>
          </w:p>
          <w:p>
            <w:pPr>
              <w:ind w:left="10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400176</w:t>
            </w:r>
          </w:p>
        </w:tc>
        <w:tc>
          <w:tcPr>
            <w:shd w:val="clear" w:fill="B8CCE4"/>
            <w:tcW w:w="1345" w:type="dxa"/>
            <w:vAlign w:val="top"/>
          </w:tcPr>
          <w:p>
            <w:pPr>
              <w:spacing w:line="268" w:lineRule="auto"/>
              <w:rPr>
                <w:rFonts w:ascii="Arial"/>
                <w:sz w:val="21"/>
              </w:rPr>
            </w:pPr>
            <w:r/>
          </w:p>
          <w:p>
            <w:pPr>
              <w:spacing w:line="268" w:lineRule="auto"/>
              <w:rPr>
                <w:rFonts w:ascii="Arial"/>
                <w:sz w:val="21"/>
              </w:rPr>
            </w:pPr>
            <w:r/>
          </w:p>
          <w:p>
            <w:pPr>
              <w:ind w:left="101"/>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奇信3</w:t>
            </w:r>
          </w:p>
        </w:tc>
        <w:tc>
          <w:tcPr>
            <w:shd w:val="clear" w:fill="B8CCE4"/>
            <w:tcW w:w="5496" w:type="dxa"/>
            <w:vAlign w:val="top"/>
          </w:tcPr>
          <w:p>
            <w:pPr>
              <w:ind w:left="101" w:right="101"/>
              <w:spacing w:before="87"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安信证券股份有限公司在保荐江西奇信集团股份有限公司</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1"/>
              </w:rPr>
              <w:t>首次公开发行股票并在中小板上市的执业过程中未勤勉尽</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1"/>
              </w:rPr>
              <w:t>责，存在尽职调查不规范的情形，公司出具的发行保荐书</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2"/>
              </w:rPr>
              <w:t>中发行人财务数据与实际情况不符。</w:t>
            </w:r>
          </w:p>
        </w:tc>
      </w:tr>
      <w:tr>
        <w:trPr>
          <w:trHeight w:val="726" w:hRule="atLeast"/>
        </w:trPr>
        <w:tc>
          <w:tcPr>
            <w:tcW w:w="8055" w:type="dxa"/>
            <w:vAlign w:val="top"/>
            <w:gridSpan w:val="3"/>
          </w:tcPr>
          <w:p>
            <w:pPr>
              <w:ind w:left="106" w:right="100" w:firstLine="11"/>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中国证券监督管理委员会深圳监管局决定对青某采取出具警示函的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5"/>
              </w:rPr>
              <w:t>监管措施。</w:t>
            </w:r>
          </w:p>
        </w:tc>
      </w:tr>
      <w:tr>
        <w:trPr>
          <w:trHeight w:val="1086" w:hRule="atLeast"/>
        </w:trPr>
        <w:tc>
          <w:tcPr>
            <w:shd w:val="clear" w:fill="B8CCE4"/>
            <w:tcW w:w="1214" w:type="dxa"/>
            <w:vAlign w:val="top"/>
          </w:tcPr>
          <w:p>
            <w:pPr>
              <w:spacing w:line="367" w:lineRule="auto"/>
              <w:rPr>
                <w:rFonts w:ascii="Arial"/>
                <w:sz w:val="21"/>
              </w:rPr>
            </w:pPr>
            <w:r/>
          </w:p>
          <w:p>
            <w:pPr>
              <w:ind w:left="12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1000803</w:t>
            </w:r>
          </w:p>
        </w:tc>
        <w:tc>
          <w:tcPr>
            <w:shd w:val="clear" w:fill="B8CCE4"/>
            <w:tcW w:w="1345" w:type="dxa"/>
            <w:vAlign w:val="top"/>
          </w:tcPr>
          <w:p>
            <w:pPr>
              <w:ind w:left="97" w:right="180" w:firstLine="3"/>
              <w:spacing w:before="89"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西藏昆吾九</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鼎投资管理 </w:t>
            </w:r>
            <w:r>
              <w:rPr>
                <w:rFonts w:ascii="Microsoft YaHei" w:hAnsi="Microsoft YaHei" w:eastAsia="Microsoft YaHei" w:cs="Microsoft YaHei"/>
                <w:sz w:val="21"/>
                <w:szCs w:val="21"/>
              </w:rPr>
              <w:t>有限公司</w:t>
            </w:r>
          </w:p>
        </w:tc>
        <w:tc>
          <w:tcPr>
            <w:shd w:val="clear" w:fill="B8CCE4"/>
            <w:tcW w:w="5496" w:type="dxa"/>
            <w:vAlign w:val="top"/>
          </w:tcPr>
          <w:p>
            <w:pPr>
              <w:ind w:left="99" w:right="101" w:firstLine="421"/>
              <w:spacing w:before="272"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未按合同约定进行信息披露，未对投资者进行风险评</w:t>
            </w:r>
            <w:r>
              <w:rPr>
                <w:rFonts w:ascii="Microsoft YaHei" w:hAnsi="Microsoft YaHei" w:eastAsia="Microsoft YaHei" w:cs="Microsoft YaHei"/>
                <w:sz w:val="21"/>
                <w:szCs w:val="21"/>
                <w:spacing w:val="5"/>
              </w:rPr>
              <w:t xml:space="preserve"> </w:t>
            </w:r>
            <w:r>
              <w:rPr>
                <w:rFonts w:ascii="Microsoft YaHei" w:hAnsi="Microsoft YaHei" w:eastAsia="Microsoft YaHei" w:cs="Microsoft YaHei"/>
                <w:sz w:val="21"/>
                <w:szCs w:val="21"/>
                <w:spacing w:val="-2"/>
              </w:rPr>
              <w:t>估，向非合格投资者募集资金。</w:t>
            </w:r>
          </w:p>
        </w:tc>
      </w:tr>
      <w:tr>
        <w:trPr>
          <w:trHeight w:val="723" w:hRule="atLeast"/>
        </w:trPr>
        <w:tc>
          <w:tcPr>
            <w:tcW w:w="8055" w:type="dxa"/>
            <w:vAlign w:val="top"/>
            <w:gridSpan w:val="3"/>
          </w:tcPr>
          <w:p>
            <w:pPr>
              <w:ind w:left="114" w:right="100" w:firstLine="4"/>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中国证券监督管理委员会西藏监管局决定对覃正宇采取出具警示函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的监督管理措施，并记入资本市场诚信档案数据库。</w:t>
            </w:r>
          </w:p>
        </w:tc>
      </w:tr>
      <w:tr>
        <w:trPr>
          <w:trHeight w:val="1086" w:hRule="atLeast"/>
        </w:trPr>
        <w:tc>
          <w:tcPr>
            <w:shd w:val="clear" w:fill="B8CCE4"/>
            <w:tcW w:w="1214" w:type="dxa"/>
            <w:vAlign w:val="top"/>
          </w:tcPr>
          <w:p>
            <w:pPr>
              <w:spacing w:line="369" w:lineRule="auto"/>
              <w:rPr>
                <w:rFonts w:ascii="Arial"/>
                <w:sz w:val="21"/>
              </w:rPr>
            </w:pPr>
            <w:r/>
          </w:p>
          <w:p>
            <w:pPr>
              <w:ind w:left="12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1000803</w:t>
            </w:r>
          </w:p>
        </w:tc>
        <w:tc>
          <w:tcPr>
            <w:shd w:val="clear" w:fill="B8CCE4"/>
            <w:tcW w:w="1345" w:type="dxa"/>
            <w:vAlign w:val="top"/>
          </w:tcPr>
          <w:p>
            <w:pPr>
              <w:ind w:left="97" w:right="180" w:firstLine="3"/>
              <w:spacing w:before="94"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西藏昆吾九</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鼎投资管理 </w:t>
            </w:r>
            <w:r>
              <w:rPr>
                <w:rFonts w:ascii="Microsoft YaHei" w:hAnsi="Microsoft YaHei" w:eastAsia="Microsoft YaHei" w:cs="Microsoft YaHei"/>
                <w:sz w:val="21"/>
                <w:szCs w:val="21"/>
              </w:rPr>
              <w:t>有限公司</w:t>
            </w:r>
          </w:p>
        </w:tc>
        <w:tc>
          <w:tcPr>
            <w:shd w:val="clear" w:fill="B8CCE4"/>
            <w:tcW w:w="5496" w:type="dxa"/>
            <w:vAlign w:val="top"/>
          </w:tcPr>
          <w:p>
            <w:pPr>
              <w:ind w:left="115" w:right="143" w:hanging="15"/>
              <w:spacing w:before="273"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未按合同约定进行信息披露，未对投资者进行风险评估，</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2"/>
              </w:rPr>
              <w:t>向非合格投资者募集资金。</w:t>
            </w:r>
          </w:p>
        </w:tc>
      </w:tr>
      <w:tr>
        <w:trPr>
          <w:trHeight w:val="723" w:hRule="atLeast"/>
        </w:trPr>
        <w:tc>
          <w:tcPr>
            <w:tcW w:w="8055" w:type="dxa"/>
            <w:vAlign w:val="top"/>
            <w:gridSpan w:val="3"/>
          </w:tcPr>
          <w:p>
            <w:pPr>
              <w:ind w:left="114" w:right="100" w:firstLine="4"/>
              <w:spacing w:before="94"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中国证券监督管理委员会西藏监管局决定对易凌杰采取出具警示函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的监督管理措施，并记入资本市场诚信档案数据库。</w:t>
            </w:r>
          </w:p>
        </w:tc>
      </w:tr>
      <w:tr>
        <w:trPr>
          <w:trHeight w:val="2165" w:hRule="atLeast"/>
        </w:trPr>
        <w:tc>
          <w:tcPr>
            <w:shd w:val="clear" w:fill="B8CCE4"/>
            <w:tcW w:w="1214" w:type="dxa"/>
            <w:vAlign w:val="top"/>
          </w:tcPr>
          <w:p>
            <w:pPr>
              <w:rPr>
                <w:rFonts w:ascii="Arial"/>
                <w:sz w:val="21"/>
              </w:rPr>
            </w:pPr>
            <w:r/>
          </w:p>
        </w:tc>
        <w:tc>
          <w:tcPr>
            <w:shd w:val="clear" w:fill="B8CCE4"/>
            <w:tcW w:w="1345" w:type="dxa"/>
            <w:vAlign w:val="top"/>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ind w:left="108" w:right="180" w:hanging="10"/>
              <w:spacing w:before="90"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江海证券有 </w:t>
            </w:r>
            <w:r>
              <w:rPr>
                <w:rFonts w:ascii="Microsoft YaHei" w:hAnsi="Microsoft YaHei" w:eastAsia="Microsoft YaHei" w:cs="Microsoft YaHei"/>
                <w:sz w:val="21"/>
                <w:szCs w:val="21"/>
                <w:spacing w:val="-3"/>
              </w:rPr>
              <w:t>限公司</w:t>
            </w:r>
          </w:p>
        </w:tc>
        <w:tc>
          <w:tcPr>
            <w:shd w:val="clear" w:fill="B8CCE4"/>
            <w:tcW w:w="5496" w:type="dxa"/>
            <w:vAlign w:val="top"/>
          </w:tcPr>
          <w:p>
            <w:pPr>
              <w:ind w:left="99" w:right="95" w:firstLine="1"/>
              <w:spacing w:before="101" w:line="22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一是关于</w:t>
            </w:r>
            <w:r>
              <w:rPr>
                <w:rFonts w:ascii="Microsoft YaHei" w:hAnsi="Microsoft YaHei" w:eastAsia="Microsoft YaHei" w:cs="Microsoft YaHei"/>
                <w:sz w:val="21"/>
                <w:szCs w:val="21"/>
              </w:rPr>
              <w:t>IT</w:t>
            </w:r>
            <w:r>
              <w:rPr>
                <w:rFonts w:ascii="Microsoft YaHei" w:hAnsi="Microsoft YaHei" w:eastAsia="Microsoft YaHei" w:cs="Microsoft YaHei"/>
                <w:sz w:val="21"/>
                <w:szCs w:val="21"/>
                <w:spacing w:val="2"/>
              </w:rPr>
              <w:t>治理、网络安全管理的内部决策、执行机制不</w:t>
            </w:r>
            <w:r>
              <w:rPr>
                <w:rFonts w:ascii="Microsoft YaHei" w:hAnsi="Microsoft YaHei" w:eastAsia="Microsoft YaHei" w:cs="Microsoft YaHei"/>
                <w:sz w:val="21"/>
                <w:szCs w:val="21"/>
                <w:spacing w:val="7"/>
              </w:rPr>
              <w:t xml:space="preserve"> </w:t>
            </w:r>
            <w:r>
              <w:rPr>
                <w:rFonts w:ascii="Microsoft YaHei" w:hAnsi="Microsoft YaHei" w:eastAsia="Microsoft YaHei" w:cs="Microsoft YaHei"/>
                <w:sz w:val="21"/>
                <w:szCs w:val="21"/>
                <w:spacing w:val="10"/>
              </w:rPr>
              <w:t>健全，违反了《证券期货业网络和信息安全管理办法》</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spacing w:val="4"/>
              </w:rPr>
              <w:t>（证监会令第218号）第九条第一款规定；二是公司</w:t>
            </w:r>
            <w:r>
              <w:rPr>
                <w:rFonts w:ascii="Microsoft YaHei" w:hAnsi="Microsoft YaHei" w:eastAsia="Microsoft YaHei" w:cs="Microsoft YaHei"/>
                <w:sz w:val="21"/>
                <w:szCs w:val="21"/>
              </w:rPr>
              <w:t>APP</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4"/>
              </w:rPr>
              <w:t>个人信息保护合规性检测不充分，</w:t>
            </w:r>
            <w:r>
              <w:rPr>
                <w:rFonts w:ascii="Microsoft YaHei" w:hAnsi="Microsoft YaHei" w:eastAsia="Microsoft YaHei" w:cs="Microsoft YaHei"/>
                <w:sz w:val="21"/>
                <w:szCs w:val="21"/>
                <w:spacing w:val="47"/>
              </w:rPr>
              <w:t xml:space="preserve"> </w:t>
            </w:r>
            <w:r>
              <w:rPr>
                <w:rFonts w:ascii="Microsoft YaHei" w:hAnsi="Microsoft YaHei" w:eastAsia="Microsoft YaHei" w:cs="Microsoft YaHei"/>
                <w:sz w:val="21"/>
                <w:szCs w:val="21"/>
                <w:spacing w:val="-4"/>
              </w:rPr>
              <w:t>存在APP强制、频繁、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过度索取权限问题，违反了《证券期货业网络和信息安全</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rPr>
              <w:t>管理办法》第三十条规定。</w:t>
            </w:r>
          </w:p>
        </w:tc>
      </w:tr>
      <w:tr>
        <w:trPr>
          <w:trHeight w:val="726" w:hRule="atLeast"/>
        </w:trPr>
        <w:tc>
          <w:tcPr>
            <w:tcW w:w="8055" w:type="dxa"/>
            <w:vAlign w:val="top"/>
            <w:gridSpan w:val="3"/>
          </w:tcPr>
          <w:p>
            <w:pPr>
              <w:ind w:left="105" w:right="100" w:firstLine="13"/>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中国证券监督管理委员会黑龙江监管局决定对江海证券有限公司采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取出具警示函的行政监管措施。</w:t>
            </w:r>
          </w:p>
        </w:tc>
      </w:tr>
      <w:tr>
        <w:trPr>
          <w:trHeight w:val="364" w:hRule="atLeast"/>
        </w:trPr>
        <w:tc>
          <w:tcPr>
            <w:shd w:val="clear" w:fill="B8CCE4"/>
            <w:tcW w:w="1214" w:type="dxa"/>
            <w:vAlign w:val="top"/>
          </w:tcPr>
          <w:p>
            <w:pPr>
              <w:ind w:left="104"/>
              <w:spacing w:before="106" w:line="16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430399</w:t>
            </w:r>
          </w:p>
        </w:tc>
        <w:tc>
          <w:tcPr>
            <w:shd w:val="clear" w:fill="B8CCE4"/>
            <w:tcW w:w="1345" w:type="dxa"/>
            <w:vAlign w:val="top"/>
          </w:tcPr>
          <w:p>
            <w:pPr>
              <w:ind w:left="98"/>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湘财证券</w:t>
            </w:r>
          </w:p>
        </w:tc>
        <w:tc>
          <w:tcPr>
            <w:shd w:val="clear" w:fill="B8CCE4"/>
            <w:tcW w:w="5496" w:type="dxa"/>
            <w:vAlign w:val="top"/>
          </w:tcPr>
          <w:p>
            <w:pPr>
              <w:ind w:left="100"/>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基金管理人及从业人员管理不规范， 业务人员不适格。</w:t>
            </w:r>
          </w:p>
        </w:tc>
      </w:tr>
      <w:tr>
        <w:trPr>
          <w:trHeight w:val="726" w:hRule="atLeast"/>
        </w:trPr>
        <w:tc>
          <w:tcPr>
            <w:tcW w:w="8055" w:type="dxa"/>
            <w:vAlign w:val="top"/>
            <w:gridSpan w:val="3"/>
          </w:tcPr>
          <w:p>
            <w:pPr>
              <w:ind w:left="114" w:right="100" w:firstLine="4"/>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中国证券监督管理委员会贵州监管局决定对赵某昌采取出具警示函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的行政监管措施,并记入证券期货市场诚信档案。</w:t>
            </w:r>
          </w:p>
        </w:tc>
      </w:tr>
      <w:tr>
        <w:trPr>
          <w:trHeight w:val="611" w:hRule="atLeast"/>
        </w:trPr>
        <w:tc>
          <w:tcPr>
            <w:shd w:val="clear" w:fill="B8CCE4"/>
            <w:tcW w:w="1214" w:type="dxa"/>
            <w:vAlign w:val="top"/>
          </w:tcPr>
          <w:p>
            <w:pPr>
              <w:ind w:left="104"/>
              <w:spacing w:before="23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430399</w:t>
            </w:r>
          </w:p>
        </w:tc>
        <w:tc>
          <w:tcPr>
            <w:shd w:val="clear" w:fill="B8CCE4"/>
            <w:tcW w:w="1345" w:type="dxa"/>
            <w:vAlign w:val="top"/>
          </w:tcPr>
          <w:p>
            <w:pPr>
              <w:ind w:left="98"/>
              <w:spacing w:before="222"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湘财证券</w:t>
            </w:r>
          </w:p>
        </w:tc>
        <w:tc>
          <w:tcPr>
            <w:shd w:val="clear" w:fill="B8CCE4"/>
            <w:tcW w:w="5496" w:type="dxa"/>
            <w:vAlign w:val="top"/>
          </w:tcPr>
          <w:p>
            <w:pPr>
              <w:ind w:left="100"/>
              <w:spacing w:before="222"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基金管理人及从业人员管理不规范， 业务人员不适格。</w:t>
            </w:r>
          </w:p>
        </w:tc>
      </w:tr>
      <w:tr>
        <w:trPr>
          <w:trHeight w:val="1083" w:hRule="atLeast"/>
        </w:trPr>
        <w:tc>
          <w:tcPr>
            <w:tcW w:w="8055" w:type="dxa"/>
            <w:vAlign w:val="top"/>
            <w:gridSpan w:val="3"/>
          </w:tcPr>
          <w:p>
            <w:pPr>
              <w:ind w:left="105" w:right="98" w:firstLine="13"/>
              <w:spacing w:before="100"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中国证券监督管理委员会贵州监管局决定对湘财证券股份有限公司</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贵阳北京路证券营业部采取出具警示函的行政监管措施,并记入证券期货市场诚信档</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11"/>
              </w:rPr>
              <w:t>案。</w:t>
            </w:r>
          </w:p>
        </w:tc>
      </w:tr>
      <w:tr>
        <w:trPr>
          <w:trHeight w:val="1085" w:hRule="atLeast"/>
        </w:trPr>
        <w:tc>
          <w:tcPr>
            <w:shd w:val="clear" w:fill="B8CCE4"/>
            <w:tcW w:w="1214" w:type="dxa"/>
            <w:vAlign w:val="top"/>
          </w:tcPr>
          <w:p>
            <w:pPr>
              <w:rPr>
                <w:rFonts w:ascii="Arial"/>
                <w:sz w:val="21"/>
              </w:rPr>
            </w:pPr>
            <w:r/>
          </w:p>
        </w:tc>
        <w:tc>
          <w:tcPr>
            <w:shd w:val="clear" w:fill="B8CCE4"/>
            <w:tcW w:w="1345" w:type="dxa"/>
            <w:vAlign w:val="top"/>
          </w:tcPr>
          <w:p>
            <w:pPr>
              <w:ind w:left="97" w:right="180" w:firstLine="3"/>
              <w:spacing w:before="102"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南宁绿港建</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rPr>
              <w:t>设投资集团 </w:t>
            </w:r>
            <w:r>
              <w:rPr>
                <w:rFonts w:ascii="Microsoft YaHei" w:hAnsi="Microsoft YaHei" w:eastAsia="Microsoft YaHei" w:cs="Microsoft YaHei"/>
                <w:sz w:val="21"/>
                <w:szCs w:val="21"/>
              </w:rPr>
              <w:t>有限公司</w:t>
            </w:r>
          </w:p>
        </w:tc>
        <w:tc>
          <w:tcPr>
            <w:shd w:val="clear" w:fill="B8CCE4"/>
            <w:tcW w:w="5496" w:type="dxa"/>
            <w:vAlign w:val="top"/>
          </w:tcPr>
          <w:p>
            <w:pPr>
              <w:spacing w:line="370" w:lineRule="auto"/>
              <w:rPr>
                <w:rFonts w:ascii="Arial"/>
                <w:sz w:val="21"/>
              </w:rPr>
            </w:pPr>
            <w:r/>
          </w:p>
          <w:p>
            <w:pPr>
              <w:ind w:left="102"/>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董监高未勤勉尽责， 对外担保披露不规范。</w:t>
            </w:r>
          </w:p>
        </w:tc>
      </w:tr>
      <w:tr>
        <w:trPr>
          <w:trHeight w:val="736" w:hRule="atLeast"/>
        </w:trPr>
        <w:tc>
          <w:tcPr>
            <w:tcW w:w="8055" w:type="dxa"/>
            <w:vAlign w:val="top"/>
            <w:gridSpan w:val="3"/>
          </w:tcPr>
          <w:p>
            <w:pPr>
              <w:ind w:left="105" w:right="100" w:firstLine="13"/>
              <w:spacing w:before="10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中国证券监督管理委员会广西监管局决定对南宁绿港集团及相关责</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任人采取出具警示函的行政监管措施。</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1093" w:hRule="atLeast"/>
        </w:trPr>
        <w:tc>
          <w:tcPr>
            <w:shd w:val="clear" w:fill="B8CCE4"/>
            <w:tcW w:w="1214" w:type="dxa"/>
            <w:vAlign w:val="top"/>
            <w:tcBorders>
              <w:top w:val="single" w:color="4F81BD" w:sz="2" w:space="0"/>
            </w:tcBorders>
          </w:tcPr>
          <w:p>
            <w:pPr>
              <w:spacing w:line="372" w:lineRule="auto"/>
              <w:rPr>
                <w:rFonts w:ascii="Arial"/>
                <w:sz w:val="21"/>
              </w:rPr>
            </w:pPr>
            <w:r/>
          </w:p>
          <w:p>
            <w:pPr>
              <w:ind w:left="12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1062174</w:t>
            </w:r>
          </w:p>
        </w:tc>
        <w:tc>
          <w:tcPr>
            <w:shd w:val="clear" w:fill="B8CCE4"/>
            <w:tcW w:w="1345" w:type="dxa"/>
            <w:vAlign w:val="top"/>
            <w:tcBorders>
              <w:top w:val="single" w:color="4F81BD" w:sz="2" w:space="0"/>
            </w:tcBorders>
          </w:tcPr>
          <w:p>
            <w:pPr>
              <w:ind w:left="97" w:right="180" w:firstLine="1"/>
              <w:spacing w:before="96"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深圳前海钜 </w:t>
            </w:r>
            <w:r>
              <w:rPr>
                <w:rFonts w:ascii="Microsoft YaHei" w:hAnsi="Microsoft YaHei" w:eastAsia="Microsoft YaHei" w:cs="Microsoft YaHei"/>
                <w:sz w:val="21"/>
                <w:szCs w:val="21"/>
              </w:rPr>
              <w:t>丰投资管理 </w:t>
            </w:r>
            <w:r>
              <w:rPr>
                <w:rFonts w:ascii="Microsoft YaHei" w:hAnsi="Microsoft YaHei" w:eastAsia="Microsoft YaHei" w:cs="Microsoft YaHei"/>
                <w:sz w:val="21"/>
                <w:szCs w:val="21"/>
              </w:rPr>
              <w:t>有限公司</w:t>
            </w:r>
          </w:p>
        </w:tc>
        <w:tc>
          <w:tcPr>
            <w:shd w:val="clear" w:fill="B8CCE4"/>
            <w:tcW w:w="5496" w:type="dxa"/>
            <w:vAlign w:val="top"/>
            <w:tcBorders>
              <w:top w:val="single" w:color="4F81BD" w:sz="2" w:space="0"/>
            </w:tcBorders>
          </w:tcPr>
          <w:p>
            <w:pPr>
              <w:spacing w:line="365" w:lineRule="auto"/>
              <w:rPr>
                <w:rFonts w:ascii="Arial"/>
                <w:sz w:val="21"/>
              </w:rPr>
            </w:pPr>
            <w:r/>
          </w:p>
          <w:p>
            <w:pPr>
              <w:ind w:left="100"/>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基金未按规定办理备案手续。</w:t>
            </w:r>
          </w:p>
        </w:tc>
      </w:tr>
      <w:tr>
        <w:trPr>
          <w:trHeight w:val="726" w:hRule="atLeast"/>
        </w:trPr>
        <w:tc>
          <w:tcPr>
            <w:tcW w:w="8055" w:type="dxa"/>
            <w:vAlign w:val="top"/>
            <w:gridSpan w:val="3"/>
          </w:tcPr>
          <w:p>
            <w:pPr>
              <w:ind w:left="105" w:right="100" w:firstLine="13"/>
              <w:spacing w:before="88" w:line="20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中国证券监督管理委员会深圳监管局决定对钜丰投资、有关责任人</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采取出具警示函的行政监管措施。</w:t>
            </w:r>
          </w:p>
        </w:tc>
      </w:tr>
      <w:tr>
        <w:trPr>
          <w:trHeight w:val="723" w:hRule="atLeast"/>
        </w:trPr>
        <w:tc>
          <w:tcPr>
            <w:shd w:val="clear" w:fill="B8CCE4"/>
            <w:tcW w:w="1214" w:type="dxa"/>
            <w:vAlign w:val="top"/>
          </w:tcPr>
          <w:p>
            <w:pPr>
              <w:ind w:left="124"/>
              <w:spacing w:before="277"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1004190</w:t>
            </w:r>
          </w:p>
        </w:tc>
        <w:tc>
          <w:tcPr>
            <w:shd w:val="clear" w:fill="B8CCE4"/>
            <w:tcW w:w="1345" w:type="dxa"/>
            <w:vAlign w:val="top"/>
          </w:tcPr>
          <w:p>
            <w:pPr>
              <w:ind w:left="97" w:right="180" w:firstLine="2"/>
              <w:spacing w:before="8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华侨基金管</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rPr>
              <w:t>理有限公司</w:t>
            </w:r>
          </w:p>
        </w:tc>
        <w:tc>
          <w:tcPr>
            <w:shd w:val="clear" w:fill="B8CCE4"/>
            <w:tcW w:w="5496" w:type="dxa"/>
            <w:vAlign w:val="top"/>
          </w:tcPr>
          <w:p>
            <w:pPr>
              <w:ind w:left="99" w:right="101" w:firstLine="1"/>
              <w:spacing w:before="8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未按合同约定进行信息披露，未对私募基金风险评级，  基</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金管理人及从业人员管理不规范。</w:t>
            </w:r>
          </w:p>
        </w:tc>
      </w:tr>
      <w:tr>
        <w:trPr>
          <w:trHeight w:val="726" w:hRule="atLeast"/>
        </w:trPr>
        <w:tc>
          <w:tcPr>
            <w:tcW w:w="8055" w:type="dxa"/>
            <w:vAlign w:val="top"/>
            <w:gridSpan w:val="3"/>
          </w:tcPr>
          <w:p>
            <w:pPr>
              <w:ind w:left="105" w:right="100" w:firstLine="12"/>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中国证券监督管理委员会浙江监管局决定对有关责任人采取出具警</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示函的监督管理措施，并记入证券期货市场诚信档案。</w:t>
            </w:r>
          </w:p>
        </w:tc>
      </w:tr>
      <w:tr>
        <w:trPr>
          <w:trHeight w:val="723" w:hRule="atLeast"/>
        </w:trPr>
        <w:tc>
          <w:tcPr>
            <w:shd w:val="clear" w:fill="B8CCE4"/>
            <w:tcW w:w="1214" w:type="dxa"/>
            <w:vAlign w:val="top"/>
          </w:tcPr>
          <w:p>
            <w:pPr>
              <w:ind w:left="124"/>
              <w:spacing w:before="279"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1004190</w:t>
            </w:r>
          </w:p>
        </w:tc>
        <w:tc>
          <w:tcPr>
            <w:shd w:val="clear" w:fill="B8CCE4"/>
            <w:tcW w:w="1345" w:type="dxa"/>
            <w:vAlign w:val="top"/>
          </w:tcPr>
          <w:p>
            <w:pPr>
              <w:ind w:left="97" w:right="180" w:firstLine="2"/>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华侨基金管</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rPr>
              <w:t>理有限公司</w:t>
            </w:r>
          </w:p>
        </w:tc>
        <w:tc>
          <w:tcPr>
            <w:shd w:val="clear" w:fill="B8CCE4"/>
            <w:tcW w:w="5496" w:type="dxa"/>
            <w:vAlign w:val="top"/>
          </w:tcPr>
          <w:p>
            <w:pPr>
              <w:ind w:left="99" w:right="101" w:firstLine="1"/>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未按合同约定进行信息披露，未对私募基金风险评级，  基</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金管理人及从业人员管理不规范。</w:t>
            </w:r>
          </w:p>
        </w:tc>
      </w:tr>
      <w:tr>
        <w:trPr>
          <w:trHeight w:val="726" w:hRule="atLeast"/>
        </w:trPr>
        <w:tc>
          <w:tcPr>
            <w:tcW w:w="8055" w:type="dxa"/>
            <w:vAlign w:val="top"/>
            <w:gridSpan w:val="3"/>
          </w:tcPr>
          <w:p>
            <w:pPr>
              <w:ind w:left="105" w:right="100" w:firstLine="13"/>
              <w:spacing w:before="94"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中国证券监督管理委员会浙江监管局决定对华侨基金管理有限公司</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采取出具警示函的监督管理措施，并记入证券期货市场诚信档案。</w:t>
            </w:r>
          </w:p>
        </w:tc>
      </w:tr>
      <w:tr>
        <w:trPr>
          <w:trHeight w:val="724" w:hRule="atLeast"/>
        </w:trPr>
        <w:tc>
          <w:tcPr>
            <w:shd w:val="clear" w:fill="B8CCE4"/>
            <w:tcW w:w="1214" w:type="dxa"/>
            <w:vAlign w:val="top"/>
          </w:tcPr>
          <w:p>
            <w:pPr>
              <w:ind w:left="112"/>
              <w:spacing w:before="283"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833786</w:t>
            </w:r>
          </w:p>
        </w:tc>
        <w:tc>
          <w:tcPr>
            <w:shd w:val="clear" w:fill="B8CCE4"/>
            <w:tcW w:w="1345" w:type="dxa"/>
            <w:vAlign w:val="top"/>
          </w:tcPr>
          <w:p>
            <w:pPr>
              <w:ind w:left="99"/>
              <w:spacing w:before="274"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超纯环保</w:t>
            </w:r>
          </w:p>
        </w:tc>
        <w:tc>
          <w:tcPr>
            <w:shd w:val="clear" w:fill="B8CCE4"/>
            <w:tcW w:w="5496" w:type="dxa"/>
            <w:vAlign w:val="top"/>
          </w:tcPr>
          <w:p>
            <w:pPr>
              <w:ind w:left="98" w:right="102" w:firstLine="11"/>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6"/>
              </w:rPr>
              <w:t>2021年财务报告不准确、监事会运作不规范、内幕</w:t>
            </w:r>
            <w:r>
              <w:rPr>
                <w:rFonts w:ascii="Microsoft YaHei" w:hAnsi="Microsoft YaHei" w:eastAsia="Microsoft YaHei" w:cs="Microsoft YaHei"/>
                <w:sz w:val="21"/>
                <w:szCs w:val="21"/>
                <w:spacing w:val="5"/>
              </w:rPr>
              <w:t>信息</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知情人档案不完整。</w:t>
            </w:r>
          </w:p>
        </w:tc>
      </w:tr>
      <w:tr>
        <w:trPr>
          <w:trHeight w:val="726" w:hRule="atLeast"/>
        </w:trPr>
        <w:tc>
          <w:tcPr>
            <w:tcW w:w="8055" w:type="dxa"/>
            <w:vAlign w:val="top"/>
            <w:gridSpan w:val="3"/>
          </w:tcPr>
          <w:p>
            <w:pPr>
              <w:ind w:left="105" w:right="100" w:firstLine="13"/>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中国证券监督管理委员会深圳监管局决定对有关责任人分别采取出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具警示函的监管措施。</w:t>
            </w:r>
          </w:p>
        </w:tc>
      </w:tr>
      <w:tr>
        <w:trPr>
          <w:trHeight w:val="1083" w:hRule="atLeast"/>
        </w:trPr>
        <w:tc>
          <w:tcPr>
            <w:shd w:val="clear" w:fill="B8CCE4"/>
            <w:tcW w:w="1214" w:type="dxa"/>
            <w:vAlign w:val="top"/>
          </w:tcPr>
          <w:p>
            <w:pPr>
              <w:spacing w:line="371" w:lineRule="auto"/>
              <w:rPr>
                <w:rFonts w:ascii="Arial"/>
                <w:sz w:val="21"/>
              </w:rPr>
            </w:pPr>
            <w:r/>
          </w:p>
          <w:p>
            <w:pPr>
              <w:ind w:left="112"/>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873902</w:t>
            </w:r>
          </w:p>
        </w:tc>
        <w:tc>
          <w:tcPr>
            <w:shd w:val="clear" w:fill="B8CCE4"/>
            <w:tcW w:w="1345" w:type="dxa"/>
            <w:vAlign w:val="top"/>
          </w:tcPr>
          <w:p>
            <w:pPr>
              <w:spacing w:line="361" w:lineRule="auto"/>
              <w:rPr>
                <w:rFonts w:ascii="Arial"/>
                <w:sz w:val="21"/>
              </w:rPr>
            </w:pPr>
            <w:r/>
          </w:p>
          <w:p>
            <w:pPr>
              <w:ind w:left="109"/>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晶阳机电</w:t>
            </w:r>
          </w:p>
        </w:tc>
        <w:tc>
          <w:tcPr>
            <w:shd w:val="clear" w:fill="B8CCE4"/>
            <w:tcW w:w="5496" w:type="dxa"/>
            <w:vAlign w:val="top"/>
          </w:tcPr>
          <w:p>
            <w:pPr>
              <w:ind w:left="101" w:right="98" w:hanging="1"/>
              <w:spacing w:before="95"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信息披露不真实，信息披露不准确，未按规定披露重要合</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0"/>
              </w:rPr>
              <w:t>同（框架协议</w:t>
            </w:r>
            <w:r>
              <w:rPr>
                <w:rFonts w:ascii="Microsoft YaHei" w:hAnsi="Microsoft YaHei" w:eastAsia="Microsoft YaHei" w:cs="Microsoft YaHei"/>
                <w:sz w:val="21"/>
                <w:szCs w:val="21"/>
                <w:spacing w:val="9"/>
              </w:rPr>
              <w:t>），</w:t>
            </w:r>
            <w:r>
              <w:rPr>
                <w:rFonts w:ascii="Microsoft YaHei" w:hAnsi="Microsoft YaHei" w:eastAsia="Microsoft YaHei" w:cs="Microsoft YaHei"/>
                <w:sz w:val="21"/>
                <w:szCs w:val="21"/>
                <w:spacing w:val="10"/>
              </w:rPr>
              <w:t>信息披露不完整，其他股份变动不规</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spacing w:val="-11"/>
              </w:rPr>
              <w:t>范。</w:t>
            </w:r>
          </w:p>
        </w:tc>
      </w:tr>
      <w:tr>
        <w:trPr>
          <w:trHeight w:val="726" w:hRule="atLeast"/>
        </w:trPr>
        <w:tc>
          <w:tcPr>
            <w:tcW w:w="8055" w:type="dxa"/>
            <w:vAlign w:val="top"/>
            <w:gridSpan w:val="3"/>
          </w:tcPr>
          <w:p>
            <w:pPr>
              <w:ind w:left="105" w:right="100" w:firstLine="13"/>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中国证券监督管理委员会浙江监管局决定对公司及有关责任人分别</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采取出具警示函的监督管理措施，并记入证券期货市场诚信档案。</w:t>
            </w:r>
          </w:p>
        </w:tc>
      </w:tr>
      <w:tr>
        <w:trPr>
          <w:trHeight w:val="724" w:hRule="atLeast"/>
        </w:trPr>
        <w:tc>
          <w:tcPr>
            <w:shd w:val="clear" w:fill="B8CCE4"/>
            <w:tcW w:w="1214" w:type="dxa"/>
            <w:vAlign w:val="top"/>
          </w:tcPr>
          <w:p>
            <w:pPr>
              <w:ind w:left="112"/>
              <w:spacing w:before="284"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831177</w:t>
            </w:r>
          </w:p>
        </w:tc>
        <w:tc>
          <w:tcPr>
            <w:shd w:val="clear" w:fill="B8CCE4"/>
            <w:tcW w:w="1345" w:type="dxa"/>
            <w:vAlign w:val="top"/>
          </w:tcPr>
          <w:p>
            <w:pPr>
              <w:ind w:left="99"/>
              <w:spacing w:before="276"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深冷能源</w:t>
            </w:r>
          </w:p>
        </w:tc>
        <w:tc>
          <w:tcPr>
            <w:shd w:val="clear" w:fill="B8CCE4"/>
            <w:tcW w:w="5496" w:type="dxa"/>
            <w:vAlign w:val="top"/>
          </w:tcPr>
          <w:p>
            <w:pPr>
              <w:ind w:left="100" w:right="98"/>
              <w:spacing w:before="95"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0"/>
              </w:rPr>
              <w:t>存在股份代持情形且未披露；关联交易未及时审议并披</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spacing w:val="-1"/>
              </w:rPr>
              <w:t>露；定期报告相关信息披露不完整、不准确。</w:t>
            </w:r>
          </w:p>
        </w:tc>
      </w:tr>
      <w:tr>
        <w:trPr>
          <w:trHeight w:val="1086" w:hRule="atLeast"/>
        </w:trPr>
        <w:tc>
          <w:tcPr>
            <w:tcW w:w="8055" w:type="dxa"/>
            <w:vAlign w:val="top"/>
            <w:gridSpan w:val="3"/>
          </w:tcPr>
          <w:p>
            <w:pPr>
              <w:ind w:left="105" w:right="100" w:firstLine="13"/>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中国证券监督管理委员会河南监管局决定对河南心连心深冷能源股</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7"/>
              </w:rPr>
              <w:t>份有限公司、有关责任人实施出具警示函的行政监管措施，并记入证券期货诚信档</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11"/>
              </w:rPr>
              <w:t>案。</w:t>
            </w:r>
          </w:p>
        </w:tc>
      </w:tr>
      <w:tr>
        <w:trPr>
          <w:trHeight w:val="364" w:hRule="atLeast"/>
        </w:trPr>
        <w:tc>
          <w:tcPr>
            <w:shd w:val="clear" w:fill="B8CCE4"/>
            <w:tcW w:w="1214" w:type="dxa"/>
            <w:vAlign w:val="top"/>
          </w:tcPr>
          <w:p>
            <w:pPr>
              <w:ind w:left="104"/>
              <w:spacing w:before="106" w:line="16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430695</w:t>
            </w:r>
          </w:p>
        </w:tc>
        <w:tc>
          <w:tcPr>
            <w:shd w:val="clear" w:fill="B8CCE4"/>
            <w:tcW w:w="1345" w:type="dxa"/>
            <w:vAlign w:val="top"/>
          </w:tcPr>
          <w:p>
            <w:pPr>
              <w:ind w:left="98"/>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浩海科技</w:t>
            </w:r>
          </w:p>
        </w:tc>
        <w:tc>
          <w:tcPr>
            <w:shd w:val="clear" w:fill="B8CCE4"/>
            <w:tcW w:w="5496" w:type="dxa"/>
            <w:vAlign w:val="top"/>
          </w:tcPr>
          <w:p>
            <w:pPr>
              <w:ind w:left="102"/>
              <w:spacing w:before="97" w:line="171"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关联方资金占用违规，董监高未勤勉尽责。</w:t>
            </w:r>
          </w:p>
        </w:tc>
      </w:tr>
      <w:tr>
        <w:trPr>
          <w:trHeight w:val="1086" w:hRule="atLeast"/>
        </w:trPr>
        <w:tc>
          <w:tcPr>
            <w:tcW w:w="8055" w:type="dxa"/>
            <w:vAlign w:val="top"/>
            <w:gridSpan w:val="3"/>
          </w:tcPr>
          <w:p>
            <w:pPr>
              <w:ind w:left="104" w:right="100" w:firstLine="14"/>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中国证券监督管理委员会青岛监管局决定对青岛浩海网络科技股份</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有限公司及有关责任人采取出具警示函的行政监管措施，</w:t>
            </w:r>
            <w:r>
              <w:rPr>
                <w:rFonts w:ascii="Microsoft YaHei" w:hAnsi="Microsoft YaHei" w:eastAsia="Microsoft YaHei" w:cs="Microsoft YaHei"/>
                <w:sz w:val="21"/>
                <w:szCs w:val="21"/>
                <w:spacing w:val="1"/>
              </w:rPr>
              <w:t>并记入证券期货市场诚信档</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1"/>
              </w:rPr>
              <w:t>案。</w:t>
            </w:r>
          </w:p>
        </w:tc>
      </w:tr>
      <w:tr>
        <w:trPr>
          <w:trHeight w:val="1086" w:hRule="atLeast"/>
        </w:trPr>
        <w:tc>
          <w:tcPr>
            <w:shd w:val="clear" w:fill="B8CCE4"/>
            <w:tcW w:w="1214" w:type="dxa"/>
            <w:vAlign w:val="top"/>
          </w:tcPr>
          <w:p>
            <w:pPr>
              <w:spacing w:line="374" w:lineRule="auto"/>
              <w:rPr>
                <w:rFonts w:ascii="Arial"/>
                <w:sz w:val="21"/>
              </w:rPr>
            </w:pPr>
            <w:r/>
          </w:p>
          <w:p>
            <w:pPr>
              <w:ind w:left="12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1003149</w:t>
            </w:r>
          </w:p>
        </w:tc>
        <w:tc>
          <w:tcPr>
            <w:shd w:val="clear" w:fill="B8CCE4"/>
            <w:tcW w:w="1345" w:type="dxa"/>
            <w:vAlign w:val="top"/>
          </w:tcPr>
          <w:p>
            <w:pPr>
              <w:ind w:left="97" w:right="180"/>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广东东方比 </w:t>
            </w:r>
            <w:r>
              <w:rPr>
                <w:rFonts w:ascii="Microsoft YaHei" w:hAnsi="Microsoft YaHei" w:eastAsia="Microsoft YaHei" w:cs="Microsoft YaHei"/>
                <w:sz w:val="21"/>
                <w:szCs w:val="21"/>
              </w:rPr>
              <w:t>逊基金管理 </w:t>
            </w:r>
            <w:r>
              <w:rPr>
                <w:rFonts w:ascii="Microsoft YaHei" w:hAnsi="Microsoft YaHei" w:eastAsia="Microsoft YaHei" w:cs="Microsoft YaHei"/>
                <w:sz w:val="21"/>
                <w:szCs w:val="21"/>
              </w:rPr>
              <w:t>有限公司</w:t>
            </w:r>
          </w:p>
        </w:tc>
        <w:tc>
          <w:tcPr>
            <w:shd w:val="clear" w:fill="B8CCE4"/>
            <w:tcW w:w="5496" w:type="dxa"/>
            <w:vAlign w:val="top"/>
          </w:tcPr>
          <w:p>
            <w:pPr>
              <w:ind w:left="100" w:right="143"/>
              <w:spacing w:before="279"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未按合同约定进行信息披露，未对投资者进行风险评估，</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1"/>
              </w:rPr>
              <w:t>未按要求保存资料、合同，未履行尽调及投后管理职责。</w:t>
            </w:r>
          </w:p>
        </w:tc>
      </w:tr>
      <w:tr>
        <w:trPr>
          <w:trHeight w:val="723" w:hRule="atLeast"/>
        </w:trPr>
        <w:tc>
          <w:tcPr>
            <w:tcW w:w="8055" w:type="dxa"/>
            <w:vAlign w:val="top"/>
            <w:gridSpan w:val="3"/>
          </w:tcPr>
          <w:p>
            <w:pPr>
              <w:ind w:left="105" w:right="100" w:firstLine="13"/>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中国证券监督管理委员会深圳监管局决定对东方比逊、有关责任人</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采取出具警示函的行政监管措施。</w:t>
            </w:r>
          </w:p>
        </w:tc>
      </w:tr>
      <w:tr>
        <w:trPr>
          <w:trHeight w:val="726" w:hRule="atLeast"/>
        </w:trPr>
        <w:tc>
          <w:tcPr>
            <w:shd w:val="clear" w:fill="B8CCE4"/>
            <w:tcW w:w="1214" w:type="dxa"/>
            <w:vAlign w:val="top"/>
          </w:tcPr>
          <w:p>
            <w:pPr>
              <w:ind w:left="112"/>
              <w:spacing w:before="2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871242</w:t>
            </w:r>
          </w:p>
        </w:tc>
        <w:tc>
          <w:tcPr>
            <w:shd w:val="clear" w:fill="B8CCE4"/>
            <w:tcW w:w="1345" w:type="dxa"/>
            <w:vAlign w:val="top"/>
          </w:tcPr>
          <w:p>
            <w:pPr>
              <w:ind w:left="109"/>
              <w:spacing w:before="28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ST恒隆港</w:t>
            </w:r>
          </w:p>
        </w:tc>
        <w:tc>
          <w:tcPr>
            <w:shd w:val="clear" w:fill="B8CCE4"/>
            <w:tcW w:w="5496" w:type="dxa"/>
            <w:vAlign w:val="top"/>
          </w:tcPr>
          <w:p>
            <w:pPr>
              <w:ind w:left="100" w:right="101"/>
              <w:spacing w:before="100"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未按期披露定期报告；未及时披露重大担保事项；未及时</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3"/>
              </w:rPr>
              <w:t>披露重大诉讼信息； 未及时披露重大债务违约。</w:t>
            </w:r>
          </w:p>
        </w:tc>
      </w:tr>
      <w:tr>
        <w:trPr>
          <w:trHeight w:val="723" w:hRule="atLeast"/>
        </w:trPr>
        <w:tc>
          <w:tcPr>
            <w:tcW w:w="8055" w:type="dxa"/>
            <w:vAlign w:val="top"/>
            <w:gridSpan w:val="3"/>
          </w:tcPr>
          <w:p>
            <w:pPr>
              <w:ind w:left="105" w:right="100" w:firstLine="13"/>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中国证券监督管理委员会河北监管局决定对唐山恒隆港务股份有限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公司、有关责任人采取出具警示函的行政监管措施。</w:t>
            </w:r>
          </w:p>
        </w:tc>
      </w:tr>
      <w:tr>
        <w:trPr>
          <w:trHeight w:val="1096" w:hRule="atLeast"/>
        </w:trPr>
        <w:tc>
          <w:tcPr>
            <w:shd w:val="clear" w:fill="B8CCE4"/>
            <w:tcW w:w="1214" w:type="dxa"/>
            <w:vAlign w:val="top"/>
          </w:tcPr>
          <w:p>
            <w:pPr>
              <w:rPr>
                <w:rFonts w:ascii="Arial"/>
                <w:sz w:val="21"/>
              </w:rPr>
            </w:pPr>
            <w:r/>
          </w:p>
        </w:tc>
        <w:tc>
          <w:tcPr>
            <w:shd w:val="clear" w:fill="B8CCE4"/>
            <w:tcW w:w="1345" w:type="dxa"/>
            <w:vAlign w:val="top"/>
          </w:tcPr>
          <w:p>
            <w:pPr>
              <w:ind w:left="98" w:right="180" w:firstLine="3"/>
              <w:spacing w:before="104"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宁夏晟晏实</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业集团有限 </w:t>
            </w:r>
            <w:r>
              <w:rPr>
                <w:rFonts w:ascii="Microsoft YaHei" w:hAnsi="Microsoft YaHei" w:eastAsia="Microsoft YaHei" w:cs="Microsoft YaHei"/>
                <w:sz w:val="21"/>
                <w:szCs w:val="21"/>
                <w:spacing w:val="-1"/>
              </w:rPr>
              <w:t>公司</w:t>
            </w:r>
          </w:p>
        </w:tc>
        <w:tc>
          <w:tcPr>
            <w:shd w:val="clear" w:fill="B8CCE4"/>
            <w:tcW w:w="5496" w:type="dxa"/>
            <w:vAlign w:val="top"/>
          </w:tcPr>
          <w:p>
            <w:pPr>
              <w:ind w:left="100" w:right="126"/>
              <w:spacing w:before="285"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信息披露不准确，董监高未勤勉尽责，其他特定重大事项</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rPr>
              <w:t>披露不规范。</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33" w:hRule="atLeast"/>
        </w:trPr>
        <w:tc>
          <w:tcPr>
            <w:tcW w:w="8055" w:type="dxa"/>
            <w:vAlign w:val="top"/>
            <w:gridSpan w:val="3"/>
            <w:tcBorders>
              <w:top w:val="single" w:color="4F81BD" w:sz="2" w:space="0"/>
            </w:tcBorders>
          </w:tcPr>
          <w:p>
            <w:pPr>
              <w:ind w:left="105" w:right="100" w:firstLine="13"/>
              <w:spacing w:before="9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中国证券监督管理委员会宁夏监管局决定对宁夏晟晏实业集团有限</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公司、有关责任人采取出具警示函的监督管理措施并计入证券期货市场诚信档案。</w:t>
            </w:r>
          </w:p>
        </w:tc>
      </w:tr>
      <w:tr>
        <w:trPr>
          <w:trHeight w:val="1086" w:hRule="atLeast"/>
        </w:trPr>
        <w:tc>
          <w:tcPr>
            <w:shd w:val="clear" w:fill="B8CCE4"/>
            <w:tcW w:w="1214" w:type="dxa"/>
            <w:vAlign w:val="top"/>
          </w:tcPr>
          <w:p>
            <w:pPr>
              <w:rPr>
                <w:rFonts w:ascii="Arial"/>
                <w:sz w:val="21"/>
              </w:rPr>
            </w:pPr>
            <w:r/>
          </w:p>
        </w:tc>
        <w:tc>
          <w:tcPr>
            <w:shd w:val="clear" w:fill="B8CCE4"/>
            <w:tcW w:w="1345" w:type="dxa"/>
            <w:vAlign w:val="top"/>
          </w:tcPr>
          <w:p>
            <w:pPr>
              <w:ind w:left="99" w:right="180"/>
              <w:spacing w:before="89" w:line="219"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贵州宏财投 </w:t>
            </w:r>
            <w:r>
              <w:rPr>
                <w:rFonts w:ascii="Microsoft YaHei" w:hAnsi="Microsoft YaHei" w:eastAsia="Microsoft YaHei" w:cs="Microsoft YaHei"/>
                <w:sz w:val="21"/>
                <w:szCs w:val="21"/>
              </w:rPr>
              <w:t>资集团有限 </w:t>
            </w:r>
            <w:r>
              <w:rPr>
                <w:rFonts w:ascii="Microsoft YaHei" w:hAnsi="Microsoft YaHei" w:eastAsia="Microsoft YaHei" w:cs="Microsoft YaHei"/>
                <w:sz w:val="21"/>
                <w:szCs w:val="21"/>
              </w:rPr>
              <w:t>责任公司</w:t>
            </w:r>
          </w:p>
        </w:tc>
        <w:tc>
          <w:tcPr>
            <w:shd w:val="clear" w:fill="B8CCE4"/>
            <w:tcW w:w="5496" w:type="dxa"/>
            <w:vAlign w:val="top"/>
          </w:tcPr>
          <w:p>
            <w:pPr>
              <w:spacing w:line="356" w:lineRule="auto"/>
              <w:rPr>
                <w:rFonts w:ascii="Arial"/>
                <w:sz w:val="21"/>
              </w:rPr>
            </w:pPr>
            <w:r/>
          </w:p>
          <w:p>
            <w:pPr>
              <w:ind w:left="11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内部控制制度存在重大缺陷。</w:t>
            </w:r>
          </w:p>
        </w:tc>
      </w:tr>
      <w:tr>
        <w:trPr>
          <w:trHeight w:val="1083" w:hRule="atLeast"/>
        </w:trPr>
        <w:tc>
          <w:tcPr>
            <w:tcW w:w="8055" w:type="dxa"/>
            <w:vAlign w:val="top"/>
            <w:gridSpan w:val="3"/>
          </w:tcPr>
          <w:p>
            <w:pPr>
              <w:ind w:left="105" w:right="98" w:firstLine="13"/>
              <w:spacing w:before="91"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中国证券监督管理委员会贵州监管局决定对贵州宏财投资集团有限</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6"/>
              </w:rPr>
              <w:t>责任公司、有关责任人采取出具警示函的行政监管措施,并记入证券期货市场诚信档</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11"/>
              </w:rPr>
              <w:t>案。</w:t>
            </w:r>
          </w:p>
        </w:tc>
      </w:tr>
      <w:tr>
        <w:trPr>
          <w:trHeight w:val="1445" w:hRule="atLeast"/>
        </w:trPr>
        <w:tc>
          <w:tcPr>
            <w:shd w:val="clear" w:fill="B8CCE4"/>
            <w:tcW w:w="1214" w:type="dxa"/>
            <w:vAlign w:val="top"/>
          </w:tcPr>
          <w:p>
            <w:pPr>
              <w:rPr>
                <w:rFonts w:ascii="Arial"/>
                <w:sz w:val="21"/>
              </w:rPr>
            </w:pPr>
            <w:r/>
          </w:p>
        </w:tc>
        <w:tc>
          <w:tcPr>
            <w:shd w:val="clear" w:fill="B8CCE4"/>
            <w:tcW w:w="1345" w:type="dxa"/>
            <w:vAlign w:val="top"/>
          </w:tcPr>
          <w:p>
            <w:pPr>
              <w:ind w:left="97" w:right="180"/>
              <w:spacing w:before="92" w:line="22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容诚会计师 </w:t>
            </w:r>
            <w:r>
              <w:rPr>
                <w:rFonts w:ascii="Microsoft YaHei" w:hAnsi="Microsoft YaHei" w:eastAsia="Microsoft YaHei" w:cs="Microsoft YaHei"/>
                <w:sz w:val="21"/>
                <w:szCs w:val="21"/>
                <w:spacing w:val="-1"/>
              </w:rPr>
              <w:t>事务所（特</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殊普通合</w:t>
            </w:r>
          </w:p>
          <w:p>
            <w:pPr>
              <w:ind w:left="98"/>
              <w:spacing w:before="66"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9"/>
              </w:rPr>
              <w:t>伙）</w:t>
            </w:r>
          </w:p>
        </w:tc>
        <w:tc>
          <w:tcPr>
            <w:shd w:val="clear" w:fill="B8CCE4"/>
            <w:tcW w:w="5496" w:type="dxa"/>
            <w:vAlign w:val="top"/>
          </w:tcPr>
          <w:p>
            <w:pPr>
              <w:spacing w:line="269" w:lineRule="auto"/>
              <w:rPr>
                <w:rFonts w:ascii="Arial"/>
                <w:sz w:val="21"/>
              </w:rPr>
            </w:pPr>
            <w:r/>
          </w:p>
          <w:p>
            <w:pPr>
              <w:spacing w:line="270" w:lineRule="auto"/>
              <w:rPr>
                <w:rFonts w:ascii="Arial"/>
                <w:sz w:val="21"/>
              </w:rPr>
            </w:pPr>
            <w:r/>
          </w:p>
          <w:p>
            <w:pPr>
              <w:ind w:left="101"/>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独立性方面存在问题。</w:t>
            </w:r>
          </w:p>
        </w:tc>
      </w:tr>
      <w:tr>
        <w:trPr>
          <w:trHeight w:val="724" w:hRule="atLeast"/>
        </w:trPr>
        <w:tc>
          <w:tcPr>
            <w:tcW w:w="8055" w:type="dxa"/>
            <w:vAlign w:val="top"/>
            <w:gridSpan w:val="3"/>
          </w:tcPr>
          <w:p>
            <w:pPr>
              <w:ind w:left="105" w:right="103" w:firstLine="13"/>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0"/>
                <w:w w:val="101"/>
              </w:rPr>
              <w:t xml:space="preserve"> </w:t>
            </w:r>
            <w:r>
              <w:rPr>
                <w:rFonts w:ascii="Microsoft YaHei" w:hAnsi="Microsoft YaHei" w:eastAsia="Microsoft YaHei" w:cs="Microsoft YaHei"/>
                <w:sz w:val="21"/>
                <w:szCs w:val="21"/>
                <w:spacing w:val="-1"/>
              </w:rPr>
              <w:t>中国证券监督管理委员会安徽监管局决定对容诚会计师事务所（特</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殊普通合伙）采取出具警示函的行政监管措施，并记入证券期货市场诚信档案。</w:t>
            </w:r>
          </w:p>
        </w:tc>
      </w:tr>
      <w:tr>
        <w:trPr>
          <w:trHeight w:val="1445" w:hRule="atLeast"/>
        </w:trPr>
        <w:tc>
          <w:tcPr>
            <w:shd w:val="clear" w:fill="B8CCE4"/>
            <w:tcW w:w="1214" w:type="dxa"/>
            <w:vAlign w:val="top"/>
          </w:tcPr>
          <w:p>
            <w:pPr>
              <w:rPr>
                <w:rFonts w:ascii="Arial"/>
                <w:sz w:val="21"/>
              </w:rPr>
            </w:pPr>
            <w:r/>
          </w:p>
        </w:tc>
        <w:tc>
          <w:tcPr>
            <w:shd w:val="clear" w:fill="B8CCE4"/>
            <w:tcW w:w="1345" w:type="dxa"/>
            <w:vAlign w:val="top"/>
          </w:tcPr>
          <w:p>
            <w:pPr>
              <w:ind w:left="99" w:right="180"/>
              <w:spacing w:before="96" w:line="223"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安徽华明会 </w:t>
            </w:r>
            <w:r>
              <w:rPr>
                <w:rFonts w:ascii="Microsoft YaHei" w:hAnsi="Microsoft YaHei" w:eastAsia="Microsoft YaHei" w:cs="Microsoft YaHei"/>
                <w:sz w:val="21"/>
                <w:szCs w:val="21"/>
              </w:rPr>
              <w:t>计师事务所 </w:t>
            </w:r>
            <w:r>
              <w:rPr>
                <w:rFonts w:ascii="Microsoft YaHei" w:hAnsi="Microsoft YaHei" w:eastAsia="Microsoft YaHei" w:cs="Microsoft YaHei"/>
                <w:sz w:val="21"/>
                <w:szCs w:val="21"/>
                <w:spacing w:val="-1"/>
              </w:rPr>
              <w:t>（普通合</w:t>
            </w:r>
          </w:p>
          <w:p>
            <w:pPr>
              <w:ind w:left="98"/>
              <w:spacing w:before="74"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9"/>
              </w:rPr>
              <w:t>伙）</w:t>
            </w:r>
          </w:p>
        </w:tc>
        <w:tc>
          <w:tcPr>
            <w:shd w:val="clear" w:fill="B8CCE4"/>
            <w:tcW w:w="5496" w:type="dxa"/>
            <w:vAlign w:val="top"/>
          </w:tcPr>
          <w:p>
            <w:pPr>
              <w:spacing w:line="270" w:lineRule="auto"/>
              <w:rPr>
                <w:rFonts w:ascii="Arial"/>
                <w:sz w:val="21"/>
              </w:rPr>
            </w:pPr>
            <w:r/>
          </w:p>
          <w:p>
            <w:pPr>
              <w:spacing w:line="271" w:lineRule="auto"/>
              <w:rPr>
                <w:rFonts w:ascii="Arial"/>
                <w:sz w:val="21"/>
              </w:rPr>
            </w:pPr>
            <w:r/>
          </w:p>
          <w:p>
            <w:pPr>
              <w:ind w:left="101"/>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独立性方面存在问题。</w:t>
            </w:r>
          </w:p>
        </w:tc>
      </w:tr>
      <w:tr>
        <w:trPr>
          <w:trHeight w:val="726" w:hRule="atLeast"/>
        </w:trPr>
        <w:tc>
          <w:tcPr>
            <w:tcW w:w="8055" w:type="dxa"/>
            <w:vAlign w:val="top"/>
            <w:gridSpan w:val="3"/>
          </w:tcPr>
          <w:p>
            <w:pPr>
              <w:ind w:left="134" w:right="100" w:hanging="16"/>
              <w:spacing w:before="94"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中国证券监督管理委员会安徽监管局决定对安徽华明会计师事务所</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（普通合伙）采取出具警示函的行政监管措施，并</w:t>
            </w:r>
            <w:r>
              <w:rPr>
                <w:rFonts w:ascii="Microsoft YaHei" w:hAnsi="Microsoft YaHei" w:eastAsia="Microsoft YaHei" w:cs="Microsoft YaHei"/>
                <w:sz w:val="21"/>
                <w:szCs w:val="21"/>
                <w:spacing w:val="-2"/>
              </w:rPr>
              <w:t>记入证券期货市场诚信档案。</w:t>
            </w:r>
          </w:p>
        </w:tc>
      </w:tr>
      <w:tr>
        <w:trPr>
          <w:trHeight w:val="1083" w:hRule="atLeast"/>
        </w:trPr>
        <w:tc>
          <w:tcPr>
            <w:shd w:val="clear" w:fill="B8CCE4"/>
            <w:tcW w:w="1214" w:type="dxa"/>
            <w:vAlign w:val="top"/>
          </w:tcPr>
          <w:p>
            <w:pPr>
              <w:spacing w:line="370" w:lineRule="auto"/>
              <w:rPr>
                <w:rFonts w:ascii="Arial"/>
                <w:sz w:val="21"/>
              </w:rPr>
            </w:pPr>
            <w:r/>
          </w:p>
          <w:p>
            <w:pPr>
              <w:ind w:left="12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1063734</w:t>
            </w:r>
          </w:p>
        </w:tc>
        <w:tc>
          <w:tcPr>
            <w:shd w:val="clear" w:fill="B8CCE4"/>
            <w:tcW w:w="1345" w:type="dxa"/>
            <w:vAlign w:val="top"/>
          </w:tcPr>
          <w:p>
            <w:pPr>
              <w:ind w:left="97" w:right="180" w:firstLine="4"/>
              <w:spacing w:before="95"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青岛乐融基</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金管理有限 </w:t>
            </w:r>
            <w:r>
              <w:rPr>
                <w:rFonts w:ascii="Microsoft YaHei" w:hAnsi="Microsoft YaHei" w:eastAsia="Microsoft YaHei" w:cs="Microsoft YaHei"/>
                <w:sz w:val="21"/>
                <w:szCs w:val="21"/>
              </w:rPr>
              <w:t>公司</w:t>
            </w:r>
          </w:p>
        </w:tc>
        <w:tc>
          <w:tcPr>
            <w:shd w:val="clear" w:fill="B8CCE4"/>
            <w:tcW w:w="5496" w:type="dxa"/>
            <w:vAlign w:val="top"/>
          </w:tcPr>
          <w:p>
            <w:pPr>
              <w:ind w:left="100" w:right="101"/>
              <w:spacing w:before="275"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未建立投资者适当性制度或制度未落实到位，未按要求保</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3"/>
              </w:rPr>
              <w:t>存资料、合同， 基金管理人及从业人员管理不规范</w:t>
            </w:r>
          </w:p>
        </w:tc>
      </w:tr>
      <w:tr>
        <w:trPr>
          <w:trHeight w:val="726" w:hRule="atLeast"/>
        </w:trPr>
        <w:tc>
          <w:tcPr>
            <w:tcW w:w="8055" w:type="dxa"/>
            <w:vAlign w:val="top"/>
            <w:gridSpan w:val="3"/>
          </w:tcPr>
          <w:p>
            <w:pPr>
              <w:ind w:left="105" w:right="100" w:firstLine="13"/>
              <w:spacing w:before="100"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中国证券监督管理委员会青岛监管局现对青岛乐融、范某成采取出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具警示函的监管措施。</w:t>
            </w:r>
          </w:p>
        </w:tc>
      </w:tr>
      <w:tr>
        <w:trPr>
          <w:trHeight w:val="1083" w:hRule="atLeast"/>
        </w:trPr>
        <w:tc>
          <w:tcPr>
            <w:shd w:val="clear" w:fill="B8CCE4"/>
            <w:tcW w:w="1214" w:type="dxa"/>
            <w:vAlign w:val="top"/>
          </w:tcPr>
          <w:p>
            <w:pPr>
              <w:rPr>
                <w:rFonts w:ascii="Arial"/>
                <w:sz w:val="21"/>
              </w:rPr>
            </w:pPr>
            <w:r/>
          </w:p>
        </w:tc>
        <w:tc>
          <w:tcPr>
            <w:shd w:val="clear" w:fill="B8CCE4"/>
            <w:tcW w:w="1345" w:type="dxa"/>
            <w:vAlign w:val="top"/>
          </w:tcPr>
          <w:p>
            <w:pPr>
              <w:ind w:left="108" w:right="180" w:hanging="11"/>
              <w:spacing w:before="277"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金石期货有 </w:t>
            </w:r>
            <w:r>
              <w:rPr>
                <w:rFonts w:ascii="Microsoft YaHei" w:hAnsi="Microsoft YaHei" w:eastAsia="Microsoft YaHei" w:cs="Microsoft YaHei"/>
                <w:sz w:val="21"/>
                <w:szCs w:val="21"/>
                <w:spacing w:val="-3"/>
              </w:rPr>
              <w:t>限公司</w:t>
            </w:r>
          </w:p>
        </w:tc>
        <w:tc>
          <w:tcPr>
            <w:shd w:val="clear" w:fill="B8CCE4"/>
            <w:tcW w:w="5496" w:type="dxa"/>
            <w:vAlign w:val="top"/>
          </w:tcPr>
          <w:p>
            <w:pPr>
              <w:ind w:left="100" w:right="97"/>
              <w:spacing w:before="95"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湖州弘发股权投资合伙企业（有限合伙）</w:t>
            </w:r>
            <w:r>
              <w:rPr>
                <w:rFonts w:ascii="Microsoft YaHei" w:hAnsi="Microsoft YaHei" w:eastAsia="Microsoft YaHei" w:cs="Microsoft YaHei"/>
                <w:sz w:val="21"/>
                <w:szCs w:val="21"/>
                <w:spacing w:val="38"/>
              </w:rPr>
              <w:t xml:space="preserve"> </w:t>
            </w:r>
            <w:r>
              <w:rPr>
                <w:rFonts w:ascii="Microsoft YaHei" w:hAnsi="Microsoft YaHei" w:eastAsia="Microsoft YaHei" w:cs="Microsoft YaHei"/>
                <w:sz w:val="21"/>
                <w:szCs w:val="21"/>
                <w:spacing w:val="-2"/>
              </w:rPr>
              <w:t>在2022年6月金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9"/>
              </w:rPr>
              <w:t>石期货有限公司股权转让过程中，存在使用负债资金</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spacing w:val="-2"/>
              </w:rPr>
              <w:t>1782万元投资入股的违规情形。</w:t>
            </w:r>
          </w:p>
        </w:tc>
      </w:tr>
      <w:tr>
        <w:trPr>
          <w:trHeight w:val="726" w:hRule="atLeast"/>
        </w:trPr>
        <w:tc>
          <w:tcPr>
            <w:tcW w:w="8055" w:type="dxa"/>
            <w:vAlign w:val="top"/>
            <w:gridSpan w:val="3"/>
          </w:tcPr>
          <w:p>
            <w:pPr>
              <w:ind w:left="103" w:right="100" w:firstLine="15"/>
              <w:spacing w:before="100"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中国证券监督管理委员会新疆监管局决定对湖州弘发股权投资合伙</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企业（有限合伙）采取责令改正的监督管理措施， 并记入证</w:t>
            </w:r>
            <w:r>
              <w:rPr>
                <w:rFonts w:ascii="Microsoft YaHei" w:hAnsi="Microsoft YaHei" w:eastAsia="Microsoft YaHei" w:cs="Microsoft YaHei"/>
                <w:sz w:val="21"/>
                <w:szCs w:val="21"/>
                <w:spacing w:val="-3"/>
              </w:rPr>
              <w:t>券期货市场诚信档案。</w:t>
            </w:r>
          </w:p>
        </w:tc>
      </w:tr>
      <w:tr>
        <w:trPr>
          <w:trHeight w:val="1086" w:hRule="atLeast"/>
        </w:trPr>
        <w:tc>
          <w:tcPr>
            <w:shd w:val="clear" w:fill="B8CCE4"/>
            <w:tcW w:w="1214" w:type="dxa"/>
            <w:vAlign w:val="top"/>
          </w:tcPr>
          <w:p>
            <w:pPr>
              <w:rPr>
                <w:rFonts w:ascii="Arial"/>
                <w:sz w:val="21"/>
              </w:rPr>
            </w:pPr>
            <w:r/>
          </w:p>
        </w:tc>
        <w:tc>
          <w:tcPr>
            <w:shd w:val="clear" w:fill="B8CCE4"/>
            <w:tcW w:w="1345" w:type="dxa"/>
            <w:vAlign w:val="top"/>
          </w:tcPr>
          <w:p>
            <w:pPr>
              <w:ind w:left="108" w:right="180" w:hanging="11"/>
              <w:spacing w:before="279"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金石期货有 </w:t>
            </w:r>
            <w:r>
              <w:rPr>
                <w:rFonts w:ascii="Microsoft YaHei" w:hAnsi="Microsoft YaHei" w:eastAsia="Microsoft YaHei" w:cs="Microsoft YaHei"/>
                <w:sz w:val="21"/>
                <w:szCs w:val="21"/>
                <w:spacing w:val="-3"/>
              </w:rPr>
              <w:t>限公司</w:t>
            </w:r>
          </w:p>
        </w:tc>
        <w:tc>
          <w:tcPr>
            <w:shd w:val="clear" w:fill="B8CCE4"/>
            <w:tcW w:w="5496" w:type="dxa"/>
            <w:vAlign w:val="top"/>
          </w:tcPr>
          <w:p>
            <w:pPr>
              <w:ind w:left="100" w:right="140"/>
              <w:spacing w:before="98"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江苏予菊企业管理咨询有限公司在2022年6月金石期货有</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2"/>
              </w:rPr>
              <w:t>限公司股权转让过程中， 存在使用负债资</w:t>
            </w:r>
            <w:r>
              <w:rPr>
                <w:rFonts w:ascii="Microsoft YaHei" w:hAnsi="Microsoft YaHei" w:eastAsia="Microsoft YaHei" w:cs="Microsoft YaHei"/>
                <w:sz w:val="21"/>
                <w:szCs w:val="21"/>
                <w:spacing w:val="-3"/>
              </w:rPr>
              <w:t>金1764万元投</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资入股的违规情形。</w:t>
            </w:r>
          </w:p>
        </w:tc>
      </w:tr>
      <w:tr>
        <w:trPr>
          <w:trHeight w:val="724" w:hRule="atLeast"/>
        </w:trPr>
        <w:tc>
          <w:tcPr>
            <w:tcW w:w="8055" w:type="dxa"/>
            <w:vAlign w:val="top"/>
            <w:gridSpan w:val="3"/>
          </w:tcPr>
          <w:p>
            <w:pPr>
              <w:ind w:left="104" w:right="100" w:firstLine="14"/>
              <w:spacing w:before="101"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中国证券监督管理委员会新疆监管局决定对江苏予菊企业管理咨询</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有限公司采取责令改正的监督管理措施， 并记入证券期货市场诚信档案。</w:t>
            </w:r>
          </w:p>
        </w:tc>
      </w:tr>
      <w:tr>
        <w:trPr>
          <w:trHeight w:val="1086" w:hRule="atLeast"/>
        </w:trPr>
        <w:tc>
          <w:tcPr>
            <w:shd w:val="clear" w:fill="B8CCE4"/>
            <w:tcW w:w="1214" w:type="dxa"/>
            <w:vAlign w:val="top"/>
          </w:tcPr>
          <w:p>
            <w:pPr>
              <w:rPr>
                <w:rFonts w:ascii="Arial"/>
                <w:sz w:val="21"/>
              </w:rPr>
            </w:pPr>
            <w:r/>
          </w:p>
        </w:tc>
        <w:tc>
          <w:tcPr>
            <w:shd w:val="clear" w:fill="B8CCE4"/>
            <w:tcW w:w="1345" w:type="dxa"/>
            <w:vAlign w:val="top"/>
          </w:tcPr>
          <w:p>
            <w:pPr>
              <w:ind w:left="108" w:right="180" w:hanging="10"/>
              <w:spacing w:before="280"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永商期货有 </w:t>
            </w:r>
            <w:r>
              <w:rPr>
                <w:rFonts w:ascii="Microsoft YaHei" w:hAnsi="Microsoft YaHei" w:eastAsia="Microsoft YaHei" w:cs="Microsoft YaHei"/>
                <w:sz w:val="21"/>
                <w:szCs w:val="21"/>
                <w:spacing w:val="-3"/>
              </w:rPr>
              <w:t>限公司</w:t>
            </w:r>
          </w:p>
        </w:tc>
        <w:tc>
          <w:tcPr>
            <w:shd w:val="clear" w:fill="B8CCE4"/>
            <w:tcW w:w="5496" w:type="dxa"/>
            <w:vAlign w:val="top"/>
          </w:tcPr>
          <w:p>
            <w:pPr>
              <w:ind w:left="100" w:right="126"/>
              <w:spacing w:before="98"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一是廉洁从业管理不到位，2022年大庆营业部负责人离   </w:t>
            </w:r>
            <w:r>
              <w:rPr>
                <w:rFonts w:ascii="Microsoft YaHei" w:hAnsi="Microsoft YaHei" w:eastAsia="Microsoft YaHei" w:cs="Microsoft YaHei"/>
                <w:sz w:val="21"/>
                <w:szCs w:val="21"/>
              </w:rPr>
              <w:t>职时公司未对其廉洁从业情况予以考察评估。二是网络和</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rPr>
              <w:t>信息安全防护体系不完善。</w:t>
            </w:r>
          </w:p>
        </w:tc>
      </w:tr>
      <w:tr>
        <w:trPr>
          <w:trHeight w:val="723" w:hRule="atLeast"/>
        </w:trPr>
        <w:tc>
          <w:tcPr>
            <w:tcW w:w="8055" w:type="dxa"/>
            <w:vAlign w:val="top"/>
            <w:gridSpan w:val="3"/>
          </w:tcPr>
          <w:p>
            <w:pPr>
              <w:ind w:left="105" w:right="100" w:firstLine="13"/>
              <w:spacing w:before="100"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中国证券监督管理委员会黑龙江监管局决定对永商期货有限公司采</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取责令改正的行政监管措施。</w:t>
            </w:r>
          </w:p>
        </w:tc>
      </w:tr>
      <w:tr>
        <w:trPr>
          <w:trHeight w:val="1096" w:hRule="atLeast"/>
        </w:trPr>
        <w:tc>
          <w:tcPr>
            <w:shd w:val="clear" w:fill="B8CCE4"/>
            <w:tcW w:w="1214" w:type="dxa"/>
            <w:vAlign w:val="top"/>
          </w:tcPr>
          <w:p>
            <w:pPr>
              <w:rPr>
                <w:rFonts w:ascii="Arial"/>
                <w:sz w:val="21"/>
              </w:rPr>
            </w:pPr>
            <w:r/>
          </w:p>
        </w:tc>
        <w:tc>
          <w:tcPr>
            <w:shd w:val="clear" w:fill="B8CCE4"/>
            <w:tcW w:w="1345" w:type="dxa"/>
            <w:vAlign w:val="top"/>
          </w:tcPr>
          <w:p>
            <w:pPr>
              <w:ind w:left="100" w:right="180" w:hanging="2"/>
              <w:spacing w:before="285"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大通期货经 </w:t>
            </w:r>
            <w:r>
              <w:rPr>
                <w:rFonts w:ascii="Microsoft YaHei" w:hAnsi="Microsoft YaHei" w:eastAsia="Microsoft YaHei" w:cs="Microsoft YaHei"/>
                <w:sz w:val="21"/>
                <w:szCs w:val="21"/>
                <w:spacing w:val="-1"/>
              </w:rPr>
              <w:t>纪有限公司</w:t>
            </w:r>
          </w:p>
        </w:tc>
        <w:tc>
          <w:tcPr>
            <w:shd w:val="clear" w:fill="B8CCE4"/>
            <w:tcW w:w="5496" w:type="dxa"/>
            <w:vAlign w:val="top"/>
          </w:tcPr>
          <w:p>
            <w:pPr>
              <w:ind w:left="100" w:right="126"/>
              <w:spacing w:before="104"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一是未建立关联交易管理制度。二是公司未配备专职信息</w:t>
            </w:r>
            <w:r>
              <w:rPr>
                <w:rFonts w:ascii="Microsoft YaHei" w:hAnsi="Microsoft YaHei" w:eastAsia="Microsoft YaHei" w:cs="Microsoft YaHei"/>
                <w:sz w:val="21"/>
                <w:szCs w:val="21"/>
                <w:spacing w:val="2"/>
              </w:rPr>
              <w:t xml:space="preserve"> </w:t>
            </w:r>
            <w:r>
              <w:rPr>
                <w:rFonts w:ascii="Microsoft YaHei" w:hAnsi="Microsoft YaHei" w:eastAsia="Microsoft YaHei" w:cs="Microsoft YaHei"/>
                <w:sz w:val="21"/>
                <w:szCs w:val="21"/>
                <w:spacing w:val="-3"/>
              </w:rPr>
              <w:t>技术审计人员，</w:t>
            </w:r>
            <w:r>
              <w:rPr>
                <w:rFonts w:ascii="Microsoft YaHei" w:hAnsi="Microsoft YaHei" w:eastAsia="Microsoft YaHei" w:cs="Microsoft YaHei"/>
                <w:sz w:val="21"/>
                <w:szCs w:val="21"/>
                <w:spacing w:val="21"/>
                <w:w w:val="101"/>
              </w:rPr>
              <w:t xml:space="preserve"> </w:t>
            </w:r>
            <w:r>
              <w:rPr>
                <w:rFonts w:ascii="Microsoft YaHei" w:hAnsi="Microsoft YaHei" w:eastAsia="Microsoft YaHei" w:cs="Microsoft YaHei"/>
                <w:sz w:val="21"/>
                <w:szCs w:val="21"/>
                <w:spacing w:val="-3"/>
              </w:rPr>
              <w:t>2022年以来未开展专项IT审计。三</w:t>
            </w:r>
            <w:r>
              <w:rPr>
                <w:rFonts w:ascii="Microsoft YaHei" w:hAnsi="Microsoft YaHei" w:eastAsia="Microsoft YaHei" w:cs="Microsoft YaHei"/>
                <w:sz w:val="21"/>
                <w:szCs w:val="21"/>
                <w:spacing w:val="-4"/>
              </w:rPr>
              <w:t>是重</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要信息系统上线验收前无安全测试相关报告，</w:t>
            </w:r>
            <w:r>
              <w:rPr>
                <w:rFonts w:ascii="Microsoft YaHei" w:hAnsi="Microsoft YaHei" w:eastAsia="Microsoft YaHei" w:cs="Microsoft YaHei"/>
                <w:sz w:val="21"/>
                <w:szCs w:val="21"/>
                <w:spacing w:val="22"/>
              </w:rPr>
              <w:t xml:space="preserve"> </w:t>
            </w:r>
            <w:r>
              <w:rPr>
                <w:rFonts w:ascii="Microsoft YaHei" w:hAnsi="Microsoft YaHei" w:eastAsia="Microsoft YaHei" w:cs="Microsoft YaHei"/>
                <w:sz w:val="21"/>
                <w:szCs w:val="21"/>
                <w:spacing w:val="-3"/>
              </w:rPr>
              <w:t>2</w:t>
            </w:r>
            <w:r>
              <w:rPr>
                <w:rFonts w:ascii="Microsoft YaHei" w:hAnsi="Microsoft YaHei" w:eastAsia="Microsoft YaHei" w:cs="Microsoft YaHei"/>
                <w:sz w:val="21"/>
                <w:szCs w:val="21"/>
                <w:spacing w:val="-4"/>
              </w:rPr>
              <w:t>022年以</w:t>
            </w:r>
          </w:p>
        </w:tc>
      </w:tr>
    </w:tbl>
    <w:p>
      <w:pPr>
        <w:pStyle w:val="BodyText"/>
        <w:rPr/>
      </w:pPr>
      <w:r/>
    </w:p>
    <w:p>
      <w:pPr>
        <w:sectPr>
          <w:pgSz w:w="11912" w:h="16841"/>
          <w:pgMar w:top="400" w:right="1786" w:bottom="0" w:left="1786"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733" w:hRule="atLeast"/>
        </w:trPr>
        <w:tc>
          <w:tcPr>
            <w:shd w:val="clear" w:fill="B8CCE4"/>
            <w:tcW w:w="1214" w:type="dxa"/>
            <w:vAlign w:val="top"/>
            <w:tcBorders>
              <w:top w:val="single" w:color="4F81BD" w:sz="2" w:space="0"/>
            </w:tcBorders>
          </w:tcPr>
          <w:p>
            <w:pPr>
              <w:rPr>
                <w:rFonts w:ascii="Arial"/>
                <w:sz w:val="21"/>
              </w:rPr>
            </w:pPr>
            <w:r/>
          </w:p>
        </w:tc>
        <w:tc>
          <w:tcPr>
            <w:shd w:val="clear" w:fill="B8CCE4"/>
            <w:tcW w:w="1345" w:type="dxa"/>
            <w:vAlign w:val="top"/>
            <w:tcBorders>
              <w:top w:val="single" w:color="4F81BD" w:sz="2" w:space="0"/>
            </w:tcBorders>
          </w:tcPr>
          <w:p>
            <w:pPr>
              <w:rPr>
                <w:rFonts w:ascii="Arial"/>
                <w:sz w:val="21"/>
              </w:rPr>
            </w:pPr>
            <w:r/>
          </w:p>
        </w:tc>
        <w:tc>
          <w:tcPr>
            <w:shd w:val="clear" w:fill="B8CCE4"/>
            <w:tcW w:w="5496" w:type="dxa"/>
            <w:vAlign w:val="top"/>
            <w:tcBorders>
              <w:top w:val="single" w:color="4F81BD" w:sz="2" w:space="0"/>
            </w:tcBorders>
          </w:tcPr>
          <w:p>
            <w:pPr>
              <w:ind w:left="100" w:right="126"/>
              <w:spacing w:before="98"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来未开展重要信息系统压力测试。四是网络和信息安全防</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3"/>
              </w:rPr>
              <w:t>护体系不完善。</w:t>
            </w:r>
          </w:p>
        </w:tc>
      </w:tr>
      <w:tr>
        <w:trPr>
          <w:trHeight w:val="726" w:hRule="atLeast"/>
        </w:trPr>
        <w:tc>
          <w:tcPr>
            <w:tcW w:w="8055" w:type="dxa"/>
            <w:vAlign w:val="top"/>
            <w:gridSpan w:val="3"/>
          </w:tcPr>
          <w:p>
            <w:pPr>
              <w:ind w:left="108" w:right="100" w:firstLine="10"/>
              <w:spacing w:before="88" w:line="20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中国证券监督管理委员会黑龙江监管局决定对大通期货经纪有限公</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司采取责令改正的行政监管措施。</w:t>
            </w:r>
          </w:p>
        </w:tc>
      </w:tr>
      <w:tr>
        <w:trPr>
          <w:trHeight w:val="1083" w:hRule="atLeast"/>
        </w:trPr>
        <w:tc>
          <w:tcPr>
            <w:shd w:val="clear" w:fill="B8CCE4"/>
            <w:tcW w:w="1214" w:type="dxa"/>
            <w:vAlign w:val="top"/>
          </w:tcPr>
          <w:p>
            <w:pPr>
              <w:spacing w:line="365" w:lineRule="auto"/>
              <w:rPr>
                <w:rFonts w:ascii="Arial"/>
                <w:sz w:val="21"/>
              </w:rPr>
            </w:pPr>
            <w:r/>
          </w:p>
          <w:p>
            <w:pPr>
              <w:ind w:left="12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1000803</w:t>
            </w:r>
          </w:p>
        </w:tc>
        <w:tc>
          <w:tcPr>
            <w:shd w:val="clear" w:fill="B8CCE4"/>
            <w:tcW w:w="1345" w:type="dxa"/>
            <w:vAlign w:val="top"/>
          </w:tcPr>
          <w:p>
            <w:pPr>
              <w:ind w:left="97" w:right="180" w:firstLine="3"/>
              <w:spacing w:before="91"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西藏昆吾九</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鼎投资管理 </w:t>
            </w:r>
            <w:r>
              <w:rPr>
                <w:rFonts w:ascii="Microsoft YaHei" w:hAnsi="Microsoft YaHei" w:eastAsia="Microsoft YaHei" w:cs="Microsoft YaHei"/>
                <w:sz w:val="21"/>
                <w:szCs w:val="21"/>
              </w:rPr>
              <w:t>有限公司</w:t>
            </w:r>
          </w:p>
        </w:tc>
        <w:tc>
          <w:tcPr>
            <w:shd w:val="clear" w:fill="B8CCE4"/>
            <w:tcW w:w="5496" w:type="dxa"/>
            <w:vAlign w:val="top"/>
          </w:tcPr>
          <w:p>
            <w:pPr>
              <w:ind w:left="115" w:right="168" w:hanging="15"/>
              <w:spacing w:before="270"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未按合同约定进行信息披露，未对投资者进行风险评估，</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2"/>
              </w:rPr>
              <w:t>向非合格投资者募集资金。</w:t>
            </w:r>
          </w:p>
        </w:tc>
      </w:tr>
      <w:tr>
        <w:trPr>
          <w:trHeight w:val="726" w:hRule="atLeast"/>
        </w:trPr>
        <w:tc>
          <w:tcPr>
            <w:tcW w:w="8055" w:type="dxa"/>
            <w:vAlign w:val="top"/>
            <w:gridSpan w:val="3"/>
          </w:tcPr>
          <w:p>
            <w:pPr>
              <w:ind w:left="104" w:right="100" w:firstLine="14"/>
              <w:spacing w:before="91"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中国证券监督管理委员会西藏监管局决定对西藏昆吾九鼎投资管理</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有限公司采取责令改正的监督管理措施， 并记入资</w:t>
            </w:r>
            <w:r>
              <w:rPr>
                <w:rFonts w:ascii="Microsoft YaHei" w:hAnsi="Microsoft YaHei" w:eastAsia="Microsoft YaHei" w:cs="Microsoft YaHei"/>
                <w:sz w:val="21"/>
                <w:szCs w:val="21"/>
                <w:spacing w:val="-3"/>
              </w:rPr>
              <w:t>本市场诚信档案数据库。</w:t>
            </w:r>
          </w:p>
        </w:tc>
      </w:tr>
      <w:tr>
        <w:trPr>
          <w:trHeight w:val="723" w:hRule="atLeast"/>
        </w:trPr>
        <w:tc>
          <w:tcPr>
            <w:shd w:val="clear" w:fill="B8CCE4"/>
            <w:tcW w:w="1214" w:type="dxa"/>
            <w:vAlign w:val="top"/>
          </w:tcPr>
          <w:p>
            <w:pPr>
              <w:ind w:left="112"/>
              <w:spacing w:before="28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833786</w:t>
            </w:r>
          </w:p>
        </w:tc>
        <w:tc>
          <w:tcPr>
            <w:shd w:val="clear" w:fill="B8CCE4"/>
            <w:tcW w:w="1345" w:type="dxa"/>
            <w:vAlign w:val="top"/>
          </w:tcPr>
          <w:p>
            <w:pPr>
              <w:ind w:left="99"/>
              <w:spacing w:before="27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超纯环保</w:t>
            </w:r>
          </w:p>
        </w:tc>
        <w:tc>
          <w:tcPr>
            <w:shd w:val="clear" w:fill="B8CCE4"/>
            <w:tcW w:w="5496" w:type="dxa"/>
            <w:vAlign w:val="top"/>
          </w:tcPr>
          <w:p>
            <w:pPr>
              <w:ind w:left="100" w:right="126"/>
              <w:spacing w:before="91"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信息披露不准确，三会运作流程不规范，</w:t>
            </w:r>
            <w:r>
              <w:rPr>
                <w:rFonts w:ascii="Microsoft YaHei" w:hAnsi="Microsoft YaHei" w:eastAsia="Microsoft YaHei" w:cs="Microsoft YaHei"/>
                <w:sz w:val="21"/>
                <w:szCs w:val="21"/>
                <w:spacing w:val="40"/>
                <w:w w:val="101"/>
              </w:rPr>
              <w:t xml:space="preserve"> </w:t>
            </w:r>
            <w:r>
              <w:rPr>
                <w:rFonts w:ascii="Microsoft YaHei" w:hAnsi="Microsoft YaHei" w:eastAsia="Microsoft YaHei" w:cs="Microsoft YaHei"/>
                <w:sz w:val="21"/>
                <w:szCs w:val="21"/>
                <w:spacing w:val="-4"/>
              </w:rPr>
              <w:t>内幕信息知情人</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管理、报批不规范。</w:t>
            </w:r>
          </w:p>
        </w:tc>
      </w:tr>
      <w:tr>
        <w:trPr>
          <w:trHeight w:val="726" w:hRule="atLeast"/>
        </w:trPr>
        <w:tc>
          <w:tcPr>
            <w:tcW w:w="8055" w:type="dxa"/>
            <w:vAlign w:val="top"/>
            <w:gridSpan w:val="3"/>
          </w:tcPr>
          <w:p>
            <w:pPr>
              <w:ind w:left="115" w:right="100" w:firstLine="2"/>
              <w:spacing w:before="94"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中国证券监督管理委员会深圳监管局决定对深圳市超纯环保股份有</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限公司采取责令改正的行政监管措施。</w:t>
            </w:r>
          </w:p>
        </w:tc>
      </w:tr>
      <w:tr>
        <w:trPr>
          <w:trHeight w:val="1084" w:hRule="atLeast"/>
        </w:trPr>
        <w:tc>
          <w:tcPr>
            <w:shd w:val="clear" w:fill="B8CCE4"/>
            <w:tcW w:w="1214" w:type="dxa"/>
            <w:vAlign w:val="top"/>
          </w:tcPr>
          <w:p>
            <w:pPr>
              <w:spacing w:line="369" w:lineRule="auto"/>
              <w:rPr>
                <w:rFonts w:ascii="Arial"/>
                <w:sz w:val="21"/>
              </w:rPr>
            </w:pPr>
            <w:r/>
          </w:p>
          <w:p>
            <w:pPr>
              <w:ind w:left="12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1027921</w:t>
            </w:r>
          </w:p>
        </w:tc>
        <w:tc>
          <w:tcPr>
            <w:shd w:val="clear" w:fill="B8CCE4"/>
            <w:tcW w:w="1345" w:type="dxa"/>
            <w:vAlign w:val="top"/>
          </w:tcPr>
          <w:p>
            <w:pPr>
              <w:ind w:left="99" w:right="180" w:hanging="1"/>
              <w:spacing w:before="92"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合肥东山泉 </w:t>
            </w:r>
            <w:r>
              <w:rPr>
                <w:rFonts w:ascii="Microsoft YaHei" w:hAnsi="Microsoft YaHei" w:eastAsia="Microsoft YaHei" w:cs="Microsoft YaHei"/>
                <w:sz w:val="21"/>
                <w:szCs w:val="21"/>
                <w:spacing w:val="-1"/>
              </w:rPr>
              <w:t>资产管理有</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
              </w:rPr>
              <w:t>限公司</w:t>
            </w:r>
          </w:p>
        </w:tc>
        <w:tc>
          <w:tcPr>
            <w:shd w:val="clear" w:fill="B8CCE4"/>
            <w:tcW w:w="5496" w:type="dxa"/>
            <w:vAlign w:val="top"/>
          </w:tcPr>
          <w:p>
            <w:pPr>
              <w:ind w:left="100" w:right="126"/>
              <w:spacing w:before="273"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未建立投资者适当性制度或制度未落实到位， 未建立防范</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rPr>
              <w:t>利益输送和利益冲突机制，未按规定报告重大事项。</w:t>
            </w:r>
          </w:p>
        </w:tc>
      </w:tr>
      <w:tr>
        <w:trPr>
          <w:trHeight w:val="726" w:hRule="atLeast"/>
        </w:trPr>
        <w:tc>
          <w:tcPr>
            <w:tcW w:w="8055" w:type="dxa"/>
            <w:vAlign w:val="top"/>
            <w:gridSpan w:val="3"/>
          </w:tcPr>
          <w:p>
            <w:pPr>
              <w:ind w:left="115" w:right="100" w:firstLine="2"/>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中国证券监督管理委员会安徽监管局决定对合肥东山泉资产管理有</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限公司采取责令改正的行政监管措施，并记入证券期货市场诚信档案。</w:t>
            </w:r>
          </w:p>
        </w:tc>
      </w:tr>
      <w:tr>
        <w:trPr>
          <w:trHeight w:val="1445" w:hRule="atLeast"/>
        </w:trPr>
        <w:tc>
          <w:tcPr>
            <w:shd w:val="clear" w:fill="B8CCE4"/>
            <w:tcW w:w="1214" w:type="dxa"/>
            <w:vAlign w:val="top"/>
          </w:tcPr>
          <w:p>
            <w:pPr>
              <w:spacing w:line="274" w:lineRule="auto"/>
              <w:rPr>
                <w:rFonts w:ascii="Arial"/>
                <w:sz w:val="21"/>
              </w:rPr>
            </w:pPr>
            <w:r/>
          </w:p>
          <w:p>
            <w:pPr>
              <w:spacing w:line="275" w:lineRule="auto"/>
              <w:rPr>
                <w:rFonts w:ascii="Arial"/>
                <w:sz w:val="21"/>
              </w:rPr>
            </w:pPr>
            <w:r/>
          </w:p>
          <w:p>
            <w:pPr>
              <w:ind w:left="12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1001946</w:t>
            </w:r>
          </w:p>
        </w:tc>
        <w:tc>
          <w:tcPr>
            <w:shd w:val="clear" w:fill="B8CCE4"/>
            <w:tcW w:w="1345" w:type="dxa"/>
            <w:vAlign w:val="top"/>
          </w:tcPr>
          <w:p>
            <w:pPr>
              <w:ind w:left="96" w:right="180" w:firstLine="2"/>
              <w:spacing w:before="95" w:line="223"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安徽纪元时 </w:t>
            </w:r>
            <w:r>
              <w:rPr>
                <w:rFonts w:ascii="Microsoft YaHei" w:hAnsi="Microsoft YaHei" w:eastAsia="Microsoft YaHei" w:cs="Microsoft YaHei"/>
                <w:sz w:val="21"/>
                <w:szCs w:val="21"/>
              </w:rPr>
              <w:t>代创业投资</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管理有限公</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rPr>
              <w:t>司</w:t>
            </w:r>
          </w:p>
        </w:tc>
        <w:tc>
          <w:tcPr>
            <w:shd w:val="clear" w:fill="B8CCE4"/>
            <w:tcW w:w="5496" w:type="dxa"/>
            <w:vAlign w:val="top"/>
          </w:tcPr>
          <w:p>
            <w:pPr>
              <w:spacing w:line="270" w:lineRule="auto"/>
              <w:rPr>
                <w:rFonts w:ascii="Arial"/>
                <w:sz w:val="21"/>
              </w:rPr>
            </w:pPr>
            <w:r/>
          </w:p>
          <w:p>
            <w:pPr>
              <w:spacing w:line="270" w:lineRule="auto"/>
              <w:rPr>
                <w:rFonts w:ascii="Arial"/>
                <w:sz w:val="21"/>
              </w:rPr>
            </w:pPr>
            <w:r/>
          </w:p>
          <w:p>
            <w:pPr>
              <w:ind w:left="100"/>
              <w:spacing w:before="90"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未及时更新备案信息或重大事项变更。</w:t>
            </w:r>
          </w:p>
        </w:tc>
      </w:tr>
      <w:tr>
        <w:trPr>
          <w:trHeight w:val="724" w:hRule="atLeast"/>
        </w:trPr>
        <w:tc>
          <w:tcPr>
            <w:tcW w:w="8055" w:type="dxa"/>
            <w:vAlign w:val="top"/>
            <w:gridSpan w:val="3"/>
          </w:tcPr>
          <w:p>
            <w:pPr>
              <w:ind w:left="105" w:right="100" w:firstLine="12"/>
              <w:spacing w:before="95"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中国证券监督管理委员会安徽监管局决定对安徽纪元时代创业投资</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管理有限公司采取责令改正的行政监管措施， 并记入证券期货市场诚信档案。</w:t>
            </w:r>
          </w:p>
        </w:tc>
      </w:tr>
      <w:tr>
        <w:trPr>
          <w:trHeight w:val="1086" w:hRule="atLeast"/>
        </w:trPr>
        <w:tc>
          <w:tcPr>
            <w:shd w:val="clear" w:fill="B8CCE4"/>
            <w:tcW w:w="1214" w:type="dxa"/>
            <w:vAlign w:val="top"/>
          </w:tcPr>
          <w:p>
            <w:pPr>
              <w:rPr>
                <w:rFonts w:ascii="Arial"/>
                <w:sz w:val="21"/>
              </w:rPr>
            </w:pPr>
            <w:r/>
          </w:p>
        </w:tc>
        <w:tc>
          <w:tcPr>
            <w:shd w:val="clear" w:fill="B8CCE4"/>
            <w:tcW w:w="1345" w:type="dxa"/>
            <w:vAlign w:val="top"/>
          </w:tcPr>
          <w:p>
            <w:pPr>
              <w:ind w:left="98" w:right="180" w:firstLine="1"/>
              <w:spacing w:before="98"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华融融达期</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rPr>
              <w:t>货股份有限 </w:t>
            </w:r>
            <w:r>
              <w:rPr>
                <w:rFonts w:ascii="Microsoft YaHei" w:hAnsi="Microsoft YaHei" w:eastAsia="Microsoft YaHei" w:cs="Microsoft YaHei"/>
                <w:sz w:val="21"/>
                <w:szCs w:val="21"/>
                <w:spacing w:val="-1"/>
              </w:rPr>
              <w:t>公司</w:t>
            </w:r>
          </w:p>
        </w:tc>
        <w:tc>
          <w:tcPr>
            <w:shd w:val="clear" w:fill="B8CCE4"/>
            <w:tcW w:w="5496" w:type="dxa"/>
            <w:vAlign w:val="top"/>
          </w:tcPr>
          <w:p>
            <w:pPr>
              <w:ind w:left="104" w:right="126" w:hanging="2"/>
              <w:spacing w:before="277"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华融融达期货股份有限公司合肥营业部存在交易时间全员</w:t>
            </w:r>
            <w:r>
              <w:rPr>
                <w:rFonts w:ascii="Microsoft YaHei" w:hAnsi="Microsoft YaHei" w:eastAsia="Microsoft YaHei" w:cs="Microsoft YaHei"/>
                <w:sz w:val="21"/>
                <w:szCs w:val="21"/>
                <w:spacing w:val="1"/>
              </w:rPr>
              <w:t xml:space="preserve"> </w:t>
            </w:r>
            <w:r>
              <w:rPr>
                <w:rFonts w:ascii="Microsoft YaHei" w:hAnsi="Microsoft YaHei" w:eastAsia="Microsoft YaHei" w:cs="Microsoft YaHei"/>
                <w:sz w:val="21"/>
                <w:szCs w:val="21"/>
                <w:spacing w:val="-3"/>
              </w:rPr>
              <w:t>离岗、居间人管理不善的情形。</w:t>
            </w:r>
          </w:p>
        </w:tc>
      </w:tr>
      <w:tr>
        <w:trPr>
          <w:trHeight w:val="723" w:hRule="atLeast"/>
        </w:trPr>
        <w:tc>
          <w:tcPr>
            <w:tcW w:w="8055" w:type="dxa"/>
            <w:vAlign w:val="top"/>
            <w:gridSpan w:val="3"/>
          </w:tcPr>
          <w:p>
            <w:pPr>
              <w:ind w:left="105" w:right="100" w:firstLine="13"/>
              <w:spacing w:before="97" w:line="20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中国证券监督管理委员会安徽监管局决定对华融融达期货股份有限</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1"/>
              </w:rPr>
              <w:t>公司合肥营业部采取责令改正的行政监管措施，并记入证券期货市场诚信档案。</w:t>
            </w:r>
          </w:p>
        </w:tc>
      </w:tr>
      <w:tr>
        <w:trPr>
          <w:trHeight w:val="1805" w:hRule="atLeast"/>
        </w:trPr>
        <w:tc>
          <w:tcPr>
            <w:shd w:val="clear" w:fill="B8CCE4"/>
            <w:tcW w:w="1214" w:type="dxa"/>
            <w:vAlign w:val="top"/>
          </w:tcPr>
          <w:p>
            <w:pPr>
              <w:rPr>
                <w:rFonts w:ascii="Arial"/>
                <w:sz w:val="21"/>
              </w:rPr>
            </w:pPr>
            <w:r/>
          </w:p>
        </w:tc>
        <w:tc>
          <w:tcPr>
            <w:shd w:val="clear" w:fill="B8CCE4"/>
            <w:tcW w:w="1345" w:type="dxa"/>
            <w:vAlign w:val="top"/>
          </w:tcPr>
          <w:p>
            <w:pPr>
              <w:spacing w:line="273" w:lineRule="auto"/>
              <w:rPr>
                <w:rFonts w:ascii="Arial"/>
                <w:sz w:val="21"/>
              </w:rPr>
            </w:pPr>
            <w:r/>
          </w:p>
          <w:p>
            <w:pPr>
              <w:spacing w:line="274" w:lineRule="auto"/>
              <w:rPr>
                <w:rFonts w:ascii="Arial"/>
                <w:sz w:val="21"/>
              </w:rPr>
            </w:pPr>
            <w:r/>
          </w:p>
          <w:p>
            <w:pPr>
              <w:ind w:left="108" w:right="180" w:hanging="11"/>
              <w:spacing w:before="91"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徽商期货有 </w:t>
            </w:r>
            <w:r>
              <w:rPr>
                <w:rFonts w:ascii="Microsoft YaHei" w:hAnsi="Microsoft YaHei" w:eastAsia="Microsoft YaHei" w:cs="Microsoft YaHei"/>
                <w:sz w:val="21"/>
                <w:szCs w:val="21"/>
                <w:spacing w:val="-2"/>
              </w:rPr>
              <w:t>限责任公司</w:t>
            </w:r>
          </w:p>
        </w:tc>
        <w:tc>
          <w:tcPr>
            <w:shd w:val="clear" w:fill="B8CCE4"/>
            <w:tcW w:w="5496" w:type="dxa"/>
            <w:vAlign w:val="top"/>
          </w:tcPr>
          <w:p>
            <w:pPr>
              <w:ind w:left="98" w:right="126" w:firstLine="6"/>
              <w:spacing w:before="98" w:line="22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互联网营销活动事前内容审核、事中合规管控不到</w:t>
            </w:r>
            <w:r>
              <w:rPr>
                <w:rFonts w:ascii="Microsoft YaHei" w:hAnsi="Microsoft YaHei" w:eastAsia="Microsoft YaHei" w:cs="Microsoft YaHei"/>
                <w:sz w:val="21"/>
                <w:szCs w:val="21"/>
                <w:spacing w:val="-1"/>
              </w:rPr>
              <w:t>位；交</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易咨询业务产品设计、销售环节风险管控不到</w:t>
            </w:r>
            <w:r>
              <w:rPr>
                <w:rFonts w:ascii="Microsoft YaHei" w:hAnsi="Microsoft YaHei" w:eastAsia="Microsoft YaHei" w:cs="Microsoft YaHei"/>
                <w:sz w:val="21"/>
                <w:szCs w:val="21"/>
                <w:spacing w:val="-3"/>
              </w:rPr>
              <w:t>位； 资产管</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理业务产品管理职责履行不规范，对外担任投资顾问留痕</w:t>
            </w:r>
            <w:r>
              <w:rPr>
                <w:rFonts w:ascii="Microsoft YaHei" w:hAnsi="Microsoft YaHei" w:eastAsia="Microsoft YaHei" w:cs="Microsoft YaHei"/>
                <w:sz w:val="21"/>
                <w:szCs w:val="21"/>
                <w:spacing w:val="4"/>
              </w:rPr>
              <w:t xml:space="preserve"> </w:t>
            </w:r>
            <w:r>
              <w:rPr>
                <w:rFonts w:ascii="Microsoft YaHei" w:hAnsi="Microsoft YaHei" w:eastAsia="Microsoft YaHei" w:cs="Microsoft YaHei"/>
                <w:sz w:val="21"/>
                <w:szCs w:val="21"/>
              </w:rPr>
              <w:t>不完整。部分信息系统性能、容量压力测试不充分，运维 </w:t>
            </w:r>
            <w:r>
              <w:rPr>
                <w:rFonts w:ascii="Microsoft YaHei" w:hAnsi="Microsoft YaHei" w:eastAsia="Microsoft YaHei" w:cs="Microsoft YaHei"/>
                <w:sz w:val="21"/>
                <w:szCs w:val="21"/>
              </w:rPr>
              <w:t>管理不到位。</w:t>
            </w:r>
          </w:p>
        </w:tc>
      </w:tr>
      <w:tr>
        <w:trPr>
          <w:trHeight w:val="724" w:hRule="atLeast"/>
        </w:trPr>
        <w:tc>
          <w:tcPr>
            <w:tcW w:w="8055" w:type="dxa"/>
            <w:vAlign w:val="top"/>
            <w:gridSpan w:val="3"/>
          </w:tcPr>
          <w:p>
            <w:pPr>
              <w:ind w:left="105" w:right="100" w:firstLine="13"/>
              <w:spacing w:before="101"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中国证券监督管理委员会安徽监管局决定对徽商期货有限责任公司</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4"/>
              </w:rPr>
              <w:t>采取责令改正的监督管理措施，</w:t>
            </w:r>
            <w:r>
              <w:rPr>
                <w:rFonts w:ascii="Microsoft YaHei" w:hAnsi="Microsoft YaHei" w:eastAsia="Microsoft YaHei" w:cs="Microsoft YaHei"/>
                <w:sz w:val="21"/>
                <w:szCs w:val="21"/>
                <w:spacing w:val="52"/>
                <w:w w:val="101"/>
              </w:rPr>
              <w:t xml:space="preserve"> </w:t>
            </w:r>
            <w:r>
              <w:rPr>
                <w:rFonts w:ascii="Microsoft YaHei" w:hAnsi="Microsoft YaHei" w:eastAsia="Microsoft YaHei" w:cs="Microsoft YaHei"/>
                <w:sz w:val="21"/>
                <w:szCs w:val="21"/>
                <w:spacing w:val="-4"/>
              </w:rPr>
              <w:t>并记入证券期货市场诚信档案。</w:t>
            </w:r>
          </w:p>
        </w:tc>
      </w:tr>
      <w:tr>
        <w:trPr>
          <w:trHeight w:val="1086" w:hRule="atLeast"/>
        </w:trPr>
        <w:tc>
          <w:tcPr>
            <w:shd w:val="clear" w:fill="B8CCE4"/>
            <w:tcW w:w="1214" w:type="dxa"/>
            <w:vAlign w:val="top"/>
          </w:tcPr>
          <w:p>
            <w:pPr>
              <w:rPr>
                <w:rFonts w:ascii="Arial"/>
                <w:sz w:val="21"/>
              </w:rPr>
            </w:pPr>
            <w:r/>
          </w:p>
        </w:tc>
        <w:tc>
          <w:tcPr>
            <w:shd w:val="clear" w:fill="B8CCE4"/>
            <w:tcW w:w="1345" w:type="dxa"/>
            <w:vAlign w:val="top"/>
          </w:tcPr>
          <w:p>
            <w:pPr>
              <w:ind w:left="108" w:right="180" w:hanging="11"/>
              <w:spacing w:before="283"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金石期货有 </w:t>
            </w:r>
            <w:r>
              <w:rPr>
                <w:rFonts w:ascii="Microsoft YaHei" w:hAnsi="Microsoft YaHei" w:eastAsia="Microsoft YaHei" w:cs="Microsoft YaHei"/>
                <w:sz w:val="21"/>
                <w:szCs w:val="21"/>
                <w:spacing w:val="-3"/>
              </w:rPr>
              <w:t>限公司</w:t>
            </w:r>
          </w:p>
        </w:tc>
        <w:tc>
          <w:tcPr>
            <w:shd w:val="clear" w:fill="B8CCE4"/>
            <w:tcW w:w="5496" w:type="dxa"/>
            <w:vAlign w:val="top"/>
          </w:tcPr>
          <w:p>
            <w:pPr>
              <w:ind w:left="100" w:right="140" w:firstLine="3"/>
              <w:spacing w:before="103"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青岛双建企业管理咨询有限公司在2022年6月金石期货有 </w:t>
            </w:r>
            <w:r>
              <w:rPr>
                <w:rFonts w:ascii="Microsoft YaHei" w:hAnsi="Microsoft YaHei" w:eastAsia="Microsoft YaHei" w:cs="Microsoft YaHei"/>
                <w:sz w:val="21"/>
                <w:szCs w:val="21"/>
                <w:spacing w:val="-2"/>
              </w:rPr>
              <w:t>限公司股权转让过程中， 存在使用负债资金1722</w:t>
            </w:r>
            <w:r>
              <w:rPr>
                <w:rFonts w:ascii="Microsoft YaHei" w:hAnsi="Microsoft YaHei" w:eastAsia="Microsoft YaHei" w:cs="Microsoft YaHei"/>
                <w:sz w:val="21"/>
                <w:szCs w:val="21"/>
                <w:spacing w:val="-3"/>
              </w:rPr>
              <w:t>.32万元 </w:t>
            </w:r>
            <w:r>
              <w:rPr>
                <w:rFonts w:ascii="Microsoft YaHei" w:hAnsi="Microsoft YaHei" w:eastAsia="Microsoft YaHei" w:cs="Microsoft YaHei"/>
                <w:sz w:val="21"/>
                <w:szCs w:val="21"/>
              </w:rPr>
              <w:t>投资入股的违规情形。</w:t>
            </w:r>
          </w:p>
        </w:tc>
      </w:tr>
      <w:tr>
        <w:trPr>
          <w:trHeight w:val="735" w:hRule="atLeast"/>
        </w:trPr>
        <w:tc>
          <w:tcPr>
            <w:tcW w:w="8055" w:type="dxa"/>
            <w:vAlign w:val="top"/>
            <w:gridSpan w:val="3"/>
          </w:tcPr>
          <w:p>
            <w:pPr>
              <w:ind w:left="104" w:right="100" w:firstLine="14"/>
              <w:spacing w:before="100"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b/>
                <w:bCs/>
                <w:spacing w:val="23"/>
                <w:w w:val="101"/>
              </w:rPr>
              <w:t xml:space="preserve"> </w:t>
            </w:r>
            <w:r>
              <w:rPr>
                <w:rFonts w:ascii="Microsoft YaHei" w:hAnsi="Microsoft YaHei" w:eastAsia="Microsoft YaHei" w:cs="Microsoft YaHei"/>
                <w:sz w:val="21"/>
                <w:szCs w:val="21"/>
                <w:spacing w:val="-1"/>
              </w:rPr>
              <w:t>中国证券监督管理委员会新疆监管局决定对青岛双建企业管理咨询</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有限公司采取责令改正的监督管理措施， 并记入证券期货市场诚信档案。</w:t>
            </w:r>
          </w:p>
        </w:tc>
      </w:tr>
    </w:tbl>
    <w:p>
      <w:pPr>
        <w:pStyle w:val="BodyText"/>
        <w:rPr/>
      </w:pPr>
      <w:r/>
    </w:p>
    <w:p>
      <w:pPr>
        <w:sectPr>
          <w:pgSz w:w="11912" w:h="16841"/>
          <w:pgMar w:top="400" w:right="1786" w:bottom="0" w:left="1786" w:header="0" w:footer="0" w:gutter="0"/>
        </w:sectPr>
        <w:rPr/>
      </w:pPr>
    </w:p>
    <w:tbl>
      <w:tblPr>
        <w:tblStyle w:val="TableNormal"/>
        <w:tblW w:w="8055" w:type="dxa"/>
        <w:tblInd w:w="52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1091" w:hRule="atLeast"/>
        </w:trPr>
        <w:tc>
          <w:tcPr>
            <w:shd w:val="clear" w:fill="B8CCE4"/>
            <w:tcW w:w="1214" w:type="dxa"/>
            <w:vAlign w:val="top"/>
            <w:tcBorders>
              <w:top w:val="single" w:color="4F81BD" w:sz="2" w:space="0"/>
            </w:tcBorders>
          </w:tcPr>
          <w:p>
            <w:pPr>
              <w:rPr>
                <w:rFonts w:ascii="Arial"/>
                <w:sz w:val="21"/>
              </w:rPr>
            </w:pPr>
            <w:r/>
          </w:p>
        </w:tc>
        <w:tc>
          <w:tcPr>
            <w:shd w:val="clear" w:fill="B8CCE4"/>
            <w:tcW w:w="1345" w:type="dxa"/>
            <w:vAlign w:val="top"/>
            <w:tcBorders>
              <w:top w:val="single" w:color="4F81BD" w:sz="2" w:space="0"/>
            </w:tcBorders>
          </w:tcPr>
          <w:p>
            <w:pPr>
              <w:ind w:left="108" w:right="180" w:hanging="11"/>
              <w:spacing w:before="277"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金石期货有 </w:t>
            </w:r>
            <w:r>
              <w:rPr>
                <w:rFonts w:ascii="Microsoft YaHei" w:hAnsi="Microsoft YaHei" w:eastAsia="Microsoft YaHei" w:cs="Microsoft YaHei"/>
                <w:sz w:val="21"/>
                <w:szCs w:val="21"/>
                <w:spacing w:val="-3"/>
              </w:rPr>
              <w:t>限公司</w:t>
            </w:r>
          </w:p>
        </w:tc>
        <w:tc>
          <w:tcPr>
            <w:shd w:val="clear" w:fill="B8CCE4"/>
            <w:tcW w:w="5496" w:type="dxa"/>
            <w:vAlign w:val="top"/>
            <w:tcBorders>
              <w:top w:val="single" w:color="4F81BD" w:sz="2" w:space="0"/>
            </w:tcBorders>
          </w:tcPr>
          <w:p>
            <w:pPr>
              <w:ind w:left="101" w:right="140" w:firstLine="2"/>
              <w:spacing w:before="99"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青岛君嘉企业管理咨询有限公司在2022年6月金石期货有 </w:t>
            </w:r>
            <w:r>
              <w:rPr>
                <w:rFonts w:ascii="Microsoft YaHei" w:hAnsi="Microsoft YaHei" w:eastAsia="Microsoft YaHei" w:cs="Microsoft YaHei"/>
                <w:sz w:val="21"/>
                <w:szCs w:val="21"/>
                <w:spacing w:val="-2"/>
              </w:rPr>
              <w:t>限公司股权转让过程中， 存在使用负债资</w:t>
            </w:r>
            <w:r>
              <w:rPr>
                <w:rFonts w:ascii="Microsoft YaHei" w:hAnsi="Microsoft YaHei" w:eastAsia="Microsoft YaHei" w:cs="Microsoft YaHei"/>
                <w:sz w:val="21"/>
                <w:szCs w:val="21"/>
                <w:spacing w:val="-3"/>
              </w:rPr>
              <w:t>金1764万元投</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3"/>
              </w:rPr>
              <w:t>资入股的违规情形。</w:t>
            </w:r>
          </w:p>
        </w:tc>
      </w:tr>
      <w:tr>
        <w:trPr>
          <w:trHeight w:val="725" w:hRule="atLeast"/>
        </w:trPr>
        <w:tc>
          <w:tcPr>
            <w:tcW w:w="8055" w:type="dxa"/>
            <w:vAlign w:val="top"/>
            <w:gridSpan w:val="3"/>
          </w:tcPr>
          <w:p>
            <w:pPr>
              <w:ind w:left="104" w:right="100" w:firstLine="14"/>
              <w:spacing w:before="90"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中国证券监督管理委员会新疆监管局决定对青岛君嘉企业管理咨询</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有限公司采取责令改正的监督管理措施， 并记入证券期货市场诚信档案。</w:t>
            </w:r>
          </w:p>
        </w:tc>
      </w:tr>
      <w:tr>
        <w:trPr>
          <w:trHeight w:val="1082" w:hRule="atLeast"/>
        </w:trPr>
        <w:tc>
          <w:tcPr>
            <w:shd w:val="clear" w:fill="B8CCE4"/>
            <w:tcW w:w="1214" w:type="dxa"/>
            <w:vAlign w:val="top"/>
          </w:tcPr>
          <w:p>
            <w:pPr>
              <w:rPr>
                <w:rFonts w:ascii="Arial"/>
                <w:sz w:val="21"/>
              </w:rPr>
            </w:pPr>
            <w:r/>
          </w:p>
        </w:tc>
        <w:tc>
          <w:tcPr>
            <w:shd w:val="clear" w:fill="B8CCE4"/>
            <w:tcW w:w="1345" w:type="dxa"/>
            <w:vAlign w:val="top"/>
          </w:tcPr>
          <w:p>
            <w:pPr>
              <w:ind w:left="108" w:right="180" w:hanging="11"/>
              <w:spacing w:before="272"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金石期货有 </w:t>
            </w:r>
            <w:r>
              <w:rPr>
                <w:rFonts w:ascii="Microsoft YaHei" w:hAnsi="Microsoft YaHei" w:eastAsia="Microsoft YaHei" w:cs="Microsoft YaHei"/>
                <w:sz w:val="21"/>
                <w:szCs w:val="21"/>
                <w:spacing w:val="-3"/>
              </w:rPr>
              <w:t>限公司</w:t>
            </w:r>
          </w:p>
        </w:tc>
        <w:tc>
          <w:tcPr>
            <w:shd w:val="clear" w:fill="B8CCE4"/>
            <w:tcW w:w="5496" w:type="dxa"/>
            <w:vAlign w:val="top"/>
          </w:tcPr>
          <w:p>
            <w:pPr>
              <w:ind w:left="101" w:right="140"/>
              <w:spacing w:before="90" w:line="21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盐城安静企业管理中心（有限合伙） 在2022年</w:t>
            </w:r>
            <w:r>
              <w:rPr>
                <w:rFonts w:ascii="Microsoft YaHei" w:hAnsi="Microsoft YaHei" w:eastAsia="Microsoft YaHei" w:cs="Microsoft YaHei"/>
                <w:sz w:val="21"/>
                <w:szCs w:val="21"/>
                <w:spacing w:val="-3"/>
              </w:rPr>
              <w:t>6月金石期</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货有限公司股权转让过程中，存在使用负债资金1764万   </w:t>
            </w:r>
            <w:r>
              <w:rPr>
                <w:rFonts w:ascii="Microsoft YaHei" w:hAnsi="Microsoft YaHei" w:eastAsia="Microsoft YaHei" w:cs="Microsoft YaHei"/>
                <w:sz w:val="21"/>
                <w:szCs w:val="21"/>
                <w:spacing w:val="-2"/>
              </w:rPr>
              <w:t>元投资入股的违规情形。</w:t>
            </w:r>
          </w:p>
        </w:tc>
      </w:tr>
      <w:tr>
        <w:trPr>
          <w:trHeight w:val="725" w:hRule="atLeast"/>
        </w:trPr>
        <w:tc>
          <w:tcPr>
            <w:tcW w:w="8055" w:type="dxa"/>
            <w:vAlign w:val="top"/>
            <w:gridSpan w:val="3"/>
          </w:tcPr>
          <w:p>
            <w:pPr>
              <w:ind w:left="134" w:right="100" w:hanging="16"/>
              <w:spacing w:before="96"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中国证券监督管理委员会新疆监管局决定对盐城安静企业管理中心</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3"/>
              </w:rPr>
              <w:t>（有限合伙）采取责令改正的监督管理措施， 并记入证券期货市场诚信档案。</w:t>
            </w:r>
          </w:p>
        </w:tc>
      </w:tr>
      <w:tr>
        <w:trPr>
          <w:trHeight w:val="1081" w:hRule="atLeast"/>
        </w:trPr>
        <w:tc>
          <w:tcPr>
            <w:shd w:val="clear" w:fill="B8CCE4"/>
            <w:tcW w:w="1214" w:type="dxa"/>
            <w:vAlign w:val="top"/>
          </w:tcPr>
          <w:p>
            <w:pPr>
              <w:rPr>
                <w:rFonts w:ascii="Arial"/>
                <w:sz w:val="21"/>
              </w:rPr>
            </w:pPr>
            <w:r/>
          </w:p>
        </w:tc>
        <w:tc>
          <w:tcPr>
            <w:shd w:val="clear" w:fill="B8CCE4"/>
            <w:tcW w:w="1345" w:type="dxa"/>
            <w:vAlign w:val="top"/>
          </w:tcPr>
          <w:p>
            <w:pPr>
              <w:ind w:left="108" w:right="180" w:hanging="11"/>
              <w:spacing w:before="276" w:line="21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金石期货有 </w:t>
            </w:r>
            <w:r>
              <w:rPr>
                <w:rFonts w:ascii="Microsoft YaHei" w:hAnsi="Microsoft YaHei" w:eastAsia="Microsoft YaHei" w:cs="Microsoft YaHei"/>
                <w:sz w:val="21"/>
                <w:szCs w:val="21"/>
                <w:spacing w:val="-3"/>
              </w:rPr>
              <w:t>限公司</w:t>
            </w:r>
          </w:p>
        </w:tc>
        <w:tc>
          <w:tcPr>
            <w:shd w:val="clear" w:fill="B8CCE4"/>
            <w:tcW w:w="5496" w:type="dxa"/>
            <w:vAlign w:val="top"/>
          </w:tcPr>
          <w:p>
            <w:pPr>
              <w:ind w:left="105" w:right="126" w:hanging="2"/>
              <w:spacing w:before="98" w:line="216"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上海恒词企业咨询管理合伙企业（有限合伙） 在2022年6</w:t>
            </w:r>
            <w:r>
              <w:rPr>
                <w:rFonts w:ascii="Microsoft YaHei" w:hAnsi="Microsoft YaHei" w:eastAsia="Microsoft YaHei" w:cs="Microsoft YaHei"/>
                <w:sz w:val="21"/>
                <w:szCs w:val="21"/>
                <w:spacing w:val="18"/>
                <w:w w:val="101"/>
              </w:rPr>
              <w:t xml:space="preserve"> </w:t>
            </w:r>
            <w:r>
              <w:rPr>
                <w:rFonts w:ascii="Microsoft YaHei" w:hAnsi="Microsoft YaHei" w:eastAsia="Microsoft YaHei" w:cs="Microsoft YaHei"/>
                <w:sz w:val="21"/>
                <w:szCs w:val="21"/>
              </w:rPr>
              <w:t>月金石期货有限公司股权转让过程中，存在使用负债</w:t>
            </w:r>
            <w:r>
              <w:rPr>
                <w:rFonts w:ascii="Microsoft YaHei" w:hAnsi="Microsoft YaHei" w:eastAsia="Microsoft YaHei" w:cs="Microsoft YaHei"/>
                <w:sz w:val="21"/>
                <w:szCs w:val="21"/>
                <w:spacing w:val="-1"/>
              </w:rPr>
              <w:t>资金</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2"/>
              </w:rPr>
              <w:t>1692万元投资入股的违规情形。</w:t>
            </w:r>
          </w:p>
        </w:tc>
      </w:tr>
      <w:tr>
        <w:trPr>
          <w:trHeight w:val="1094" w:hRule="atLeast"/>
        </w:trPr>
        <w:tc>
          <w:tcPr>
            <w:tcW w:w="8055" w:type="dxa"/>
            <w:vAlign w:val="top"/>
            <w:gridSpan w:val="3"/>
          </w:tcPr>
          <w:p>
            <w:pPr>
              <w:ind w:left="105" w:right="100" w:firstLine="13"/>
              <w:spacing w:before="102"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spacing w:val="1"/>
              </w:rPr>
              <w:t>【行政监管措施】</w:t>
            </w:r>
            <w:r>
              <w:rPr>
                <w:rFonts w:ascii="Microsoft YaHei" w:hAnsi="Microsoft YaHei" w:eastAsia="Microsoft YaHei" w:cs="Microsoft YaHei"/>
                <w:sz w:val="21"/>
                <w:szCs w:val="21"/>
                <w:spacing w:val="1"/>
              </w:rPr>
              <w:t>中国证券监督管理委员会新疆监管局决定对上海恒词企业咨询管理</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7"/>
              </w:rPr>
              <w:t>合伙企业（有限合伙）采取责令改正的监督管理措施，并记入证券期货市场诚信档</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11"/>
              </w:rPr>
              <w:t>案。</w:t>
            </w:r>
          </w:p>
        </w:tc>
      </w:tr>
    </w:tbl>
    <w:p>
      <w:pPr>
        <w:pStyle w:val="BodyText"/>
        <w:spacing w:line="297" w:lineRule="auto"/>
        <w:rPr/>
      </w:pPr>
      <w:r/>
    </w:p>
    <w:p>
      <w:pPr>
        <w:pStyle w:val="BodyText"/>
        <w:spacing w:line="297" w:lineRule="auto"/>
        <w:rPr/>
      </w:pPr>
      <w:r/>
    </w:p>
    <w:p>
      <w:pPr>
        <w:pStyle w:val="BodyText"/>
        <w:spacing w:line="297" w:lineRule="auto"/>
        <w:rPr/>
      </w:pPr>
      <w:r/>
    </w:p>
    <w:p>
      <w:pPr>
        <w:spacing w:before="102" w:line="19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（4）立案调查</w:t>
      </w:r>
    </w:p>
    <w:p>
      <w:pPr>
        <w:spacing w:line="217" w:lineRule="exact"/>
        <w:rPr/>
      </w:pPr>
      <w:r/>
    </w:p>
    <w:tbl>
      <w:tblPr>
        <w:tblStyle w:val="TableNormal"/>
        <w:tblW w:w="8055" w:type="dxa"/>
        <w:tblInd w:w="524"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387" w:hRule="atLeast"/>
        </w:trPr>
        <w:tc>
          <w:tcPr>
            <w:shd w:val="clear" w:fill="4F81BD"/>
            <w:tcW w:w="1214" w:type="dxa"/>
            <w:vAlign w:val="top"/>
            <w:tcBorders>
              <w:bottom w:val="single" w:color="4F81BD" w:sz="2" w:space="0"/>
            </w:tcBorders>
          </w:tcPr>
          <w:p>
            <w:pPr>
              <w:ind w:left="106"/>
              <w:spacing w:before="115"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公司代码</w:t>
            </w:r>
          </w:p>
        </w:tc>
        <w:tc>
          <w:tcPr>
            <w:shd w:val="clear" w:fill="4F81BD"/>
            <w:tcW w:w="1345" w:type="dxa"/>
            <w:vAlign w:val="top"/>
            <w:tcBorders>
              <w:bottom w:val="single" w:color="4F81BD" w:sz="2" w:space="0"/>
            </w:tcBorders>
          </w:tcPr>
          <w:p>
            <w:pPr>
              <w:ind w:left="99"/>
              <w:spacing w:before="115"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公司简称</w:t>
            </w:r>
          </w:p>
        </w:tc>
        <w:tc>
          <w:tcPr>
            <w:shd w:val="clear" w:fill="4F81BD"/>
            <w:tcW w:w="5496" w:type="dxa"/>
            <w:vAlign w:val="top"/>
            <w:tcBorders>
              <w:bottom w:val="single" w:color="4F81BD" w:sz="2" w:space="0"/>
            </w:tcBorders>
          </w:tcPr>
          <w:p>
            <w:pPr>
              <w:ind w:left="2530"/>
              <w:spacing w:before="115"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rPr>
              <w:t>违规行为</w:t>
            </w:r>
          </w:p>
        </w:tc>
      </w:tr>
      <w:tr>
        <w:trPr>
          <w:trHeight w:val="1090" w:hRule="atLeast"/>
        </w:trPr>
        <w:tc>
          <w:tcPr>
            <w:tcW w:w="1214" w:type="dxa"/>
            <w:vAlign w:val="top"/>
            <w:tcBorders>
              <w:top w:val="single" w:color="4F81BD" w:sz="2" w:space="0"/>
            </w:tcBorders>
          </w:tcPr>
          <w:p>
            <w:pPr>
              <w:spacing w:line="369" w:lineRule="auto"/>
              <w:rPr>
                <w:rFonts w:ascii="Arial"/>
                <w:sz w:val="21"/>
              </w:rPr>
            </w:pPr>
            <w:r/>
          </w:p>
          <w:p>
            <w:pPr>
              <w:ind w:left="111"/>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000518</w:t>
            </w:r>
          </w:p>
        </w:tc>
        <w:tc>
          <w:tcPr>
            <w:tcW w:w="1345" w:type="dxa"/>
            <w:vAlign w:val="top"/>
            <w:tcBorders>
              <w:top w:val="single" w:color="4F81BD" w:sz="2" w:space="0"/>
            </w:tcBorders>
          </w:tcPr>
          <w:p>
            <w:pPr>
              <w:spacing w:line="361" w:lineRule="auto"/>
              <w:rPr>
                <w:rFonts w:ascii="Arial"/>
                <w:sz w:val="21"/>
              </w:rPr>
            </w:pPr>
            <w:r/>
          </w:p>
          <w:p>
            <w:pPr>
              <w:ind w:left="114"/>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四环生物</w:t>
            </w:r>
          </w:p>
        </w:tc>
        <w:tc>
          <w:tcPr>
            <w:tcW w:w="5496" w:type="dxa"/>
            <w:vAlign w:val="top"/>
            <w:tcBorders>
              <w:top w:val="single" w:color="4F81BD" w:sz="2" w:space="0"/>
            </w:tcBorders>
          </w:tcPr>
          <w:p>
            <w:pPr>
              <w:ind w:left="115"/>
              <w:spacing w:before="94"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w:t>
            </w:r>
            <w:r>
              <w:rPr>
                <w:rFonts w:ascii="Microsoft YaHei" w:hAnsi="Microsoft YaHei" w:eastAsia="Microsoft YaHei" w:cs="Microsoft YaHei"/>
                <w:sz w:val="21"/>
                <w:szCs w:val="21"/>
                <w:b/>
                <w:bCs/>
                <w:spacing w:val="-1"/>
              </w:rPr>
              <w:t>涉嫌信息披露违法违规</w:t>
            </w:r>
            <w:r>
              <w:rPr>
                <w:rFonts w:ascii="Microsoft YaHei" w:hAnsi="Microsoft YaHei" w:eastAsia="Microsoft YaHei" w:cs="Microsoft YaHei"/>
                <w:sz w:val="21"/>
                <w:szCs w:val="21"/>
                <w:spacing w:val="-1"/>
              </w:rPr>
              <w:t>，根据《中华人民共和国证券</w:t>
            </w:r>
          </w:p>
          <w:p>
            <w:pPr>
              <w:ind w:left="100" w:right="141"/>
              <w:spacing w:before="67" w:line="20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法》、《中华人民共和国行政处罚法》等法律法规，中国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证券监督管理委员会决定对其立案。</w:t>
            </w:r>
          </w:p>
        </w:tc>
      </w:tr>
      <w:tr>
        <w:trPr>
          <w:trHeight w:val="1801" w:hRule="atLeast"/>
        </w:trPr>
        <w:tc>
          <w:tcPr>
            <w:shd w:val="clear" w:fill="C7D9F1"/>
            <w:tcW w:w="1214" w:type="dxa"/>
            <w:vAlign w:val="top"/>
          </w:tcPr>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ind w:left="111"/>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002308</w:t>
            </w:r>
          </w:p>
        </w:tc>
        <w:tc>
          <w:tcPr>
            <w:shd w:val="clear" w:fill="C7D9F1"/>
            <w:tcW w:w="1345" w:type="dxa"/>
            <w:vAlign w:val="top"/>
          </w:tcPr>
          <w:p>
            <w:pPr>
              <w:spacing w:line="358" w:lineRule="auto"/>
              <w:rPr>
                <w:rFonts w:ascii="Arial"/>
                <w:sz w:val="21"/>
              </w:rPr>
            </w:pPr>
            <w:r/>
          </w:p>
          <w:p>
            <w:pPr>
              <w:spacing w:line="358"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威创股份</w:t>
            </w:r>
          </w:p>
        </w:tc>
        <w:tc>
          <w:tcPr>
            <w:shd w:val="clear" w:fill="C7D9F1"/>
            <w:tcW w:w="5496" w:type="dxa"/>
            <w:vAlign w:val="top"/>
          </w:tcPr>
          <w:p>
            <w:pPr>
              <w:ind w:left="100" w:right="126"/>
              <w:spacing w:before="87" w:line="22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rPr>
              <w:t>公司的控股股东台州市中数威科股权投资合伙企业（有限 </w:t>
            </w:r>
            <w:r>
              <w:rPr>
                <w:rFonts w:ascii="Microsoft YaHei" w:hAnsi="Microsoft YaHei" w:eastAsia="Microsoft YaHei" w:cs="Microsoft YaHei"/>
                <w:sz w:val="21"/>
                <w:szCs w:val="21"/>
                <w:spacing w:val="-4"/>
              </w:rPr>
              <w:t>合伙）</w:t>
            </w:r>
            <w:r>
              <w:rPr>
                <w:rFonts w:ascii="Microsoft YaHei" w:hAnsi="Microsoft YaHei" w:eastAsia="Microsoft YaHei" w:cs="Microsoft YaHei"/>
                <w:sz w:val="21"/>
                <w:szCs w:val="21"/>
                <w:spacing w:val="40"/>
                <w:w w:val="101"/>
              </w:rPr>
              <w:t xml:space="preserve"> </w:t>
            </w:r>
            <w:r>
              <w:rPr>
                <w:rFonts w:ascii="Microsoft YaHei" w:hAnsi="Microsoft YaHei" w:eastAsia="Microsoft YaHei" w:cs="Microsoft YaHei"/>
                <w:sz w:val="21"/>
                <w:szCs w:val="21"/>
                <w:spacing w:val="-4"/>
              </w:rPr>
              <w:t>的有限合伙人的控股股东江苏阳光集团有限公司实</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rPr>
              <w:t>控人因</w:t>
            </w:r>
            <w:r>
              <w:rPr>
                <w:rFonts w:ascii="Microsoft YaHei" w:hAnsi="Microsoft YaHei" w:eastAsia="Microsoft YaHei" w:cs="Microsoft YaHei"/>
                <w:sz w:val="21"/>
                <w:szCs w:val="21"/>
                <w:b/>
                <w:bCs/>
              </w:rPr>
              <w:t>涉嫌信息披露违法违规</w:t>
            </w:r>
            <w:r>
              <w:rPr>
                <w:rFonts w:ascii="Microsoft YaHei" w:hAnsi="Microsoft YaHei" w:eastAsia="Microsoft YaHei" w:cs="Microsoft YaHei"/>
                <w:sz w:val="21"/>
                <w:szCs w:val="21"/>
              </w:rPr>
              <w:t>，根据《中华人民共和国证</w:t>
            </w:r>
            <w:r>
              <w:rPr>
                <w:rFonts w:ascii="Microsoft YaHei" w:hAnsi="Microsoft YaHei" w:eastAsia="Microsoft YaHei" w:cs="Microsoft YaHei"/>
                <w:sz w:val="21"/>
                <w:szCs w:val="21"/>
                <w:spacing w:val="3"/>
              </w:rPr>
              <w:t xml:space="preserve"> </w:t>
            </w:r>
            <w:r>
              <w:rPr>
                <w:rFonts w:ascii="Microsoft YaHei" w:hAnsi="Microsoft YaHei" w:eastAsia="Microsoft YaHei" w:cs="Microsoft YaHei"/>
                <w:sz w:val="21"/>
                <w:szCs w:val="21"/>
                <w:spacing w:val="-1"/>
              </w:rPr>
              <w:t>券法》《中华人民共和国行政处罚法》等法律法规，被中</w:t>
            </w:r>
            <w:r>
              <w:rPr>
                <w:rFonts w:ascii="Microsoft YaHei" w:hAnsi="Microsoft YaHei" w:eastAsia="Microsoft YaHei" w:cs="Microsoft YaHei"/>
                <w:sz w:val="21"/>
                <w:szCs w:val="21"/>
                <w:spacing w:val="11"/>
              </w:rPr>
              <w:t xml:space="preserve"> </w:t>
            </w:r>
            <w:r>
              <w:rPr>
                <w:rFonts w:ascii="Microsoft YaHei" w:hAnsi="Microsoft YaHei" w:eastAsia="Microsoft YaHei" w:cs="Microsoft YaHei"/>
                <w:sz w:val="21"/>
                <w:szCs w:val="21"/>
                <w:spacing w:val="-3"/>
              </w:rPr>
              <w:t>国证监会立案。</w:t>
            </w:r>
          </w:p>
        </w:tc>
      </w:tr>
      <w:tr>
        <w:trPr>
          <w:trHeight w:val="1084" w:hRule="atLeast"/>
        </w:trPr>
        <w:tc>
          <w:tcPr>
            <w:tcW w:w="1214" w:type="dxa"/>
            <w:vAlign w:val="top"/>
          </w:tcPr>
          <w:p>
            <w:pPr>
              <w:spacing w:line="371" w:lineRule="auto"/>
              <w:rPr>
                <w:rFonts w:ascii="Arial"/>
                <w:sz w:val="21"/>
              </w:rPr>
            </w:pPr>
            <w:r/>
          </w:p>
          <w:p>
            <w:pPr>
              <w:ind w:left="11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600831</w:t>
            </w:r>
          </w:p>
        </w:tc>
        <w:tc>
          <w:tcPr>
            <w:tcW w:w="1345" w:type="dxa"/>
            <w:vAlign w:val="top"/>
          </w:tcPr>
          <w:p>
            <w:pPr>
              <w:spacing w:line="363" w:lineRule="auto"/>
              <w:rPr>
                <w:rFonts w:ascii="Arial"/>
                <w:sz w:val="21"/>
              </w:rPr>
            </w:pPr>
            <w:r/>
          </w:p>
          <w:p>
            <w:pPr>
              <w:ind w:left="97"/>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广电网络</w:t>
            </w:r>
          </w:p>
        </w:tc>
        <w:tc>
          <w:tcPr>
            <w:tcW w:w="5496" w:type="dxa"/>
            <w:vAlign w:val="top"/>
          </w:tcPr>
          <w:p>
            <w:pPr>
              <w:ind w:left="100" w:right="129" w:firstLine="14"/>
              <w:spacing w:before="96"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因公司</w:t>
            </w:r>
            <w:r>
              <w:rPr>
                <w:rFonts w:ascii="Microsoft YaHei" w:hAnsi="Microsoft YaHei" w:eastAsia="Microsoft YaHei" w:cs="Microsoft YaHei"/>
                <w:sz w:val="21"/>
                <w:szCs w:val="21"/>
                <w:b/>
                <w:bCs/>
                <w:spacing w:val="-1"/>
              </w:rPr>
              <w:t>涉嫌信息披露违法违规</w:t>
            </w:r>
            <w:r>
              <w:rPr>
                <w:rFonts w:ascii="Microsoft YaHei" w:hAnsi="Microsoft YaHei" w:eastAsia="Microsoft YaHei" w:cs="Microsoft YaHei"/>
                <w:sz w:val="21"/>
                <w:szCs w:val="21"/>
                <w:spacing w:val="-1"/>
              </w:rPr>
              <w:t>，根据《中华人民共和国证</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1"/>
              </w:rPr>
              <w:t>券法》《中华人民共和国行政处罚法》等法律法规，中国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证监会决定对公司立案。</w:t>
            </w:r>
          </w:p>
        </w:tc>
      </w:tr>
      <w:tr>
        <w:trPr>
          <w:trHeight w:val="1085" w:hRule="atLeast"/>
        </w:trPr>
        <w:tc>
          <w:tcPr>
            <w:shd w:val="clear" w:fill="C7D9F1"/>
            <w:tcW w:w="1214" w:type="dxa"/>
            <w:vAlign w:val="top"/>
          </w:tcPr>
          <w:p>
            <w:pPr>
              <w:spacing w:line="372" w:lineRule="auto"/>
              <w:rPr>
                <w:rFonts w:ascii="Arial"/>
                <w:sz w:val="21"/>
              </w:rPr>
            </w:pPr>
            <w:r/>
          </w:p>
          <w:p>
            <w:pPr>
              <w:ind w:left="11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603613</w:t>
            </w:r>
          </w:p>
        </w:tc>
        <w:tc>
          <w:tcPr>
            <w:shd w:val="clear" w:fill="C7D9F1"/>
            <w:tcW w:w="1345" w:type="dxa"/>
            <w:vAlign w:val="top"/>
          </w:tcPr>
          <w:p>
            <w:pPr>
              <w:spacing w:line="365" w:lineRule="auto"/>
              <w:rPr>
                <w:rFonts w:ascii="Arial"/>
                <w:sz w:val="21"/>
              </w:rPr>
            </w:pPr>
            <w:r/>
          </w:p>
          <w:p>
            <w:pPr>
              <w:ind w:left="111"/>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国联股份</w:t>
            </w:r>
          </w:p>
        </w:tc>
        <w:tc>
          <w:tcPr>
            <w:shd w:val="clear" w:fill="C7D9F1"/>
            <w:tcW w:w="5496" w:type="dxa"/>
            <w:vAlign w:val="top"/>
          </w:tcPr>
          <w:p>
            <w:pPr>
              <w:ind w:left="100" w:right="129" w:firstLine="14"/>
              <w:spacing w:before="97" w:line="217"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因公司</w:t>
            </w:r>
            <w:r>
              <w:rPr>
                <w:rFonts w:ascii="Microsoft YaHei" w:hAnsi="Microsoft YaHei" w:eastAsia="Microsoft YaHei" w:cs="Microsoft YaHei"/>
                <w:sz w:val="21"/>
                <w:szCs w:val="21"/>
                <w:b/>
                <w:bCs/>
                <w:spacing w:val="-1"/>
              </w:rPr>
              <w:t>涉嫌信息披露违法违规</w:t>
            </w:r>
            <w:r>
              <w:rPr>
                <w:rFonts w:ascii="Microsoft YaHei" w:hAnsi="Microsoft YaHei" w:eastAsia="Microsoft YaHei" w:cs="Microsoft YaHei"/>
                <w:sz w:val="21"/>
                <w:szCs w:val="21"/>
                <w:spacing w:val="-1"/>
              </w:rPr>
              <w:t>，根据《中华人民共和国证</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1"/>
              </w:rPr>
              <w:t>券法》《中华人民共和国行政处罚法》等法律法规，中国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证监会决定对公司立案。</w:t>
            </w:r>
          </w:p>
        </w:tc>
      </w:tr>
      <w:tr>
        <w:trPr>
          <w:trHeight w:val="1082" w:hRule="atLeast"/>
        </w:trPr>
        <w:tc>
          <w:tcPr>
            <w:tcW w:w="1214" w:type="dxa"/>
            <w:vAlign w:val="top"/>
          </w:tcPr>
          <w:p>
            <w:pPr>
              <w:spacing w:line="375" w:lineRule="auto"/>
              <w:rPr>
                <w:rFonts w:ascii="Arial"/>
                <w:sz w:val="21"/>
              </w:rPr>
            </w:pPr>
            <w:r/>
          </w:p>
          <w:p>
            <w:pPr>
              <w:ind w:left="114"/>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603377</w:t>
            </w:r>
          </w:p>
        </w:tc>
        <w:tc>
          <w:tcPr>
            <w:tcW w:w="1345" w:type="dxa"/>
            <w:vAlign w:val="top"/>
          </w:tcPr>
          <w:p>
            <w:pPr>
              <w:spacing w:line="366" w:lineRule="auto"/>
              <w:rPr>
                <w:rFonts w:ascii="Arial"/>
                <w:sz w:val="21"/>
              </w:rPr>
            </w:pPr>
            <w:r/>
          </w:p>
          <w:p>
            <w:pPr>
              <w:ind w:left="97"/>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东方时尚</w:t>
            </w:r>
          </w:p>
        </w:tc>
        <w:tc>
          <w:tcPr>
            <w:tcW w:w="5496" w:type="dxa"/>
            <w:vAlign w:val="top"/>
          </w:tcPr>
          <w:p>
            <w:pPr>
              <w:ind w:left="115"/>
              <w:spacing w:before="99"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w:t>
            </w:r>
            <w:r>
              <w:rPr>
                <w:rFonts w:ascii="Microsoft YaHei" w:hAnsi="Microsoft YaHei" w:eastAsia="Microsoft YaHei" w:cs="Microsoft YaHei"/>
                <w:sz w:val="21"/>
                <w:szCs w:val="21"/>
                <w:b/>
                <w:bCs/>
                <w:spacing w:val="-1"/>
              </w:rPr>
              <w:t>涉嫌信息披露违法违规</w:t>
            </w:r>
            <w:r>
              <w:rPr>
                <w:rFonts w:ascii="Microsoft YaHei" w:hAnsi="Microsoft YaHei" w:eastAsia="Microsoft YaHei" w:cs="Microsoft YaHei"/>
                <w:sz w:val="21"/>
                <w:szCs w:val="21"/>
                <w:spacing w:val="-1"/>
              </w:rPr>
              <w:t>，根据《中华人民共和国证券</w:t>
            </w:r>
          </w:p>
          <w:p>
            <w:pPr>
              <w:ind w:left="101" w:right="126" w:hanging="1"/>
              <w:spacing w:before="69" w:line="20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4"/>
              </w:rPr>
              <w:t>法》《中华人民共和国行政处罚法》等法律法规，</w:t>
            </w:r>
            <w:r>
              <w:rPr>
                <w:rFonts w:ascii="Microsoft YaHei" w:hAnsi="Microsoft YaHei" w:eastAsia="Microsoft YaHei" w:cs="Microsoft YaHei"/>
                <w:sz w:val="21"/>
                <w:szCs w:val="21"/>
                <w:spacing w:val="40"/>
                <w:w w:val="101"/>
              </w:rPr>
              <w:t xml:space="preserve"> </w:t>
            </w:r>
            <w:r>
              <w:rPr>
                <w:rFonts w:ascii="Microsoft YaHei" w:hAnsi="Microsoft YaHei" w:eastAsia="Microsoft YaHei" w:cs="Microsoft YaHei"/>
                <w:sz w:val="21"/>
                <w:szCs w:val="21"/>
                <w:spacing w:val="-4"/>
              </w:rPr>
              <w:t>中国证</w:t>
            </w:r>
            <w:r>
              <w:rPr>
                <w:rFonts w:ascii="Microsoft YaHei" w:hAnsi="Microsoft YaHei" w:eastAsia="Microsoft YaHei" w:cs="Microsoft YaHei"/>
                <w:sz w:val="21"/>
                <w:szCs w:val="21"/>
              </w:rPr>
              <w:t xml:space="preserve"> </w:t>
            </w:r>
            <w:r>
              <w:rPr>
                <w:rFonts w:ascii="Microsoft YaHei" w:hAnsi="Microsoft YaHei" w:eastAsia="Microsoft YaHei" w:cs="Microsoft YaHei"/>
                <w:sz w:val="21"/>
                <w:szCs w:val="21"/>
                <w:spacing w:val="-1"/>
              </w:rPr>
              <w:t>监会决定对公司立案。</w:t>
            </w:r>
          </w:p>
        </w:tc>
      </w:tr>
      <w:tr>
        <w:trPr>
          <w:trHeight w:val="1094" w:hRule="atLeast"/>
        </w:trPr>
        <w:tc>
          <w:tcPr>
            <w:shd w:val="clear" w:fill="C7D9F1"/>
            <w:tcW w:w="1214" w:type="dxa"/>
            <w:vAlign w:val="top"/>
          </w:tcPr>
          <w:p>
            <w:pPr>
              <w:spacing w:line="378" w:lineRule="auto"/>
              <w:rPr>
                <w:rFonts w:ascii="Arial"/>
                <w:sz w:val="21"/>
              </w:rPr>
            </w:pPr>
            <w:r/>
          </w:p>
          <w:p>
            <w:pPr>
              <w:ind w:left="117"/>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300419</w:t>
            </w:r>
          </w:p>
        </w:tc>
        <w:tc>
          <w:tcPr>
            <w:shd w:val="clear" w:fill="C7D9F1"/>
            <w:tcW w:w="1345" w:type="dxa"/>
            <w:vAlign w:val="top"/>
          </w:tcPr>
          <w:p>
            <w:pPr>
              <w:spacing w:line="370"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浩丰科技</w:t>
            </w:r>
          </w:p>
        </w:tc>
        <w:tc>
          <w:tcPr>
            <w:shd w:val="clear" w:fill="C7D9F1"/>
            <w:tcW w:w="5496" w:type="dxa"/>
            <w:vAlign w:val="top"/>
          </w:tcPr>
          <w:p>
            <w:pPr>
              <w:ind w:left="100" w:right="129" w:firstLine="14"/>
              <w:spacing w:before="102"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因公司</w:t>
            </w:r>
            <w:r>
              <w:rPr>
                <w:rFonts w:ascii="Microsoft YaHei" w:hAnsi="Microsoft YaHei" w:eastAsia="Microsoft YaHei" w:cs="Microsoft YaHei"/>
                <w:sz w:val="21"/>
                <w:szCs w:val="21"/>
                <w:b/>
                <w:bCs/>
                <w:spacing w:val="-1"/>
              </w:rPr>
              <w:t>涉嫌信息披露违法违规</w:t>
            </w:r>
            <w:r>
              <w:rPr>
                <w:rFonts w:ascii="Microsoft YaHei" w:hAnsi="Microsoft YaHei" w:eastAsia="Microsoft YaHei" w:cs="Microsoft YaHei"/>
                <w:sz w:val="21"/>
                <w:szCs w:val="21"/>
                <w:spacing w:val="-1"/>
              </w:rPr>
              <w:t>，根据《中华人民共和国证</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1"/>
              </w:rPr>
              <w:t>券法》《中华人民共和国行政处罚法》等法律法规，中国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证监会决定对公司立案。</w:t>
            </w:r>
          </w:p>
        </w:tc>
      </w:tr>
    </w:tbl>
    <w:p>
      <w:pPr>
        <w:pStyle w:val="BodyText"/>
        <w:rPr/>
      </w:pPr>
      <w:r/>
    </w:p>
    <w:p>
      <w:pPr>
        <w:sectPr>
          <w:pgSz w:w="11912" w:h="16841"/>
          <w:pgMar w:top="400" w:right="1786" w:bottom="0" w:left="1393" w:header="0" w:footer="0" w:gutter="0"/>
        </w:sectPr>
        <w:rPr/>
      </w:pPr>
    </w:p>
    <w:tbl>
      <w:tblPr>
        <w:tblStyle w:val="TableNormal"/>
        <w:tblW w:w="8055"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5"/>
        <w:gridCol w:w="5496"/>
      </w:tblGrid>
      <w:tr>
        <w:trPr>
          <w:trHeight w:val="1088" w:hRule="atLeast"/>
        </w:trPr>
        <w:tc>
          <w:tcPr>
            <w:tcW w:w="1214" w:type="dxa"/>
            <w:vAlign w:val="top"/>
            <w:tcBorders>
              <w:top w:val="single" w:color="4F81BD" w:sz="2" w:space="0"/>
            </w:tcBorders>
          </w:tcPr>
          <w:p>
            <w:pPr>
              <w:spacing w:line="372" w:lineRule="auto"/>
              <w:rPr>
                <w:rFonts w:ascii="Arial"/>
                <w:sz w:val="21"/>
              </w:rPr>
            </w:pPr>
            <w:r/>
          </w:p>
          <w:p>
            <w:pPr>
              <w:ind w:left="114"/>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600771</w:t>
            </w:r>
          </w:p>
        </w:tc>
        <w:tc>
          <w:tcPr>
            <w:tcW w:w="1345" w:type="dxa"/>
            <w:vAlign w:val="top"/>
            <w:tcBorders>
              <w:top w:val="single" w:color="4F81BD" w:sz="2" w:space="0"/>
            </w:tcBorders>
          </w:tcPr>
          <w:p>
            <w:pPr>
              <w:spacing w:line="365" w:lineRule="auto"/>
              <w:rPr>
                <w:rFonts w:ascii="Arial"/>
                <w:sz w:val="21"/>
              </w:rPr>
            </w:pPr>
            <w:r/>
          </w:p>
          <w:p>
            <w:pPr>
              <w:ind w:left="97"/>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广誉远</w:t>
            </w:r>
          </w:p>
        </w:tc>
        <w:tc>
          <w:tcPr>
            <w:tcW w:w="5496" w:type="dxa"/>
            <w:vAlign w:val="top"/>
            <w:tcBorders>
              <w:top w:val="single" w:color="4F81BD" w:sz="2" w:space="0"/>
            </w:tcBorders>
          </w:tcPr>
          <w:p>
            <w:pPr>
              <w:ind w:left="100" w:right="129" w:firstLine="14"/>
              <w:spacing w:before="96"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因公司</w:t>
            </w:r>
            <w:r>
              <w:rPr>
                <w:rFonts w:ascii="Microsoft YaHei" w:hAnsi="Microsoft YaHei" w:eastAsia="Microsoft YaHei" w:cs="Microsoft YaHei"/>
                <w:sz w:val="21"/>
                <w:szCs w:val="21"/>
                <w:b/>
                <w:bCs/>
                <w:spacing w:val="-1"/>
              </w:rPr>
              <w:t>涉嫌信息披露违法违规</w:t>
            </w:r>
            <w:r>
              <w:rPr>
                <w:rFonts w:ascii="Microsoft YaHei" w:hAnsi="Microsoft YaHei" w:eastAsia="Microsoft YaHei" w:cs="Microsoft YaHei"/>
                <w:sz w:val="21"/>
                <w:szCs w:val="21"/>
                <w:spacing w:val="-1"/>
              </w:rPr>
              <w:t>，根据《中华人民共和国证</w:t>
            </w:r>
            <w:r>
              <w:rPr>
                <w:rFonts w:ascii="Microsoft YaHei" w:hAnsi="Microsoft YaHei" w:eastAsia="Microsoft YaHei" w:cs="Microsoft YaHei"/>
                <w:sz w:val="21"/>
                <w:szCs w:val="21"/>
                <w:spacing w:val="10"/>
              </w:rPr>
              <w:t xml:space="preserve"> </w:t>
            </w:r>
            <w:r>
              <w:rPr>
                <w:rFonts w:ascii="Microsoft YaHei" w:hAnsi="Microsoft YaHei" w:eastAsia="Microsoft YaHei" w:cs="Microsoft YaHei"/>
                <w:sz w:val="21"/>
                <w:szCs w:val="21"/>
                <w:spacing w:val="-1"/>
              </w:rPr>
              <w:t>券法》《中华人民共和国行政处罚法》等法律法规，中国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spacing w:val="-2"/>
              </w:rPr>
              <w:t>证监会决定对公司立案。</w:t>
            </w:r>
          </w:p>
        </w:tc>
      </w:tr>
      <w:tr>
        <w:trPr>
          <w:trHeight w:val="365" w:hRule="atLeast"/>
        </w:trPr>
        <w:tc>
          <w:tcPr>
            <w:shd w:val="clear" w:fill="C7D9F1"/>
            <w:tcW w:w="1214" w:type="dxa"/>
            <w:vAlign w:val="top"/>
          </w:tcPr>
          <w:p>
            <w:pPr>
              <w:ind w:left="117"/>
              <w:spacing w:before="102" w:line="16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3"/>
              </w:rPr>
              <w:t>300282</w:t>
            </w:r>
          </w:p>
        </w:tc>
        <w:tc>
          <w:tcPr>
            <w:shd w:val="clear" w:fill="C7D9F1"/>
            <w:tcW w:w="1345" w:type="dxa"/>
            <w:vAlign w:val="top"/>
          </w:tcPr>
          <w:p>
            <w:pPr>
              <w:ind w:left="104"/>
              <w:spacing w:before="84" w:line="180"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*ST三盛</w:t>
            </w:r>
          </w:p>
        </w:tc>
        <w:tc>
          <w:tcPr>
            <w:shd w:val="clear" w:fill="C7D9F1"/>
            <w:tcW w:w="5496" w:type="dxa"/>
            <w:vAlign w:val="top"/>
          </w:tcPr>
          <w:p>
            <w:pPr>
              <w:ind w:left="100"/>
              <w:spacing w:before="93" w:line="17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公司因</w:t>
            </w:r>
            <w:r>
              <w:rPr>
                <w:rFonts w:ascii="Microsoft YaHei" w:hAnsi="Microsoft YaHei" w:eastAsia="Microsoft YaHei" w:cs="Microsoft YaHei"/>
                <w:sz w:val="21"/>
                <w:szCs w:val="21"/>
                <w:b/>
                <w:bCs/>
              </w:rPr>
              <w:t>涉嫌信息披露违法违规</w:t>
            </w:r>
            <w:r>
              <w:rPr>
                <w:rFonts w:ascii="Microsoft YaHei" w:hAnsi="Microsoft YaHei" w:eastAsia="Microsoft YaHei" w:cs="Microsoft YaHei"/>
                <w:sz w:val="21"/>
                <w:szCs w:val="21"/>
              </w:rPr>
              <w:t>被立案。</w:t>
            </w:r>
          </w:p>
        </w:tc>
      </w:tr>
      <w:tr>
        <w:trPr>
          <w:trHeight w:val="1087" w:hRule="atLeast"/>
        </w:trPr>
        <w:tc>
          <w:tcPr>
            <w:tcW w:w="1214" w:type="dxa"/>
            <w:vAlign w:val="top"/>
          </w:tcPr>
          <w:p>
            <w:pPr>
              <w:spacing w:line="372" w:lineRule="auto"/>
              <w:rPr>
                <w:rFonts w:ascii="Arial"/>
                <w:sz w:val="21"/>
              </w:rPr>
            </w:pPr>
            <w:r/>
          </w:p>
          <w:p>
            <w:pPr>
              <w:ind w:left="112"/>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2"/>
              </w:rPr>
              <w:t>832737</w:t>
            </w:r>
          </w:p>
        </w:tc>
        <w:tc>
          <w:tcPr>
            <w:tcW w:w="1345" w:type="dxa"/>
            <w:vAlign w:val="top"/>
          </w:tcPr>
          <w:p>
            <w:pPr>
              <w:spacing w:line="363" w:lineRule="auto"/>
              <w:rPr>
                <w:rFonts w:ascii="Arial"/>
                <w:sz w:val="21"/>
              </w:rPr>
            </w:pPr>
            <w:r/>
          </w:p>
          <w:p>
            <w:pPr>
              <w:ind w:left="98"/>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rPr>
              <w:t>恒信玺利</w:t>
            </w:r>
          </w:p>
        </w:tc>
        <w:tc>
          <w:tcPr>
            <w:tcW w:w="5496" w:type="dxa"/>
            <w:vAlign w:val="top"/>
          </w:tcPr>
          <w:p>
            <w:pPr>
              <w:ind w:left="115"/>
              <w:spacing w:before="95" w:line="19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因</w:t>
            </w:r>
            <w:r>
              <w:rPr>
                <w:rFonts w:ascii="Microsoft YaHei" w:hAnsi="Microsoft YaHei" w:eastAsia="Microsoft YaHei" w:cs="Microsoft YaHei"/>
                <w:sz w:val="21"/>
                <w:szCs w:val="21"/>
                <w:b/>
                <w:bCs/>
                <w:spacing w:val="-1"/>
              </w:rPr>
              <w:t>涉嫌信息披露违法违规</w:t>
            </w:r>
            <w:r>
              <w:rPr>
                <w:rFonts w:ascii="Microsoft YaHei" w:hAnsi="Microsoft YaHei" w:eastAsia="Microsoft YaHei" w:cs="Microsoft YaHei"/>
                <w:sz w:val="21"/>
                <w:szCs w:val="21"/>
                <w:spacing w:val="-1"/>
              </w:rPr>
              <w:t>，根据《中华人民共和国证券</w:t>
            </w:r>
          </w:p>
          <w:p>
            <w:pPr>
              <w:ind w:left="100" w:right="141"/>
              <w:spacing w:before="68"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spacing w:val="-1"/>
              </w:rPr>
              <w:t>法》、《中华人民共和国行政处罚法》等法律法规，中国</w:t>
            </w:r>
            <w:r>
              <w:rPr>
                <w:rFonts w:ascii="Microsoft YaHei" w:hAnsi="Microsoft YaHei" w:eastAsia="Microsoft YaHei" w:cs="Microsoft YaHei"/>
                <w:sz w:val="21"/>
                <w:szCs w:val="21"/>
                <w:spacing w:val="12"/>
              </w:rPr>
              <w:t xml:space="preserve"> </w:t>
            </w:r>
            <w:r>
              <w:rPr>
                <w:rFonts w:ascii="Microsoft YaHei" w:hAnsi="Microsoft YaHei" w:eastAsia="Microsoft YaHei" w:cs="Microsoft YaHei"/>
                <w:sz w:val="21"/>
                <w:szCs w:val="21"/>
              </w:rPr>
              <w:t>证券监督管理委员会决定对公司进行立案。</w:t>
            </w:r>
          </w:p>
        </w:tc>
      </w:tr>
    </w:tbl>
    <w:p>
      <w:pPr>
        <w:pStyle w:val="BodyText"/>
        <w:rPr/>
      </w:pPr>
      <w:r/>
    </w:p>
    <w:p>
      <w:pPr>
        <w:sectPr>
          <w:pgSz w:w="11912" w:h="16841"/>
          <w:pgMar w:top="400" w:right="1786" w:bottom="0" w:left="1786" w:header="0" w:footer="0" w:gutter="0"/>
        </w:sectPr>
        <w:rPr/>
      </w:pPr>
    </w:p>
    <w:p>
      <w:pPr>
        <w:ind w:firstLine="10"/>
        <w:spacing w:line="839" w:lineRule="exact"/>
        <w:rPr/>
      </w:pPr>
      <w:r>
        <w:rPr>
          <w:position w:val="-16"/>
        </w:rPr>
        <w:pict>
          <v:group id="_x0000_s14" style="mso-position-vertical-relative:line;mso-position-horizontal-relative:char;width:134.5pt;height:42pt;" filled="false" stroked="false" coordsize="2690,840" coordorigin="0,0">
            <v:shape id="_x0000_s16" style="position:absolute;left:0;top:0;width:2690;height:840;" filled="false" stroked="false" type="#_x0000_t75">
              <v:imagedata o:title="" r:id="rId21"/>
            </v:shape>
            <v:shape id="_x0000_s18" style="position:absolute;left:-20;top:-20;width:2730;height:880;" filled="false" stroked="false" type="#_x0000_t202">
              <v:fill on="false"/>
              <v:stroke on="false"/>
              <v:path/>
              <v:imagedata o:title=""/>
              <o:lock v:ext="edit" aspectratio="false"/>
              <v:textbox inset="0mm,0mm,0mm,0mm">
                <w:txbxContent>
                  <w:p>
                    <w:pPr>
                      <w:ind w:left="410"/>
                      <w:spacing w:before="299" w:line="222" w:lineRule="auto"/>
                      <w:rPr>
                        <w:rFonts w:ascii="SimHei" w:hAnsi="SimHei" w:eastAsia="SimHei" w:cs="SimHei"/>
                        <w:sz w:val="29"/>
                        <w:szCs w:val="29"/>
                      </w:rPr>
                    </w:pPr>
                    <w:r>
                      <w:rPr>
                        <w:rFonts w:ascii="SimHei" w:hAnsi="SimHei" w:eastAsia="SimHei" w:cs="SimHei"/>
                        <w:sz w:val="29"/>
                        <w:szCs w:val="29"/>
                        <w:color w:val="FFFFFF"/>
                        <w:spacing w:val="-9"/>
                      </w:rPr>
                      <w:t>上交所监管动态</w:t>
                    </w:r>
                  </w:p>
                </w:txbxContent>
              </v:textbox>
            </v:shape>
          </v:group>
        </w:pict>
      </w:r>
    </w:p>
    <w:p>
      <w:pPr>
        <w:pStyle w:val="BodyText"/>
        <w:spacing w:line="331" w:lineRule="auto"/>
        <w:rPr/>
      </w:pPr>
      <w:r/>
    </w:p>
    <w:p>
      <w:pPr>
        <w:ind w:left="503"/>
        <w:spacing w:before="82" w:line="222" w:lineRule="auto"/>
        <w:outlineLvl w:val="0"/>
        <w:rPr>
          <w:rFonts w:ascii="SimHei" w:hAnsi="SimHei" w:eastAsia="SimHei" w:cs="SimHei"/>
          <w:sz w:val="25"/>
          <w:szCs w:val="25"/>
        </w:rPr>
      </w:pPr>
      <w:r>
        <w:rPr>
          <w:rFonts w:ascii="SimHei" w:hAnsi="SimHei" w:eastAsia="SimHei" w:cs="SimHei"/>
          <w:sz w:val="25"/>
          <w:szCs w:val="25"/>
          <w:b/>
          <w:bCs/>
          <w:spacing w:val="-14"/>
        </w:rPr>
        <w:t>1、上市公司监管动态</w:t>
      </w:r>
    </w:p>
    <w:p>
      <w:pPr>
        <w:pStyle w:val="BodyText"/>
        <w:spacing w:line="278" w:lineRule="auto"/>
        <w:rPr/>
      </w:pPr>
      <w:r/>
    </w:p>
    <w:p>
      <w:pPr>
        <w:ind w:firstLine="460"/>
        <w:spacing w:before="71" w:line="284" w:lineRule="auto"/>
        <w:jc w:val="both"/>
        <w:rPr>
          <w:rFonts w:ascii="SimHei" w:hAnsi="SimHei" w:eastAsia="SimHei" w:cs="SimHei"/>
          <w:sz w:val="22"/>
          <w:szCs w:val="22"/>
        </w:rPr>
      </w:pPr>
      <w:r>
        <w:rPr>
          <w:rFonts w:ascii="SimHei" w:hAnsi="SimHei" w:eastAsia="SimHei" w:cs="SimHei"/>
          <w:sz w:val="22"/>
          <w:szCs w:val="22"/>
          <w:spacing w:val="8"/>
        </w:rPr>
        <w:t>2023年12月25日-12月31日，上交所公司监管部门作出8份监管警示函，对1宗行为予以纪律</w:t>
      </w:r>
      <w:r>
        <w:rPr>
          <w:rFonts w:ascii="SimHei" w:hAnsi="SimHei" w:eastAsia="SimHei" w:cs="SimHei"/>
          <w:sz w:val="22"/>
          <w:szCs w:val="22"/>
          <w:spacing w:val="7"/>
        </w:rPr>
        <w:t>处分，作出2份</w:t>
      </w:r>
      <w:r>
        <w:rPr>
          <w:rFonts w:ascii="SimHei" w:hAnsi="SimHei" w:eastAsia="SimHei" w:cs="SimHei"/>
          <w:sz w:val="22"/>
          <w:szCs w:val="22"/>
        </w:rPr>
        <w:t xml:space="preserve"> </w:t>
      </w:r>
      <w:r>
        <w:rPr>
          <w:rFonts w:ascii="SimHei" w:hAnsi="SimHei" w:eastAsia="SimHei" w:cs="SimHei"/>
          <w:sz w:val="22"/>
          <w:szCs w:val="22"/>
        </w:rPr>
        <w:t>监管工作函。同时，加大信息披露和股价异常的联动监管，针对公司披露敏感信息或股价发生明显异常的，提请启</w:t>
      </w:r>
      <w:r>
        <w:rPr>
          <w:rFonts w:ascii="SimHei" w:hAnsi="SimHei" w:eastAsia="SimHei" w:cs="SimHei"/>
          <w:sz w:val="22"/>
          <w:szCs w:val="22"/>
          <w:spacing w:val="1"/>
        </w:rPr>
        <w:t xml:space="preserve"> </w:t>
      </w:r>
      <w:r>
        <w:rPr>
          <w:rFonts w:ascii="SimHei" w:hAnsi="SimHei" w:eastAsia="SimHei" w:cs="SimHei"/>
          <w:sz w:val="22"/>
          <w:szCs w:val="22"/>
          <w:spacing w:val="-3"/>
        </w:rPr>
        <w:t>动内幕交易、异常交易核查8单。</w:t>
      </w:r>
    </w:p>
    <w:p>
      <w:pPr>
        <w:spacing w:before="182"/>
        <w:rPr/>
      </w:pPr>
      <w:r/>
    </w:p>
    <w:p>
      <w:pPr>
        <w:sectPr>
          <w:pgSz w:w="11910" w:h="16840"/>
          <w:pgMar w:top="390" w:right="473" w:bottom="0" w:left="429" w:header="0" w:footer="0" w:gutter="0"/>
          <w:cols w:equalWidth="0" w:num="1">
            <w:col w:w="11007" w:space="0"/>
          </w:cols>
        </w:sectPr>
        <w:rPr/>
      </w:pPr>
    </w:p>
    <w:p>
      <w:pPr>
        <w:pStyle w:val="BodyText"/>
        <w:spacing w:line="251" w:lineRule="auto"/>
        <w:rPr/>
      </w:pPr>
      <w:r/>
    </w:p>
    <w:p>
      <w:pPr>
        <w:pStyle w:val="BodyText"/>
        <w:spacing w:line="252" w:lineRule="auto"/>
        <w:rPr/>
      </w:pPr>
      <w:r/>
    </w:p>
    <w:p>
      <w:pPr>
        <w:ind w:left="2340"/>
        <w:spacing w:before="72" w:line="184" w:lineRule="auto"/>
        <w:rPr>
          <w:rFonts w:ascii="SimSun" w:hAnsi="SimSun" w:eastAsia="SimSun" w:cs="SimSun"/>
          <w:sz w:val="22"/>
          <w:szCs w:val="22"/>
        </w:rPr>
      </w:pPr>
      <w:r>
        <w:rPr>
          <w:rFonts w:ascii="SimSun" w:hAnsi="SimSun" w:eastAsia="SimSun" w:cs="SimSun"/>
          <w:sz w:val="22"/>
          <w:szCs w:val="22"/>
          <w:spacing w:val="-7"/>
        </w:rPr>
        <w:t>10</w:t>
      </w:r>
    </w:p>
    <w:p>
      <w:pPr>
        <w:ind w:left="2429"/>
        <w:spacing w:before="112" w:line="183" w:lineRule="auto"/>
        <w:rPr>
          <w:rFonts w:ascii="SimSun" w:hAnsi="SimSun" w:eastAsia="SimSun" w:cs="SimSun"/>
          <w:sz w:val="22"/>
          <w:szCs w:val="22"/>
        </w:rPr>
      </w:pPr>
      <w:r>
        <w:rPr>
          <w:rFonts w:ascii="SimSun" w:hAnsi="SimSun" w:eastAsia="SimSun" w:cs="SimSun"/>
          <w:sz w:val="22"/>
          <w:szCs w:val="22"/>
        </w:rPr>
        <w:t>8</w:t>
      </w:r>
    </w:p>
    <w:p>
      <w:pPr>
        <w:ind w:left="2429"/>
        <w:spacing w:before="132" w:line="183" w:lineRule="auto"/>
        <w:rPr>
          <w:rFonts w:ascii="SimSun" w:hAnsi="SimSun" w:eastAsia="SimSun" w:cs="SimSun"/>
          <w:sz w:val="22"/>
          <w:szCs w:val="22"/>
        </w:rPr>
      </w:pPr>
      <w:r>
        <w:rPr>
          <w:rFonts w:ascii="SimSun" w:hAnsi="SimSun" w:eastAsia="SimSun" w:cs="SimSun"/>
          <w:sz w:val="22"/>
          <w:szCs w:val="22"/>
        </w:rPr>
        <w:t>6</w:t>
      </w:r>
    </w:p>
    <w:p>
      <w:pPr>
        <w:ind w:left="2429"/>
        <w:spacing w:before="112" w:line="183" w:lineRule="auto"/>
        <w:rPr>
          <w:rFonts w:ascii="SimSun" w:hAnsi="SimSun" w:eastAsia="SimSun" w:cs="SimSun"/>
          <w:sz w:val="29"/>
          <w:szCs w:val="29"/>
        </w:rPr>
      </w:pPr>
      <w:r>
        <w:rPr>
          <w:rFonts w:ascii="SimSun" w:hAnsi="SimSun" w:eastAsia="SimSun" w:cs="SimSun"/>
          <w:sz w:val="29"/>
          <w:szCs w:val="29"/>
        </w:rPr>
        <w:t>4</w:t>
      </w:r>
    </w:p>
    <w:p>
      <w:pPr>
        <w:ind w:left="2429"/>
        <w:spacing w:before="32" w:line="183" w:lineRule="auto"/>
        <w:rPr>
          <w:rFonts w:ascii="SimSun" w:hAnsi="SimSun" w:eastAsia="SimSun" w:cs="SimSun"/>
          <w:sz w:val="22"/>
          <w:szCs w:val="22"/>
        </w:rPr>
      </w:pPr>
      <w:r>
        <w:rPr>
          <w:rFonts w:ascii="SimSun" w:hAnsi="SimSun" w:eastAsia="SimSun" w:cs="SimSun"/>
          <w:sz w:val="22"/>
          <w:szCs w:val="22"/>
          <w:spacing w:val="-6"/>
        </w:rPr>
        <w:t>2-</w:t>
      </w:r>
    </w:p>
    <w:p>
      <w:pPr>
        <w:ind w:left="2440"/>
        <w:spacing w:before="74" w:line="111" w:lineRule="exact"/>
        <w:rPr>
          <w:rFonts w:ascii="SimSun" w:hAnsi="SimSun" w:eastAsia="SimSun" w:cs="SimSun"/>
          <w:sz w:val="16"/>
          <w:szCs w:val="16"/>
        </w:rPr>
      </w:pPr>
      <w:r>
        <w:rPr>
          <w:rFonts w:ascii="SimSun" w:hAnsi="SimSun" w:eastAsia="SimSun" w:cs="SimSun"/>
          <w:sz w:val="16"/>
          <w:szCs w:val="16"/>
          <w:position w:val="-2"/>
        </w:rPr>
        <w:t>0</w:t>
      </w:r>
    </w:p>
    <w:p>
      <w:pPr>
        <w:pStyle w:val="BodyText"/>
        <w:spacing w:line="14" w:lineRule="auto"/>
        <w:rPr>
          <w:sz w:val="2"/>
        </w:rPr>
      </w:pPr>
      <w:r>
        <w:rPr>
          <w:sz w:val="2"/>
          <w:szCs w:val="2"/>
        </w:rPr>
        <w:br w:type="column"/>
      </w:r>
    </w:p>
    <w:p>
      <w:pPr>
        <w:ind w:left="24"/>
        <w:spacing w:before="57" w:line="221" w:lineRule="auto"/>
        <w:rPr>
          <w:rFonts w:ascii="SimHei" w:hAnsi="SimHei" w:eastAsia="SimHei" w:cs="SimHei"/>
          <w:sz w:val="29"/>
          <w:szCs w:val="29"/>
        </w:rPr>
      </w:pPr>
      <w:r>
        <w:rPr>
          <w:rFonts w:ascii="SimHei" w:hAnsi="SimHei" w:eastAsia="SimHei" w:cs="SimHei"/>
          <w:sz w:val="29"/>
          <w:szCs w:val="29"/>
          <w:b/>
          <w:bCs/>
          <w:spacing w:val="-1"/>
        </w:rPr>
        <w:t>上周上交所发出的函件统计(份)</w:t>
      </w:r>
    </w:p>
    <w:p>
      <w:pPr>
        <w:spacing w:before="284" w:line="183" w:lineRule="auto"/>
        <w:rPr>
          <w:rFonts w:ascii="SimSun" w:hAnsi="SimSun" w:eastAsia="SimSun" w:cs="SimSun"/>
          <w:sz w:val="22"/>
          <w:szCs w:val="22"/>
        </w:rPr>
      </w:pPr>
      <w:r>
        <w:rPr>
          <w:rFonts w:ascii="SimSun" w:hAnsi="SimSun" w:eastAsia="SimSun" w:cs="SimSun"/>
          <w:sz w:val="22"/>
          <w:szCs w:val="22"/>
        </w:rPr>
        <w:t>8</w:t>
      </w:r>
    </w:p>
    <w:p>
      <w:pPr>
        <w:pStyle w:val="BodyText"/>
        <w:spacing w:line="263" w:lineRule="auto"/>
        <w:rPr/>
      </w:pPr>
      <w:r/>
    </w:p>
    <w:p>
      <w:pPr>
        <w:pStyle w:val="BodyText"/>
        <w:spacing w:line="264" w:lineRule="auto"/>
        <w:rPr/>
      </w:pPr>
      <w:r/>
    </w:p>
    <w:p>
      <w:pPr>
        <w:ind w:left="4159"/>
        <w:spacing w:before="71" w:line="183" w:lineRule="auto"/>
        <w:rPr>
          <w:rFonts w:ascii="SimSun" w:hAnsi="SimSun" w:eastAsia="SimSun" w:cs="SimSun"/>
          <w:sz w:val="22"/>
          <w:szCs w:val="22"/>
        </w:rPr>
      </w:pPr>
      <w:r>
        <w:rPr>
          <w:rFonts w:ascii="SimSun" w:hAnsi="SimSun" w:eastAsia="SimSun" w:cs="SimSun"/>
          <w:sz w:val="22"/>
          <w:szCs w:val="22"/>
        </w:rPr>
        <w:t>2</w:t>
      </w:r>
    </w:p>
    <w:p>
      <w:pPr>
        <w:ind w:left="2079"/>
        <w:spacing w:before="131" w:line="184" w:lineRule="auto"/>
        <w:rPr>
          <w:rFonts w:ascii="SimSun" w:hAnsi="SimSun" w:eastAsia="SimSun" w:cs="SimSun"/>
          <w:sz w:val="22"/>
          <w:szCs w:val="22"/>
        </w:rPr>
      </w:pPr>
      <w:r>
        <w:rPr>
          <w:rFonts w:ascii="SimSun" w:hAnsi="SimSun" w:eastAsia="SimSun" w:cs="SimSun"/>
          <w:sz w:val="22"/>
          <w:szCs w:val="22"/>
        </w:rPr>
        <w:t>1</w:t>
      </w:r>
    </w:p>
    <w:p>
      <w:pPr>
        <w:spacing w:line="184" w:lineRule="auto"/>
        <w:sectPr>
          <w:type w:val="continuous"/>
          <w:pgSz w:w="11910" w:h="16840"/>
          <w:pgMar w:top="390" w:right="473" w:bottom="0" w:left="429" w:header="0" w:footer="0" w:gutter="0"/>
          <w:cols w:equalWidth="0" w:num="2">
            <w:col w:w="3611" w:space="100"/>
            <w:col w:w="7297" w:space="0"/>
          </w:cols>
        </w:sectPr>
        <w:rPr>
          <w:rFonts w:ascii="SimSun" w:hAnsi="SimSun" w:eastAsia="SimSun" w:cs="SimSun"/>
          <w:sz w:val="22"/>
          <w:szCs w:val="22"/>
        </w:rPr>
      </w:pPr>
    </w:p>
    <w:p>
      <w:pPr>
        <w:spacing w:line="71" w:lineRule="auto"/>
        <w:rPr>
          <w:rFonts w:ascii="Arial"/>
          <w:sz w:val="2"/>
        </w:rPr>
      </w:pPr>
      <w:r>
        <w:rPr>
          <w:rFonts w:ascii="Arial"/>
          <w:sz w:val="2"/>
        </w:rPr>
      </w:r>
    </w:p>
    <w:tbl>
      <w:tblPr>
        <w:tblStyle w:val="TableNormal"/>
        <w:tblW w:w="6939" w:type="dxa"/>
        <w:tblInd w:w="204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703"/>
        <w:gridCol w:w="2077"/>
        <w:gridCol w:w="2087"/>
        <w:gridCol w:w="2072"/>
      </w:tblGrid>
      <w:tr>
        <w:trPr>
          <w:trHeight w:val="409" w:hRule="atLeast"/>
        </w:trPr>
        <w:tc>
          <w:tcPr>
            <w:tcW w:w="703" w:type="dxa"/>
            <w:vAlign w:val="top"/>
          </w:tcPr>
          <w:p>
            <w:pPr>
              <w:rPr>
                <w:rFonts w:ascii="Arial"/>
                <w:sz w:val="21"/>
              </w:rPr>
            </w:pPr>
            <w:r/>
          </w:p>
        </w:tc>
        <w:tc>
          <w:tcPr>
            <w:tcW w:w="2077" w:type="dxa"/>
            <w:vAlign w:val="top"/>
          </w:tcPr>
          <w:p>
            <w:pPr>
              <w:pStyle w:val="TableText"/>
              <w:ind w:left="634"/>
              <w:spacing w:before="110" w:line="219" w:lineRule="auto"/>
              <w:rPr>
                <w:sz w:val="20"/>
                <w:szCs w:val="20"/>
              </w:rPr>
            </w:pPr>
            <w:r>
              <w:rPr>
                <w:sz w:val="20"/>
                <w:szCs w:val="20"/>
                <w:b/>
                <w:bCs/>
                <w:spacing w:val="-4"/>
              </w:rPr>
              <w:t>监管警示</w:t>
            </w:r>
          </w:p>
        </w:tc>
        <w:tc>
          <w:tcPr>
            <w:tcW w:w="2087" w:type="dxa"/>
            <w:vAlign w:val="top"/>
          </w:tcPr>
          <w:p>
            <w:pPr>
              <w:pStyle w:val="TableText"/>
              <w:ind w:left="634"/>
              <w:spacing w:before="113" w:line="219" w:lineRule="auto"/>
              <w:rPr>
                <w:sz w:val="20"/>
                <w:szCs w:val="20"/>
              </w:rPr>
            </w:pPr>
            <w:r>
              <w:rPr>
                <w:sz w:val="20"/>
                <w:szCs w:val="20"/>
                <w:spacing w:val="2"/>
              </w:rPr>
              <w:t>纪律处分</w:t>
            </w:r>
          </w:p>
        </w:tc>
        <w:tc>
          <w:tcPr>
            <w:tcW w:w="2072" w:type="dxa"/>
            <w:vAlign w:val="top"/>
          </w:tcPr>
          <w:p>
            <w:pPr>
              <w:pStyle w:val="TableText"/>
              <w:ind w:left="727"/>
              <w:spacing w:before="114" w:line="221" w:lineRule="auto"/>
              <w:rPr>
                <w:sz w:val="20"/>
                <w:szCs w:val="20"/>
              </w:rPr>
            </w:pPr>
            <w:r>
              <w:rPr>
                <w:sz w:val="20"/>
                <w:szCs w:val="20"/>
                <w:spacing w:val="7"/>
              </w:rPr>
              <w:t>问询函</w:t>
            </w:r>
          </w:p>
        </w:tc>
      </w:tr>
      <w:tr>
        <w:trPr>
          <w:trHeight w:val="390" w:hRule="atLeast"/>
        </w:trPr>
        <w:tc>
          <w:tcPr>
            <w:tcW w:w="703" w:type="dxa"/>
            <w:vAlign w:val="top"/>
          </w:tcPr>
          <w:p>
            <w:pPr>
              <w:pStyle w:val="TableText"/>
              <w:ind w:left="17"/>
              <w:spacing w:before="101" w:line="219" w:lineRule="auto"/>
              <w:rPr>
                <w:sz w:val="20"/>
                <w:szCs w:val="20"/>
              </w:rPr>
            </w:pPr>
            <w:r>
              <w:rPr>
                <w:sz w:val="20"/>
                <w:szCs w:val="20"/>
                <w:b/>
                <w:bCs/>
                <w:color w:val="7E0008"/>
                <w:spacing w:val="-2"/>
              </w:rPr>
              <w:t>■份数</w:t>
            </w:r>
          </w:p>
        </w:tc>
        <w:tc>
          <w:tcPr>
            <w:tcW w:w="2077" w:type="dxa"/>
            <w:vAlign w:val="top"/>
          </w:tcPr>
          <w:p>
            <w:pPr>
              <w:pStyle w:val="TableText"/>
              <w:ind w:left="984"/>
              <w:spacing w:before="154" w:line="183" w:lineRule="auto"/>
              <w:rPr>
                <w:sz w:val="20"/>
                <w:szCs w:val="20"/>
              </w:rPr>
            </w:pPr>
            <w:r>
              <w:rPr>
                <w:sz w:val="20"/>
                <w:szCs w:val="20"/>
                <w:b/>
                <w:bCs/>
                <w:spacing w:val="-3"/>
              </w:rPr>
              <w:t>8</w:t>
            </w:r>
          </w:p>
        </w:tc>
        <w:tc>
          <w:tcPr>
            <w:tcW w:w="2087" w:type="dxa"/>
            <w:vAlign w:val="top"/>
          </w:tcPr>
          <w:p>
            <w:pPr>
              <w:pStyle w:val="TableText"/>
              <w:ind w:left="984"/>
              <w:spacing w:before="154" w:line="184" w:lineRule="auto"/>
              <w:rPr>
                <w:sz w:val="20"/>
                <w:szCs w:val="20"/>
              </w:rPr>
            </w:pPr>
            <w:r>
              <w:rPr>
                <w:sz w:val="20"/>
                <w:szCs w:val="20"/>
              </w:rPr>
              <w:t>1</w:t>
            </w:r>
          </w:p>
        </w:tc>
        <w:tc>
          <w:tcPr>
            <w:tcW w:w="2072" w:type="dxa"/>
            <w:vAlign w:val="top"/>
          </w:tcPr>
          <w:p>
            <w:pPr>
              <w:pStyle w:val="TableText"/>
              <w:ind w:left="977"/>
              <w:spacing w:before="155" w:line="183" w:lineRule="auto"/>
              <w:rPr>
                <w:sz w:val="20"/>
                <w:szCs w:val="20"/>
              </w:rPr>
            </w:pPr>
            <w:r>
              <w:rPr>
                <w:sz w:val="20"/>
                <w:szCs w:val="20"/>
              </w:rPr>
              <w:t>2</w:t>
            </w:r>
          </w:p>
        </w:tc>
      </w:tr>
    </w:tbl>
    <w:p>
      <w:pPr>
        <w:pStyle w:val="BodyText"/>
        <w:spacing w:line="454" w:lineRule="auto"/>
        <w:rPr/>
      </w:pPr>
      <w:r/>
    </w:p>
    <w:p>
      <w:pPr>
        <w:ind w:left="1053"/>
        <w:spacing w:before="72" w:line="221" w:lineRule="auto"/>
        <w:rPr>
          <w:rFonts w:ascii="SimHei" w:hAnsi="SimHei" w:eastAsia="SimHei" w:cs="SimHei"/>
          <w:sz w:val="22"/>
          <w:szCs w:val="22"/>
        </w:rPr>
      </w:pPr>
      <w:r>
        <w:rPr>
          <w:rFonts w:ascii="SimHei" w:hAnsi="SimHei" w:eastAsia="SimHei" w:cs="SimHei"/>
          <w:sz w:val="22"/>
          <w:szCs w:val="22"/>
          <w:b/>
          <w:bCs/>
          <w:spacing w:val="23"/>
        </w:rPr>
        <w:t>(1)监管措施统计</w:t>
      </w:r>
    </w:p>
    <w:p>
      <w:pPr>
        <w:spacing w:before="46"/>
        <w:rPr/>
      </w:pPr>
      <w:r/>
    </w:p>
    <w:tbl>
      <w:tblPr>
        <w:tblStyle w:val="TableNormal"/>
        <w:tblW w:w="8810" w:type="dxa"/>
        <w:tblInd w:w="134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74"/>
        <w:gridCol w:w="1209"/>
        <w:gridCol w:w="1338"/>
        <w:gridCol w:w="4989"/>
      </w:tblGrid>
      <w:tr>
        <w:trPr>
          <w:trHeight w:val="355" w:hRule="atLeast"/>
        </w:trPr>
        <w:tc>
          <w:tcPr>
            <w:shd w:val="clear" w:fill="C0504D"/>
            <w:tcW w:w="8810" w:type="dxa"/>
            <w:vAlign w:val="top"/>
            <w:gridSpan w:val="4"/>
          </w:tcPr>
          <w:p>
            <w:pPr>
              <w:pStyle w:val="TableText"/>
              <w:ind w:left="108"/>
              <w:spacing w:before="109" w:line="207" w:lineRule="auto"/>
              <w:rPr>
                <w:sz w:val="21"/>
                <w:szCs w:val="21"/>
              </w:rPr>
            </w:pPr>
            <w:r>
              <w:rPr>
                <w:sz w:val="21"/>
                <w:szCs w:val="21"/>
                <w:b/>
                <w:bCs/>
                <w:color w:val="FFFFFF"/>
                <w:spacing w:val="-3"/>
              </w:rPr>
              <w:t>公司代码</w:t>
            </w:r>
            <w:r>
              <w:rPr>
                <w:sz w:val="21"/>
                <w:szCs w:val="21"/>
                <w:color w:val="FFFFFF"/>
                <w:spacing w:val="-3"/>
              </w:rPr>
              <w:t xml:space="preserve">    </w:t>
            </w:r>
            <w:r>
              <w:rPr>
                <w:sz w:val="21"/>
                <w:szCs w:val="21"/>
                <w:b/>
                <w:bCs/>
                <w:color w:val="FFFFFF"/>
                <w:spacing w:val="-3"/>
              </w:rPr>
              <w:t>公司简称</w:t>
            </w:r>
            <w:r>
              <w:rPr>
                <w:sz w:val="21"/>
                <w:szCs w:val="21"/>
                <w:color w:val="FFFFFF"/>
                <w:spacing w:val="44"/>
              </w:rPr>
              <w:t xml:space="preserve">  </w:t>
            </w:r>
            <w:r>
              <w:rPr>
                <w:sz w:val="21"/>
                <w:szCs w:val="21"/>
                <w:b/>
                <w:bCs/>
                <w:color w:val="FFFFFF"/>
                <w:spacing w:val="-3"/>
              </w:rPr>
              <w:t>函件类别</w:t>
            </w:r>
            <w:r>
              <w:rPr>
                <w:sz w:val="21"/>
                <w:szCs w:val="21"/>
                <w:color w:val="FFFFFF"/>
                <w:spacing w:val="1"/>
              </w:rPr>
              <w:t xml:space="preserve">                          </w:t>
            </w:r>
            <w:r>
              <w:rPr>
                <w:sz w:val="21"/>
                <w:szCs w:val="21"/>
                <w:b/>
                <w:bCs/>
                <w:color w:val="FFFFFF"/>
                <w:spacing w:val="-3"/>
              </w:rPr>
              <w:t>违规类型</w:t>
            </w:r>
          </w:p>
        </w:tc>
      </w:tr>
      <w:tr>
        <w:trPr>
          <w:trHeight w:val="1847" w:hRule="atLeast"/>
        </w:trPr>
        <w:tc>
          <w:tcPr>
            <w:tcW w:w="1274" w:type="dxa"/>
            <w:vAlign w:val="top"/>
          </w:tcPr>
          <w:p>
            <w:pPr>
              <w:pStyle w:val="TableText"/>
              <w:ind w:left="85"/>
              <w:spacing w:before="171" w:line="184" w:lineRule="auto"/>
              <w:rPr>
                <w:sz w:val="21"/>
                <w:szCs w:val="21"/>
              </w:rPr>
            </w:pPr>
            <w:r>
              <w:rPr>
                <w:sz w:val="21"/>
                <w:szCs w:val="21"/>
                <w:spacing w:val="-2"/>
              </w:rPr>
              <w:t>603918</w:t>
            </w:r>
          </w:p>
        </w:tc>
        <w:tc>
          <w:tcPr>
            <w:tcW w:w="1209" w:type="dxa"/>
            <w:vAlign w:val="top"/>
          </w:tcPr>
          <w:p>
            <w:pPr>
              <w:pStyle w:val="TableText"/>
              <w:ind w:left="101"/>
              <w:spacing w:before="118" w:line="219" w:lineRule="auto"/>
              <w:rPr>
                <w:sz w:val="21"/>
                <w:szCs w:val="21"/>
              </w:rPr>
            </w:pPr>
            <w:r>
              <w:rPr>
                <w:sz w:val="21"/>
                <w:szCs w:val="21"/>
                <w:spacing w:val="3"/>
              </w:rPr>
              <w:t>金桥信息</w:t>
            </w:r>
          </w:p>
        </w:tc>
        <w:tc>
          <w:tcPr>
            <w:tcW w:w="1338" w:type="dxa"/>
            <w:vAlign w:val="top"/>
          </w:tcPr>
          <w:p>
            <w:pPr>
              <w:pStyle w:val="TableText"/>
              <w:ind w:left="12"/>
              <w:spacing w:before="118" w:line="219" w:lineRule="auto"/>
              <w:rPr>
                <w:sz w:val="21"/>
                <w:szCs w:val="21"/>
              </w:rPr>
            </w:pPr>
            <w:r>
              <w:rPr>
                <w:sz w:val="21"/>
                <w:szCs w:val="21"/>
                <w:spacing w:val="-2"/>
              </w:rPr>
              <w:t>监管警示</w:t>
            </w:r>
          </w:p>
        </w:tc>
        <w:tc>
          <w:tcPr>
            <w:tcW w:w="4989" w:type="dxa"/>
            <w:vAlign w:val="top"/>
          </w:tcPr>
          <w:p>
            <w:pPr>
              <w:pStyle w:val="TableText"/>
              <w:ind w:left="14"/>
              <w:spacing w:before="115" w:line="219" w:lineRule="auto"/>
              <w:rPr>
                <w:sz w:val="21"/>
                <w:szCs w:val="21"/>
              </w:rPr>
            </w:pPr>
            <w:r>
              <w:rPr>
                <w:sz w:val="21"/>
                <w:szCs w:val="21"/>
                <w:spacing w:val="-1"/>
              </w:rPr>
              <w:t>公司在</w:t>
            </w:r>
            <w:r>
              <w:rPr>
                <w:sz w:val="21"/>
                <w:szCs w:val="21"/>
                <w:b/>
                <w:bCs/>
                <w:spacing w:val="-1"/>
              </w:rPr>
              <w:t>上证e互动平台</w:t>
            </w:r>
            <w:r>
              <w:rPr>
                <w:sz w:val="21"/>
                <w:szCs w:val="21"/>
                <w:spacing w:val="-1"/>
              </w:rPr>
              <w:t>多次发布多元解纷平台涉及的</w:t>
            </w:r>
          </w:p>
          <w:p>
            <w:pPr>
              <w:pStyle w:val="TableText"/>
              <w:ind w:left="101" w:hanging="101"/>
              <w:spacing w:before="142" w:line="292" w:lineRule="auto"/>
              <w:rPr>
                <w:sz w:val="21"/>
                <w:szCs w:val="21"/>
              </w:rPr>
            </w:pPr>
            <w:r>
              <w:rPr>
                <w:sz w:val="21"/>
                <w:szCs w:val="21"/>
                <w:spacing w:val="-7"/>
              </w:rPr>
              <w:t>“人工智能技术”   “大模型”相关信息，既未准确、</w:t>
            </w:r>
            <w:r>
              <w:rPr>
                <w:sz w:val="21"/>
                <w:szCs w:val="21"/>
                <w:spacing w:val="15"/>
              </w:rPr>
              <w:t xml:space="preserve"> </w:t>
            </w:r>
            <w:r>
              <w:rPr>
                <w:sz w:val="21"/>
                <w:szCs w:val="21"/>
                <w:spacing w:val="-7"/>
              </w:rPr>
              <w:t>完整地回复投资者提问，也未根据公司实际情况说明</w:t>
            </w:r>
            <w:r>
              <w:rPr>
                <w:sz w:val="21"/>
                <w:szCs w:val="21"/>
                <w:spacing w:val="1"/>
              </w:rPr>
              <w:t xml:space="preserve">   </w:t>
            </w:r>
            <w:r>
              <w:rPr>
                <w:sz w:val="21"/>
                <w:szCs w:val="21"/>
                <w:spacing w:val="-8"/>
              </w:rPr>
              <w:t>相关业务开展情况及对业绩影响的不确定性</w:t>
            </w:r>
            <w:r>
              <w:rPr>
                <w:sz w:val="21"/>
                <w:szCs w:val="21"/>
                <w:spacing w:val="-9"/>
              </w:rPr>
              <w:t>风险，发</w:t>
            </w:r>
            <w:r>
              <w:rPr>
                <w:sz w:val="21"/>
                <w:szCs w:val="21"/>
              </w:rPr>
              <w:t xml:space="preserve">   </w:t>
            </w:r>
            <w:r>
              <w:rPr>
                <w:sz w:val="21"/>
                <w:szCs w:val="21"/>
                <w:spacing w:val="-8"/>
              </w:rPr>
              <w:t>布信息不准确、不完整。</w:t>
            </w:r>
          </w:p>
        </w:tc>
      </w:tr>
      <w:tr>
        <w:trPr>
          <w:trHeight w:val="719" w:hRule="atLeast"/>
        </w:trPr>
        <w:tc>
          <w:tcPr>
            <w:shd w:val="clear" w:fill="F1DBDB"/>
            <w:tcW w:w="1274" w:type="dxa"/>
            <w:vAlign w:val="top"/>
          </w:tcPr>
          <w:p>
            <w:pPr>
              <w:pStyle w:val="TableText"/>
              <w:ind w:left="85"/>
              <w:spacing w:before="155" w:line="183" w:lineRule="auto"/>
              <w:rPr>
                <w:sz w:val="21"/>
                <w:szCs w:val="21"/>
              </w:rPr>
            </w:pPr>
            <w:r>
              <w:rPr>
                <w:sz w:val="21"/>
                <w:szCs w:val="21"/>
                <w:spacing w:val="-2"/>
              </w:rPr>
              <w:t>603235</w:t>
            </w:r>
          </w:p>
        </w:tc>
        <w:tc>
          <w:tcPr>
            <w:shd w:val="clear" w:fill="F1DBDB"/>
            <w:tcW w:w="1209" w:type="dxa"/>
            <w:vAlign w:val="top"/>
          </w:tcPr>
          <w:p>
            <w:pPr>
              <w:pStyle w:val="TableText"/>
              <w:ind w:left="101"/>
              <w:spacing w:before="102" w:line="220" w:lineRule="auto"/>
              <w:rPr>
                <w:sz w:val="21"/>
                <w:szCs w:val="21"/>
              </w:rPr>
            </w:pPr>
            <w:r>
              <w:rPr>
                <w:sz w:val="21"/>
                <w:szCs w:val="21"/>
                <w:spacing w:val="-3"/>
              </w:rPr>
              <w:t>天新药业</w:t>
            </w:r>
          </w:p>
        </w:tc>
        <w:tc>
          <w:tcPr>
            <w:shd w:val="clear" w:fill="F1DBDB"/>
            <w:tcW w:w="1338" w:type="dxa"/>
            <w:vAlign w:val="top"/>
          </w:tcPr>
          <w:p>
            <w:pPr>
              <w:pStyle w:val="TableText"/>
              <w:ind w:left="12"/>
              <w:spacing w:before="101" w:line="219" w:lineRule="auto"/>
              <w:rPr>
                <w:sz w:val="21"/>
                <w:szCs w:val="21"/>
              </w:rPr>
            </w:pPr>
            <w:r>
              <w:rPr>
                <w:sz w:val="21"/>
                <w:szCs w:val="21"/>
                <w:spacing w:val="-2"/>
              </w:rPr>
              <w:t>监管警示</w:t>
            </w:r>
          </w:p>
        </w:tc>
        <w:tc>
          <w:tcPr>
            <w:shd w:val="clear" w:fill="F1DBDB"/>
            <w:tcW w:w="4989" w:type="dxa"/>
            <w:vAlign w:val="top"/>
          </w:tcPr>
          <w:p>
            <w:pPr>
              <w:pStyle w:val="TableText"/>
              <w:ind w:left="14"/>
              <w:spacing w:before="107" w:line="219" w:lineRule="auto"/>
              <w:rPr>
                <w:sz w:val="21"/>
                <w:szCs w:val="21"/>
              </w:rPr>
            </w:pPr>
            <w:r>
              <w:rPr>
                <w:sz w:val="21"/>
                <w:szCs w:val="21"/>
              </w:rPr>
              <w:t>公司选举独立董事，未在规定时间内履</w:t>
            </w:r>
            <w:r>
              <w:rPr>
                <w:sz w:val="21"/>
                <w:szCs w:val="21"/>
                <w:b/>
                <w:bCs/>
              </w:rPr>
              <w:t>行报送材料的</w:t>
            </w:r>
          </w:p>
          <w:p>
            <w:pPr>
              <w:pStyle w:val="TableText"/>
              <w:ind w:left="14"/>
              <w:spacing w:before="105" w:line="217" w:lineRule="auto"/>
              <w:rPr>
                <w:sz w:val="21"/>
                <w:szCs w:val="21"/>
              </w:rPr>
            </w:pPr>
            <w:r>
              <w:rPr>
                <w:sz w:val="21"/>
                <w:szCs w:val="21"/>
                <w:color w:val="7C2500"/>
                <w:spacing w:val="-1"/>
              </w:rPr>
              <w:t>相关程序。</w:t>
            </w:r>
          </w:p>
        </w:tc>
      </w:tr>
      <w:tr>
        <w:trPr>
          <w:trHeight w:val="380" w:hRule="atLeast"/>
        </w:trPr>
        <w:tc>
          <w:tcPr>
            <w:tcW w:w="1274" w:type="dxa"/>
            <w:vAlign w:val="top"/>
          </w:tcPr>
          <w:p>
            <w:pPr>
              <w:pStyle w:val="TableText"/>
              <w:ind w:left="85"/>
              <w:spacing w:before="146" w:line="183" w:lineRule="auto"/>
              <w:rPr>
                <w:sz w:val="21"/>
                <w:szCs w:val="21"/>
              </w:rPr>
            </w:pPr>
            <w:r>
              <w:rPr>
                <w:sz w:val="21"/>
                <w:szCs w:val="21"/>
                <w:spacing w:val="-2"/>
              </w:rPr>
              <w:t>603628</w:t>
            </w:r>
          </w:p>
        </w:tc>
        <w:tc>
          <w:tcPr>
            <w:tcW w:w="1209" w:type="dxa"/>
            <w:vAlign w:val="top"/>
          </w:tcPr>
          <w:p>
            <w:pPr>
              <w:pStyle w:val="TableText"/>
              <w:ind w:left="101"/>
              <w:spacing w:before="92" w:line="219" w:lineRule="auto"/>
              <w:rPr>
                <w:sz w:val="21"/>
                <w:szCs w:val="21"/>
              </w:rPr>
            </w:pPr>
            <w:r>
              <w:rPr>
                <w:sz w:val="21"/>
                <w:szCs w:val="21"/>
                <w:spacing w:val="-2"/>
              </w:rPr>
              <w:t>清源股份</w:t>
            </w:r>
          </w:p>
        </w:tc>
        <w:tc>
          <w:tcPr>
            <w:tcW w:w="1338" w:type="dxa"/>
            <w:vAlign w:val="top"/>
          </w:tcPr>
          <w:p>
            <w:pPr>
              <w:pStyle w:val="TableText"/>
              <w:ind w:left="12"/>
              <w:spacing w:before="92" w:line="219" w:lineRule="auto"/>
              <w:rPr>
                <w:sz w:val="21"/>
                <w:szCs w:val="21"/>
              </w:rPr>
            </w:pPr>
            <w:r>
              <w:rPr>
                <w:sz w:val="21"/>
                <w:szCs w:val="21"/>
                <w:spacing w:val="4"/>
              </w:rPr>
              <w:t>监管工作函</w:t>
            </w:r>
          </w:p>
        </w:tc>
        <w:tc>
          <w:tcPr>
            <w:tcW w:w="4989" w:type="dxa"/>
            <w:vAlign w:val="top"/>
          </w:tcPr>
          <w:p>
            <w:pPr>
              <w:pStyle w:val="TableText"/>
              <w:ind w:left="14"/>
              <w:spacing w:before="87" w:line="218" w:lineRule="auto"/>
              <w:rPr>
                <w:sz w:val="21"/>
                <w:szCs w:val="21"/>
              </w:rPr>
            </w:pPr>
            <w:r>
              <w:rPr>
                <w:sz w:val="21"/>
                <w:szCs w:val="21"/>
                <w:spacing w:val="-1"/>
              </w:rPr>
              <w:t>就公司</w:t>
            </w:r>
            <w:r>
              <w:rPr>
                <w:sz w:val="21"/>
                <w:szCs w:val="21"/>
                <w:b/>
                <w:bCs/>
                <w:spacing w:val="-1"/>
              </w:rPr>
              <w:t>股价波动</w:t>
            </w:r>
            <w:r>
              <w:rPr>
                <w:sz w:val="21"/>
                <w:szCs w:val="21"/>
                <w:spacing w:val="-1"/>
              </w:rPr>
              <w:t>等事项明确监管要求。</w:t>
            </w:r>
          </w:p>
        </w:tc>
      </w:tr>
      <w:tr>
        <w:trPr>
          <w:trHeight w:val="729" w:hRule="atLeast"/>
        </w:trPr>
        <w:tc>
          <w:tcPr>
            <w:shd w:val="clear" w:fill="F1DBDB"/>
            <w:tcW w:w="1274" w:type="dxa"/>
            <w:vAlign w:val="top"/>
          </w:tcPr>
          <w:p>
            <w:pPr>
              <w:pStyle w:val="TableText"/>
              <w:ind w:left="85"/>
              <w:spacing w:before="156" w:line="183" w:lineRule="auto"/>
              <w:rPr>
                <w:sz w:val="21"/>
                <w:szCs w:val="21"/>
              </w:rPr>
            </w:pPr>
            <w:r>
              <w:rPr>
                <w:sz w:val="21"/>
                <w:szCs w:val="21"/>
                <w:spacing w:val="-2"/>
              </w:rPr>
              <w:t>603803</w:t>
            </w:r>
          </w:p>
        </w:tc>
        <w:tc>
          <w:tcPr>
            <w:shd w:val="clear" w:fill="F1DBDB"/>
            <w:tcW w:w="1209" w:type="dxa"/>
            <w:vAlign w:val="top"/>
          </w:tcPr>
          <w:p>
            <w:pPr>
              <w:pStyle w:val="TableText"/>
              <w:ind w:left="101"/>
              <w:spacing w:before="102" w:line="219" w:lineRule="auto"/>
              <w:rPr>
                <w:sz w:val="21"/>
                <w:szCs w:val="21"/>
              </w:rPr>
            </w:pPr>
            <w:r>
              <w:rPr>
                <w:sz w:val="21"/>
                <w:szCs w:val="21"/>
                <w:spacing w:val="-2"/>
              </w:rPr>
              <w:t>瑞斯康达</w:t>
            </w:r>
          </w:p>
        </w:tc>
        <w:tc>
          <w:tcPr>
            <w:shd w:val="clear" w:fill="F1DBDB"/>
            <w:tcW w:w="1338" w:type="dxa"/>
            <w:vAlign w:val="top"/>
          </w:tcPr>
          <w:p>
            <w:pPr>
              <w:pStyle w:val="TableText"/>
              <w:ind w:left="12"/>
              <w:spacing w:before="102" w:line="219" w:lineRule="auto"/>
              <w:rPr>
                <w:sz w:val="21"/>
                <w:szCs w:val="21"/>
              </w:rPr>
            </w:pPr>
            <w:r>
              <w:rPr>
                <w:sz w:val="21"/>
                <w:szCs w:val="21"/>
                <w:spacing w:val="-2"/>
              </w:rPr>
              <w:t>监管警示</w:t>
            </w:r>
          </w:p>
        </w:tc>
        <w:tc>
          <w:tcPr>
            <w:shd w:val="clear" w:fill="F1DBDB"/>
            <w:tcW w:w="4989" w:type="dxa"/>
            <w:vAlign w:val="top"/>
          </w:tcPr>
          <w:p>
            <w:pPr>
              <w:pStyle w:val="TableText"/>
              <w:ind w:left="14" w:right="134"/>
              <w:spacing w:before="110" w:line="255" w:lineRule="auto"/>
              <w:rPr>
                <w:sz w:val="21"/>
                <w:szCs w:val="21"/>
              </w:rPr>
            </w:pPr>
            <w:r>
              <w:rPr>
                <w:sz w:val="21"/>
                <w:szCs w:val="21"/>
                <w:spacing w:val="-1"/>
              </w:rPr>
              <w:t>公司</w:t>
            </w:r>
            <w:r>
              <w:rPr>
                <w:sz w:val="21"/>
                <w:szCs w:val="21"/>
                <w:b/>
                <w:bCs/>
                <w:spacing w:val="-1"/>
              </w:rPr>
              <w:t>虚构专网通信业务</w:t>
            </w:r>
            <w:r>
              <w:rPr>
                <w:sz w:val="21"/>
                <w:szCs w:val="21"/>
                <w:spacing w:val="-1"/>
              </w:rPr>
              <w:t>，2019年、2020年年度报告存</w:t>
            </w:r>
            <w:r>
              <w:rPr>
                <w:sz w:val="21"/>
                <w:szCs w:val="21"/>
                <w:spacing w:val="8"/>
              </w:rPr>
              <w:t xml:space="preserve"> </w:t>
            </w:r>
            <w:r>
              <w:rPr>
                <w:sz w:val="21"/>
                <w:szCs w:val="21"/>
                <w:spacing w:val="-1"/>
              </w:rPr>
              <w:t>在虚假记载。</w:t>
            </w:r>
          </w:p>
        </w:tc>
      </w:tr>
      <w:tr>
        <w:trPr>
          <w:trHeight w:val="719" w:hRule="atLeast"/>
        </w:trPr>
        <w:tc>
          <w:tcPr>
            <w:tcW w:w="1274" w:type="dxa"/>
            <w:vAlign w:val="top"/>
          </w:tcPr>
          <w:p>
            <w:pPr>
              <w:pStyle w:val="TableText"/>
              <w:ind w:left="85"/>
              <w:spacing w:before="147" w:line="183" w:lineRule="auto"/>
              <w:rPr>
                <w:sz w:val="21"/>
                <w:szCs w:val="21"/>
              </w:rPr>
            </w:pPr>
            <w:r>
              <w:rPr>
                <w:sz w:val="21"/>
                <w:szCs w:val="21"/>
                <w:spacing w:val="-2"/>
              </w:rPr>
              <w:t>600338</w:t>
            </w:r>
          </w:p>
        </w:tc>
        <w:tc>
          <w:tcPr>
            <w:tcW w:w="1209" w:type="dxa"/>
            <w:vAlign w:val="top"/>
          </w:tcPr>
          <w:p>
            <w:pPr>
              <w:pStyle w:val="TableText"/>
              <w:ind w:left="101"/>
              <w:spacing w:before="93" w:line="219" w:lineRule="auto"/>
              <w:rPr>
                <w:sz w:val="21"/>
                <w:szCs w:val="21"/>
              </w:rPr>
            </w:pPr>
            <w:r>
              <w:rPr>
                <w:sz w:val="21"/>
                <w:szCs w:val="21"/>
                <w:spacing w:val="2"/>
              </w:rPr>
              <w:t>西藏珠峰</w:t>
            </w:r>
          </w:p>
        </w:tc>
        <w:tc>
          <w:tcPr>
            <w:tcW w:w="1338" w:type="dxa"/>
            <w:vAlign w:val="top"/>
          </w:tcPr>
          <w:p>
            <w:pPr>
              <w:pStyle w:val="TableText"/>
              <w:ind w:left="12"/>
              <w:spacing w:before="93" w:line="219" w:lineRule="auto"/>
              <w:rPr>
                <w:sz w:val="21"/>
                <w:szCs w:val="21"/>
              </w:rPr>
            </w:pPr>
            <w:r>
              <w:rPr>
                <w:sz w:val="21"/>
                <w:szCs w:val="21"/>
                <w:spacing w:val="-2"/>
              </w:rPr>
              <w:t>监管警示</w:t>
            </w:r>
          </w:p>
        </w:tc>
        <w:tc>
          <w:tcPr>
            <w:tcW w:w="4989" w:type="dxa"/>
            <w:vAlign w:val="top"/>
          </w:tcPr>
          <w:p>
            <w:pPr>
              <w:pStyle w:val="TableText"/>
              <w:ind w:left="14" w:right="145"/>
              <w:spacing w:before="110" w:line="263" w:lineRule="auto"/>
              <w:rPr>
                <w:sz w:val="21"/>
                <w:szCs w:val="21"/>
              </w:rPr>
            </w:pPr>
            <w:r>
              <w:rPr>
                <w:sz w:val="21"/>
                <w:szCs w:val="21"/>
                <w:spacing w:val="-1"/>
              </w:rPr>
              <w:t>存在未经审议及披露的</w:t>
            </w:r>
            <w:r>
              <w:rPr>
                <w:sz w:val="21"/>
                <w:szCs w:val="21"/>
                <w:b/>
                <w:bCs/>
                <w:spacing w:val="-1"/>
              </w:rPr>
              <w:t>关联交易；</w:t>
            </w:r>
            <w:r>
              <w:rPr>
                <w:sz w:val="21"/>
                <w:szCs w:val="21"/>
                <w:spacing w:val="-1"/>
              </w:rPr>
              <w:t>2017年度、2018年</w:t>
            </w:r>
            <w:r>
              <w:rPr>
                <w:sz w:val="21"/>
                <w:szCs w:val="21"/>
                <w:spacing w:val="4"/>
              </w:rPr>
              <w:t xml:space="preserve"> </w:t>
            </w:r>
            <w:r>
              <w:rPr>
                <w:sz w:val="21"/>
                <w:szCs w:val="21"/>
                <w:spacing w:val="-1"/>
              </w:rPr>
              <w:t>半年度、2018年度财务报告</w:t>
            </w:r>
            <w:r>
              <w:rPr>
                <w:sz w:val="21"/>
                <w:szCs w:val="21"/>
                <w:b/>
                <w:bCs/>
                <w:spacing w:val="-1"/>
              </w:rPr>
              <w:t>不准确。</w:t>
            </w:r>
          </w:p>
        </w:tc>
      </w:tr>
      <w:tr>
        <w:trPr>
          <w:trHeight w:val="379" w:hRule="atLeast"/>
        </w:trPr>
        <w:tc>
          <w:tcPr>
            <w:shd w:val="clear" w:fill="F2DCDC"/>
            <w:tcW w:w="1274" w:type="dxa"/>
            <w:vAlign w:val="top"/>
          </w:tcPr>
          <w:p>
            <w:pPr>
              <w:pStyle w:val="TableText"/>
              <w:ind w:left="85"/>
              <w:spacing w:before="148" w:line="183" w:lineRule="auto"/>
              <w:rPr>
                <w:sz w:val="21"/>
                <w:szCs w:val="21"/>
              </w:rPr>
            </w:pPr>
            <w:r>
              <w:rPr>
                <w:sz w:val="21"/>
                <w:szCs w:val="21"/>
                <w:spacing w:val="-2"/>
              </w:rPr>
              <w:t>600997</w:t>
            </w:r>
          </w:p>
        </w:tc>
        <w:tc>
          <w:tcPr>
            <w:shd w:val="clear" w:fill="F2DCDC"/>
            <w:tcW w:w="1209" w:type="dxa"/>
            <w:vAlign w:val="top"/>
          </w:tcPr>
          <w:p>
            <w:pPr>
              <w:pStyle w:val="TableText"/>
              <w:ind w:left="101"/>
              <w:spacing w:before="94" w:line="219" w:lineRule="auto"/>
              <w:rPr>
                <w:sz w:val="21"/>
                <w:szCs w:val="21"/>
              </w:rPr>
            </w:pPr>
            <w:r>
              <w:rPr>
                <w:sz w:val="21"/>
                <w:szCs w:val="21"/>
                <w:spacing w:val="-2"/>
              </w:rPr>
              <w:t>开滦股份</w:t>
            </w:r>
          </w:p>
        </w:tc>
        <w:tc>
          <w:tcPr>
            <w:shd w:val="clear" w:fill="F1DBDB"/>
            <w:tcW w:w="1338" w:type="dxa"/>
            <w:vAlign w:val="top"/>
          </w:tcPr>
          <w:p>
            <w:pPr>
              <w:pStyle w:val="TableText"/>
              <w:ind w:left="12"/>
              <w:spacing w:before="94" w:line="219" w:lineRule="auto"/>
              <w:rPr>
                <w:sz w:val="21"/>
                <w:szCs w:val="21"/>
              </w:rPr>
            </w:pPr>
            <w:r>
              <w:rPr>
                <w:sz w:val="21"/>
                <w:szCs w:val="21"/>
                <w:spacing w:val="-2"/>
              </w:rPr>
              <w:t>通报批评</w:t>
            </w:r>
          </w:p>
        </w:tc>
        <w:tc>
          <w:tcPr>
            <w:shd w:val="clear" w:fill="F1DBDB"/>
            <w:tcW w:w="4989" w:type="dxa"/>
            <w:vAlign w:val="top"/>
          </w:tcPr>
          <w:p>
            <w:pPr>
              <w:pStyle w:val="TableText"/>
              <w:ind w:left="14"/>
              <w:spacing w:before="92" w:line="219" w:lineRule="auto"/>
              <w:rPr>
                <w:sz w:val="21"/>
                <w:szCs w:val="21"/>
              </w:rPr>
            </w:pPr>
            <w:r>
              <w:rPr>
                <w:sz w:val="21"/>
                <w:szCs w:val="21"/>
                <w:spacing w:val="-1"/>
              </w:rPr>
              <w:t>公司存在</w:t>
            </w:r>
            <w:r>
              <w:rPr>
                <w:sz w:val="21"/>
                <w:szCs w:val="21"/>
                <w:b/>
                <w:bCs/>
                <w:spacing w:val="-1"/>
              </w:rPr>
              <w:t>非经营性资金占用</w:t>
            </w:r>
            <w:r>
              <w:rPr>
                <w:sz w:val="21"/>
                <w:szCs w:val="21"/>
                <w:spacing w:val="-1"/>
              </w:rPr>
              <w:t>，相关信息披露不及时。</w:t>
            </w:r>
          </w:p>
        </w:tc>
      </w:tr>
      <w:tr>
        <w:trPr>
          <w:trHeight w:val="1088" w:hRule="atLeast"/>
        </w:trPr>
        <w:tc>
          <w:tcPr>
            <w:tcW w:w="1274" w:type="dxa"/>
            <w:vAlign w:val="top"/>
          </w:tcPr>
          <w:p>
            <w:pPr>
              <w:pStyle w:val="TableText"/>
              <w:ind w:left="85"/>
              <w:spacing w:before="148" w:line="184" w:lineRule="auto"/>
              <w:rPr>
                <w:sz w:val="21"/>
                <w:szCs w:val="21"/>
              </w:rPr>
            </w:pPr>
            <w:r>
              <w:rPr>
                <w:sz w:val="21"/>
                <w:szCs w:val="21"/>
                <w:spacing w:val="-2"/>
              </w:rPr>
              <w:t>688681</w:t>
            </w:r>
          </w:p>
        </w:tc>
        <w:tc>
          <w:tcPr>
            <w:tcW w:w="1209" w:type="dxa"/>
            <w:vAlign w:val="top"/>
          </w:tcPr>
          <w:p>
            <w:pPr>
              <w:pStyle w:val="TableText"/>
              <w:ind w:left="101"/>
              <w:spacing w:before="94" w:line="219" w:lineRule="auto"/>
              <w:rPr>
                <w:sz w:val="21"/>
                <w:szCs w:val="21"/>
              </w:rPr>
            </w:pPr>
            <w:r>
              <w:rPr>
                <w:sz w:val="21"/>
                <w:szCs w:val="21"/>
                <w:spacing w:val="-2"/>
              </w:rPr>
              <w:t>科汇股份</w:t>
            </w:r>
          </w:p>
        </w:tc>
        <w:tc>
          <w:tcPr>
            <w:tcW w:w="1338" w:type="dxa"/>
            <w:vAlign w:val="top"/>
          </w:tcPr>
          <w:p>
            <w:pPr>
              <w:pStyle w:val="TableText"/>
              <w:ind w:left="12"/>
              <w:spacing w:before="95" w:line="219" w:lineRule="auto"/>
              <w:rPr>
                <w:sz w:val="21"/>
                <w:szCs w:val="21"/>
              </w:rPr>
            </w:pPr>
            <w:r>
              <w:rPr>
                <w:sz w:val="21"/>
                <w:szCs w:val="21"/>
                <w:spacing w:val="-2"/>
              </w:rPr>
              <w:t>监管警示</w:t>
            </w:r>
          </w:p>
        </w:tc>
        <w:tc>
          <w:tcPr>
            <w:tcW w:w="4989" w:type="dxa"/>
            <w:vAlign w:val="top"/>
          </w:tcPr>
          <w:p>
            <w:pPr>
              <w:pStyle w:val="TableText"/>
              <w:ind w:left="17" w:right="139"/>
              <w:spacing w:before="112" w:line="263" w:lineRule="auto"/>
              <w:rPr>
                <w:sz w:val="21"/>
                <w:szCs w:val="21"/>
              </w:rPr>
            </w:pPr>
            <w:r>
              <w:rPr>
                <w:sz w:val="21"/>
                <w:szCs w:val="21"/>
                <w:b/>
                <w:bCs/>
                <w:spacing w:val="-1"/>
              </w:rPr>
              <w:t>募集资金</w:t>
            </w:r>
            <w:r>
              <w:rPr>
                <w:sz w:val="21"/>
                <w:szCs w:val="21"/>
                <w:spacing w:val="-1"/>
              </w:rPr>
              <w:t>管理使用不规范，相关信息披露不准确；</w:t>
            </w:r>
            <w:r>
              <w:rPr>
                <w:sz w:val="21"/>
                <w:szCs w:val="21"/>
                <w:b/>
                <w:bCs/>
                <w:spacing w:val="-1"/>
              </w:rPr>
              <w:t>政</w:t>
            </w:r>
            <w:r>
              <w:rPr>
                <w:sz w:val="21"/>
                <w:szCs w:val="21"/>
                <w:spacing w:val="3"/>
              </w:rPr>
              <w:t xml:space="preserve"> </w:t>
            </w:r>
            <w:r>
              <w:rPr>
                <w:sz w:val="21"/>
                <w:szCs w:val="21"/>
                <w:b/>
                <w:bCs/>
                <w:spacing w:val="-1"/>
              </w:rPr>
              <w:t>府补助</w:t>
            </w:r>
            <w:r>
              <w:rPr>
                <w:sz w:val="21"/>
                <w:szCs w:val="21"/>
                <w:spacing w:val="-1"/>
              </w:rPr>
              <w:t>事项披露不及时；</w:t>
            </w:r>
            <w:r>
              <w:rPr>
                <w:sz w:val="21"/>
                <w:szCs w:val="21"/>
                <w:b/>
                <w:bCs/>
                <w:spacing w:val="-1"/>
              </w:rPr>
              <w:t>关联交易</w:t>
            </w:r>
            <w:r>
              <w:rPr>
                <w:sz w:val="21"/>
                <w:szCs w:val="21"/>
                <w:spacing w:val="-1"/>
              </w:rPr>
              <w:t>审议程序不规范</w:t>
            </w:r>
          </w:p>
          <w:p>
            <w:pPr>
              <w:pStyle w:val="TableText"/>
              <w:ind w:left="14"/>
              <w:spacing w:before="115" w:line="219" w:lineRule="auto"/>
              <w:rPr>
                <w:sz w:val="21"/>
                <w:szCs w:val="21"/>
              </w:rPr>
            </w:pPr>
            <w:r>
              <w:rPr>
                <w:sz w:val="21"/>
                <w:szCs w:val="21"/>
                <w:spacing w:val="-1"/>
              </w:rPr>
              <w:t>相关信息披露不及时。</w:t>
            </w:r>
          </w:p>
        </w:tc>
      </w:tr>
      <w:tr>
        <w:trPr>
          <w:trHeight w:val="1078" w:hRule="atLeast"/>
        </w:trPr>
        <w:tc>
          <w:tcPr>
            <w:shd w:val="clear" w:fill="F1DBDB"/>
            <w:tcW w:w="1274" w:type="dxa"/>
            <w:vAlign w:val="top"/>
          </w:tcPr>
          <w:p>
            <w:pPr>
              <w:pStyle w:val="TableText"/>
              <w:ind w:left="85"/>
              <w:spacing w:before="161" w:line="183" w:lineRule="auto"/>
              <w:rPr>
                <w:sz w:val="21"/>
                <w:szCs w:val="21"/>
              </w:rPr>
            </w:pPr>
            <w:r>
              <w:rPr>
                <w:sz w:val="21"/>
                <w:szCs w:val="21"/>
                <w:spacing w:val="-2"/>
              </w:rPr>
              <w:t>603803</w:t>
            </w:r>
          </w:p>
        </w:tc>
        <w:tc>
          <w:tcPr>
            <w:shd w:val="clear" w:fill="F1DBDB"/>
            <w:tcW w:w="1209" w:type="dxa"/>
            <w:vAlign w:val="top"/>
          </w:tcPr>
          <w:p>
            <w:pPr>
              <w:pStyle w:val="TableText"/>
              <w:ind w:left="101"/>
              <w:spacing w:before="87" w:line="219" w:lineRule="auto"/>
              <w:rPr>
                <w:sz w:val="21"/>
                <w:szCs w:val="21"/>
              </w:rPr>
            </w:pPr>
            <w:r>
              <w:rPr>
                <w:sz w:val="21"/>
                <w:szCs w:val="21"/>
                <w:spacing w:val="-2"/>
              </w:rPr>
              <w:t>瑞斯康达</w:t>
            </w:r>
          </w:p>
        </w:tc>
        <w:tc>
          <w:tcPr>
            <w:shd w:val="clear" w:fill="F1DBDB"/>
            <w:tcW w:w="1338" w:type="dxa"/>
            <w:vAlign w:val="top"/>
          </w:tcPr>
          <w:p>
            <w:pPr>
              <w:pStyle w:val="TableText"/>
              <w:ind w:left="12"/>
              <w:spacing w:before="87" w:line="219" w:lineRule="auto"/>
              <w:rPr>
                <w:sz w:val="21"/>
                <w:szCs w:val="21"/>
              </w:rPr>
            </w:pPr>
            <w:r>
              <w:rPr>
                <w:sz w:val="21"/>
                <w:szCs w:val="21"/>
                <w:spacing w:val="-2"/>
              </w:rPr>
              <w:t>监管警示</w:t>
            </w:r>
          </w:p>
        </w:tc>
        <w:tc>
          <w:tcPr>
            <w:shd w:val="clear" w:fill="F1DBDB"/>
            <w:tcW w:w="4989" w:type="dxa"/>
            <w:vAlign w:val="top"/>
          </w:tcPr>
          <w:p>
            <w:pPr>
              <w:pStyle w:val="TableText"/>
              <w:ind w:left="14" w:right="331"/>
              <w:spacing w:before="107" w:line="320" w:lineRule="auto"/>
              <w:rPr>
                <w:sz w:val="21"/>
                <w:szCs w:val="21"/>
              </w:rPr>
            </w:pPr>
            <w:r>
              <w:rPr>
                <w:sz w:val="21"/>
                <w:szCs w:val="21"/>
                <w:spacing w:val="-1"/>
              </w:rPr>
              <w:t>天健会计师事务所(特殊普通合伙)作为瑞斯康达科</w:t>
            </w:r>
            <w:r>
              <w:rPr>
                <w:sz w:val="21"/>
                <w:szCs w:val="21"/>
                <w:spacing w:val="9"/>
              </w:rPr>
              <w:t xml:space="preserve"> </w:t>
            </w:r>
            <w:r>
              <w:rPr>
                <w:sz w:val="21"/>
                <w:szCs w:val="21"/>
              </w:rPr>
              <w:t>技发展股份有限公司2019年度、2020年度审计机构</w:t>
            </w:r>
          </w:p>
          <w:p>
            <w:pPr>
              <w:pStyle w:val="TableText"/>
              <w:ind w:left="14"/>
              <w:spacing w:line="204" w:lineRule="auto"/>
              <w:rPr>
                <w:sz w:val="21"/>
                <w:szCs w:val="21"/>
              </w:rPr>
            </w:pPr>
            <w:r>
              <w:rPr>
                <w:sz w:val="21"/>
                <w:szCs w:val="21"/>
                <w:spacing w:val="-8"/>
              </w:rPr>
              <w:t>及相关注册会计师存在</w:t>
            </w:r>
            <w:r>
              <w:rPr>
                <w:sz w:val="21"/>
                <w:szCs w:val="21"/>
                <w:b/>
                <w:bCs/>
                <w:spacing w:val="-8"/>
              </w:rPr>
              <w:t>审计职责履行不到位</w:t>
            </w:r>
            <w:r>
              <w:rPr>
                <w:sz w:val="21"/>
                <w:szCs w:val="21"/>
                <w:spacing w:val="-8"/>
              </w:rPr>
              <w:t>的</w:t>
            </w:r>
            <w:r>
              <w:rPr>
                <w:sz w:val="21"/>
                <w:szCs w:val="21"/>
                <w:spacing w:val="-28"/>
              </w:rPr>
              <w:t xml:space="preserve"> </w:t>
            </w:r>
            <w:r>
              <w:rPr>
                <w:sz w:val="21"/>
                <w:szCs w:val="21"/>
                <w:spacing w:val="-8"/>
              </w:rPr>
              <w:t>情</w:t>
            </w:r>
            <w:r>
              <w:rPr>
                <w:sz w:val="21"/>
                <w:szCs w:val="21"/>
                <w:spacing w:val="-44"/>
              </w:rPr>
              <w:t xml:space="preserve"> </w:t>
            </w:r>
            <w:r>
              <w:rPr>
                <w:sz w:val="21"/>
                <w:szCs w:val="21"/>
                <w:spacing w:val="-8"/>
              </w:rPr>
              <w:t>形</w:t>
            </w:r>
            <w:r>
              <w:rPr>
                <w:sz w:val="21"/>
                <w:szCs w:val="21"/>
                <w:spacing w:val="-55"/>
              </w:rPr>
              <w:t xml:space="preserve"> </w:t>
            </w:r>
            <w:r>
              <w:rPr>
                <w:sz w:val="21"/>
                <w:szCs w:val="21"/>
                <w:spacing w:val="-8"/>
              </w:rPr>
              <w:t>。</w:t>
            </w:r>
          </w:p>
        </w:tc>
      </w:tr>
      <w:tr>
        <w:trPr>
          <w:trHeight w:val="734" w:hRule="atLeast"/>
        </w:trPr>
        <w:tc>
          <w:tcPr>
            <w:tcW w:w="1274" w:type="dxa"/>
            <w:vAlign w:val="top"/>
          </w:tcPr>
          <w:p>
            <w:pPr>
              <w:pStyle w:val="TableText"/>
              <w:ind w:left="85"/>
              <w:spacing w:before="173" w:line="183" w:lineRule="auto"/>
              <w:rPr>
                <w:sz w:val="21"/>
                <w:szCs w:val="21"/>
              </w:rPr>
            </w:pPr>
            <w:r>
              <w:rPr>
                <w:sz w:val="21"/>
                <w:szCs w:val="21"/>
                <w:spacing w:val="-2"/>
              </w:rPr>
              <w:t>600807</w:t>
            </w:r>
          </w:p>
        </w:tc>
        <w:tc>
          <w:tcPr>
            <w:tcW w:w="1209" w:type="dxa"/>
            <w:vAlign w:val="top"/>
          </w:tcPr>
          <w:p>
            <w:pPr>
              <w:pStyle w:val="TableText"/>
              <w:ind w:left="101"/>
              <w:spacing w:before="119" w:line="219" w:lineRule="auto"/>
              <w:rPr>
                <w:sz w:val="21"/>
                <w:szCs w:val="21"/>
              </w:rPr>
            </w:pPr>
            <w:r>
              <w:rPr>
                <w:sz w:val="21"/>
                <w:szCs w:val="21"/>
                <w:spacing w:val="-2"/>
              </w:rPr>
              <w:t>济南高新</w:t>
            </w:r>
          </w:p>
        </w:tc>
        <w:tc>
          <w:tcPr>
            <w:tcW w:w="1338" w:type="dxa"/>
            <w:vAlign w:val="top"/>
          </w:tcPr>
          <w:p>
            <w:pPr>
              <w:pStyle w:val="TableText"/>
              <w:ind w:left="12"/>
              <w:spacing w:before="119" w:line="219" w:lineRule="auto"/>
              <w:rPr>
                <w:sz w:val="21"/>
                <w:szCs w:val="21"/>
              </w:rPr>
            </w:pPr>
            <w:r>
              <w:rPr>
                <w:sz w:val="21"/>
                <w:szCs w:val="21"/>
                <w:spacing w:val="-2"/>
              </w:rPr>
              <w:t>监管警示</w:t>
            </w:r>
          </w:p>
        </w:tc>
        <w:tc>
          <w:tcPr>
            <w:tcW w:w="4989" w:type="dxa"/>
            <w:vAlign w:val="top"/>
          </w:tcPr>
          <w:p>
            <w:pPr>
              <w:pStyle w:val="TableText"/>
              <w:ind w:left="17" w:right="139" w:hanging="3"/>
              <w:spacing w:before="125" w:line="263" w:lineRule="auto"/>
              <w:rPr>
                <w:sz w:val="21"/>
                <w:szCs w:val="21"/>
              </w:rPr>
            </w:pPr>
            <w:r>
              <w:rPr>
                <w:sz w:val="21"/>
                <w:szCs w:val="21"/>
                <w:spacing w:val="-1"/>
              </w:rPr>
              <w:t>公司前期对黄金贸易销售业务的收入确认存</w:t>
            </w:r>
            <w:r>
              <w:rPr>
                <w:sz w:val="21"/>
                <w:szCs w:val="21"/>
                <w:b/>
                <w:bCs/>
                <w:spacing w:val="-1"/>
              </w:rPr>
              <w:t>在会计处</w:t>
            </w:r>
            <w:r>
              <w:rPr>
                <w:sz w:val="21"/>
                <w:szCs w:val="21"/>
                <w:spacing w:val="8"/>
              </w:rPr>
              <w:t xml:space="preserve"> </w:t>
            </w:r>
            <w:r>
              <w:rPr>
                <w:sz w:val="21"/>
                <w:szCs w:val="21"/>
                <w:b/>
                <w:bCs/>
                <w:spacing w:val="-1"/>
              </w:rPr>
              <w:t>理差错</w:t>
            </w:r>
            <w:r>
              <w:rPr>
                <w:sz w:val="21"/>
                <w:szCs w:val="21"/>
                <w:spacing w:val="-1"/>
              </w:rPr>
              <w:t>，导致相关定期报告财务数据披露不准确。</w:t>
            </w:r>
          </w:p>
        </w:tc>
      </w:tr>
    </w:tbl>
    <w:p>
      <w:pPr>
        <w:pStyle w:val="BodyText"/>
        <w:spacing w:line="14" w:lineRule="auto"/>
        <w:rPr>
          <w:sz w:val="2"/>
        </w:rPr>
      </w:pPr>
      <w:r/>
    </w:p>
    <w:p>
      <w:pPr>
        <w:spacing w:line="14" w:lineRule="auto"/>
        <w:sectPr>
          <w:type w:val="continuous"/>
          <w:pgSz w:w="11910" w:h="16840"/>
          <w:pgMar w:top="390" w:right="473" w:bottom="0" w:left="429" w:header="0" w:footer="0" w:gutter="0"/>
          <w:cols w:equalWidth="0" w:num="1">
            <w:col w:w="11007" w:space="0"/>
          </w:cols>
        </w:sectPr>
        <w:rPr>
          <w:sz w:val="2"/>
          <w:szCs w:val="2"/>
        </w:rPr>
      </w:pPr>
    </w:p>
    <w:tbl>
      <w:tblPr>
        <w:tblStyle w:val="TableNormal"/>
        <w:tblW w:w="8820" w:type="dxa"/>
        <w:tblInd w:w="1339"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7"/>
        <w:gridCol w:w="1215"/>
        <w:gridCol w:w="1325"/>
        <w:gridCol w:w="5003"/>
      </w:tblGrid>
      <w:tr>
        <w:trPr>
          <w:trHeight w:val="726" w:hRule="atLeast"/>
        </w:trPr>
        <w:tc>
          <w:tcPr>
            <w:shd w:val="clear" w:fill="F2DCDC"/>
            <w:tcW w:w="1277" w:type="dxa"/>
            <w:vAlign w:val="top"/>
            <w:tcBorders>
              <w:top w:val="single" w:color="C0504D" w:sz="2" w:space="0"/>
            </w:tcBorders>
          </w:tcPr>
          <w:p>
            <w:pPr>
              <w:ind w:left="112"/>
              <w:spacing w:before="104"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603055</w:t>
            </w:r>
          </w:p>
        </w:tc>
        <w:tc>
          <w:tcPr>
            <w:shd w:val="clear" w:fill="F2DCDC"/>
            <w:tcW w:w="1215" w:type="dxa"/>
            <w:vAlign w:val="top"/>
            <w:tcBorders>
              <w:top w:val="single" w:color="C0504D" w:sz="2" w:space="0"/>
            </w:tcBorders>
          </w:tcPr>
          <w:p>
            <w:pPr>
              <w:ind w:left="98"/>
              <w:spacing w:before="9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台华新材</w:t>
            </w:r>
          </w:p>
        </w:tc>
        <w:tc>
          <w:tcPr>
            <w:shd w:val="clear" w:fill="F2DCDC"/>
            <w:tcW w:w="1325" w:type="dxa"/>
            <w:vAlign w:val="top"/>
            <w:tcBorders>
              <w:top w:val="single" w:color="C0504D" w:sz="2" w:space="0"/>
            </w:tcBorders>
          </w:tcPr>
          <w:p>
            <w:pPr>
              <w:ind w:left="3"/>
              <w:spacing w:before="9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监管警示</w:t>
            </w:r>
          </w:p>
        </w:tc>
        <w:tc>
          <w:tcPr>
            <w:shd w:val="clear" w:fill="F2DCDC"/>
            <w:tcW w:w="5003" w:type="dxa"/>
            <w:vAlign w:val="top"/>
            <w:tcBorders>
              <w:top w:val="single" w:color="C0504D" w:sz="2" w:space="0"/>
            </w:tcBorders>
          </w:tcPr>
          <w:p>
            <w:pPr>
              <w:ind w:right="154" w:firstLine="1"/>
              <w:spacing w:before="94"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公司从事</w:t>
            </w:r>
            <w:r>
              <w:rPr>
                <w:rFonts w:ascii="Microsoft YaHei" w:hAnsi="Microsoft YaHei" w:eastAsia="Microsoft YaHei" w:cs="Microsoft YaHei"/>
                <w:sz w:val="21"/>
                <w:szCs w:val="21"/>
                <w:b/>
                <w:bCs/>
                <w:color w:val="333333"/>
              </w:rPr>
              <w:t>衍生品交易</w:t>
            </w:r>
            <w:r>
              <w:rPr>
                <w:rFonts w:ascii="Microsoft YaHei" w:hAnsi="Microsoft YaHei" w:eastAsia="Microsoft YaHei" w:cs="Microsoft YaHei"/>
                <w:sz w:val="21"/>
                <w:szCs w:val="21"/>
                <w:color w:val="333333"/>
              </w:rPr>
              <w:t>未履行董事会审议程序和披露义 </w:t>
            </w:r>
            <w:r>
              <w:rPr>
                <w:rFonts w:ascii="Microsoft YaHei" w:hAnsi="Microsoft YaHei" w:eastAsia="Microsoft YaHei" w:cs="Microsoft YaHei"/>
                <w:sz w:val="21"/>
                <w:szCs w:val="21"/>
                <w:color w:val="333333"/>
                <w:spacing w:val="-10"/>
              </w:rPr>
              <w:t>务。</w:t>
            </w:r>
          </w:p>
        </w:tc>
      </w:tr>
      <w:tr>
        <w:trPr>
          <w:trHeight w:val="729" w:hRule="atLeast"/>
        </w:trPr>
        <w:tc>
          <w:tcPr>
            <w:tcW w:w="1277" w:type="dxa"/>
            <w:vAlign w:val="top"/>
          </w:tcPr>
          <w:p>
            <w:pPr>
              <w:ind w:left="112"/>
              <w:spacing w:before="102"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603363</w:t>
            </w:r>
          </w:p>
        </w:tc>
        <w:tc>
          <w:tcPr>
            <w:tcW w:w="1215" w:type="dxa"/>
            <w:vAlign w:val="top"/>
          </w:tcPr>
          <w:p>
            <w:pPr>
              <w:ind w:left="91"/>
              <w:spacing w:before="92"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傲农生物</w:t>
            </w:r>
          </w:p>
        </w:tc>
        <w:tc>
          <w:tcPr>
            <w:tcW w:w="1325" w:type="dxa"/>
            <w:vAlign w:val="top"/>
          </w:tcPr>
          <w:p>
            <w:pPr>
              <w:ind w:left="3"/>
              <w:spacing w:before="9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监管工作函</w:t>
            </w:r>
          </w:p>
        </w:tc>
        <w:tc>
          <w:tcPr>
            <w:tcW w:w="5003" w:type="dxa"/>
            <w:vAlign w:val="top"/>
          </w:tcPr>
          <w:p>
            <w:pPr>
              <w:ind w:left="1" w:right="154" w:firstLine="1"/>
              <w:spacing w:before="91" w:line="20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关于福建傲农生物科技集团股份有限公司</w:t>
            </w:r>
            <w:r>
              <w:rPr>
                <w:rFonts w:ascii="Microsoft YaHei" w:hAnsi="Microsoft YaHei" w:eastAsia="Microsoft YaHei" w:cs="Microsoft YaHei"/>
                <w:sz w:val="21"/>
                <w:szCs w:val="21"/>
                <w:b/>
                <w:bCs/>
                <w:color w:val="333333"/>
              </w:rPr>
              <w:t>控股股东质 </w:t>
            </w:r>
            <w:r>
              <w:rPr>
                <w:rFonts w:ascii="Microsoft YaHei" w:hAnsi="Microsoft YaHei" w:eastAsia="Microsoft YaHei" w:cs="Microsoft YaHei"/>
                <w:sz w:val="21"/>
                <w:szCs w:val="21"/>
                <w:b/>
                <w:bCs/>
                <w:color w:val="333333"/>
              </w:rPr>
              <w:t>押事项</w:t>
            </w:r>
            <w:r>
              <w:rPr>
                <w:rFonts w:ascii="Microsoft YaHei" w:hAnsi="Microsoft YaHei" w:eastAsia="Microsoft YaHei" w:cs="Microsoft YaHei"/>
                <w:sz w:val="21"/>
                <w:szCs w:val="21"/>
                <w:color w:val="333333"/>
              </w:rPr>
              <w:t>的监管工作函。</w:t>
            </w:r>
          </w:p>
        </w:tc>
      </w:tr>
    </w:tbl>
    <w:p>
      <w:pPr>
        <w:pStyle w:val="BodyText"/>
        <w:spacing w:line="286" w:lineRule="auto"/>
        <w:rPr/>
      </w:pPr>
      <w:r/>
    </w:p>
    <w:p>
      <w:pPr>
        <w:pStyle w:val="BodyText"/>
        <w:spacing w:line="286" w:lineRule="auto"/>
        <w:rPr/>
      </w:pPr>
      <w:r/>
    </w:p>
    <w:p>
      <w:pPr>
        <w:pStyle w:val="BodyText"/>
        <w:spacing w:line="287" w:lineRule="auto"/>
        <w:rPr/>
      </w:pPr>
      <w:r/>
    </w:p>
    <w:p>
      <w:pPr>
        <w:pStyle w:val="BodyText"/>
        <w:spacing w:line="287" w:lineRule="auto"/>
        <w:rPr/>
      </w:pPr>
      <w:r/>
    </w:p>
    <w:p>
      <w:pPr>
        <w:ind w:left="951"/>
        <w:spacing w:before="103" w:line="19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（2）函件统计</w:t>
      </w:r>
    </w:p>
    <w:p>
      <w:pPr>
        <w:ind w:left="891"/>
        <w:spacing w:before="317" w:line="19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rPr>
        <w:t>2023年12月25日-12月31日，上交所发</w:t>
      </w:r>
      <w:r>
        <w:rPr>
          <w:rFonts w:ascii="Microsoft YaHei" w:hAnsi="Microsoft YaHei" w:eastAsia="Microsoft YaHei" w:cs="Microsoft YaHei"/>
          <w:sz w:val="22"/>
          <w:szCs w:val="22"/>
          <w:spacing w:val="-1"/>
        </w:rPr>
        <w:t>出2份监管问询函。</w:t>
      </w:r>
    </w:p>
    <w:p>
      <w:pPr>
        <w:spacing w:line="238" w:lineRule="exact"/>
        <w:rPr/>
      </w:pPr>
      <w:r/>
    </w:p>
    <w:tbl>
      <w:tblPr>
        <w:tblStyle w:val="TableNormal"/>
        <w:tblW w:w="8835" w:type="dxa"/>
        <w:tblInd w:w="1339"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7"/>
        <w:gridCol w:w="1215"/>
        <w:gridCol w:w="6343"/>
      </w:tblGrid>
      <w:tr>
        <w:trPr>
          <w:trHeight w:val="376" w:hRule="atLeast"/>
        </w:trPr>
        <w:tc>
          <w:tcPr>
            <w:shd w:val="clear" w:fill="C0504D"/>
            <w:tcW w:w="1277" w:type="dxa"/>
            <w:vAlign w:val="top"/>
            <w:tcBorders>
              <w:bottom w:val="single" w:color="C0504D" w:sz="2" w:space="0"/>
            </w:tcBorders>
          </w:tcPr>
          <w:p>
            <w:pPr>
              <w:ind w:left="104"/>
              <w:spacing w:before="98" w:line="17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公司代码</w:t>
            </w:r>
          </w:p>
        </w:tc>
        <w:tc>
          <w:tcPr>
            <w:shd w:val="clear" w:fill="C0504D"/>
            <w:tcW w:w="1215" w:type="dxa"/>
            <w:vAlign w:val="top"/>
            <w:tcBorders>
              <w:bottom w:val="single" w:color="C0504D" w:sz="2" w:space="0"/>
            </w:tcBorders>
          </w:tcPr>
          <w:p>
            <w:pPr>
              <w:ind w:left="94"/>
              <w:spacing w:before="98" w:line="17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spacing w:val="-1"/>
              </w:rPr>
              <w:t>公司简称</w:t>
            </w:r>
          </w:p>
        </w:tc>
        <w:tc>
          <w:tcPr>
            <w:shd w:val="clear" w:fill="C0504D"/>
            <w:tcW w:w="6343" w:type="dxa"/>
            <w:vAlign w:val="top"/>
            <w:tcBorders>
              <w:bottom w:val="single" w:color="C0504D" w:sz="2" w:space="0"/>
            </w:tcBorders>
          </w:tcPr>
          <w:p>
            <w:pPr>
              <w:ind w:left="2954"/>
              <w:spacing w:before="98" w:line="17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FFFFFF"/>
              </w:rPr>
              <w:t>违规类型</w:t>
            </w:r>
          </w:p>
        </w:tc>
      </w:tr>
      <w:tr>
        <w:trPr>
          <w:trHeight w:val="374" w:hRule="atLeast"/>
        </w:trPr>
        <w:tc>
          <w:tcPr>
            <w:tcW w:w="1277" w:type="dxa"/>
            <w:vAlign w:val="top"/>
            <w:tcBorders>
              <w:top w:val="single" w:color="C0504D" w:sz="2" w:space="0"/>
            </w:tcBorders>
          </w:tcPr>
          <w:p>
            <w:pPr>
              <w:ind w:left="112"/>
              <w:spacing w:before="113" w:line="16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603955</w:t>
            </w:r>
          </w:p>
        </w:tc>
        <w:tc>
          <w:tcPr>
            <w:tcW w:w="1215" w:type="dxa"/>
            <w:vAlign w:val="top"/>
            <w:tcBorders>
              <w:top w:val="single" w:color="C0504D" w:sz="2" w:space="0"/>
            </w:tcBorders>
          </w:tcPr>
          <w:p>
            <w:pPr>
              <w:ind w:left="93"/>
              <w:spacing w:before="104"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大千生态</w:t>
            </w:r>
          </w:p>
        </w:tc>
        <w:tc>
          <w:tcPr>
            <w:tcW w:w="6343" w:type="dxa"/>
            <w:vAlign w:val="top"/>
            <w:tcBorders>
              <w:top w:val="single" w:color="C0504D" w:sz="2" w:space="0"/>
            </w:tcBorders>
          </w:tcPr>
          <w:p>
            <w:pPr>
              <w:ind w:left="3068"/>
              <w:spacing w:before="104"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问询函</w:t>
            </w:r>
          </w:p>
        </w:tc>
      </w:tr>
      <w:tr>
        <w:trPr>
          <w:trHeight w:val="371" w:hRule="atLeast"/>
        </w:trPr>
        <w:tc>
          <w:tcPr>
            <w:shd w:val="clear" w:fill="F2DCDC"/>
            <w:tcW w:w="1277" w:type="dxa"/>
            <w:vAlign w:val="top"/>
          </w:tcPr>
          <w:p>
            <w:pPr>
              <w:ind w:left="112"/>
              <w:spacing w:before="107" w:line="16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603488</w:t>
            </w:r>
          </w:p>
        </w:tc>
        <w:tc>
          <w:tcPr>
            <w:shd w:val="clear" w:fill="F2DCDC"/>
            <w:tcW w:w="1215" w:type="dxa"/>
            <w:vAlign w:val="top"/>
          </w:tcPr>
          <w:p>
            <w:pPr>
              <w:ind w:left="93"/>
              <w:spacing w:before="98"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展鹏科技</w:t>
            </w:r>
          </w:p>
        </w:tc>
        <w:tc>
          <w:tcPr>
            <w:shd w:val="clear" w:fill="F2DCDC"/>
            <w:tcW w:w="6343" w:type="dxa"/>
            <w:vAlign w:val="top"/>
          </w:tcPr>
          <w:p>
            <w:pPr>
              <w:ind w:left="3068"/>
              <w:spacing w:before="98" w:line="17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问询函</w:t>
            </w:r>
          </w:p>
        </w:tc>
      </w:tr>
    </w:tbl>
    <w:p>
      <w:pPr>
        <w:pStyle w:val="BodyText"/>
        <w:spacing w:line="299" w:lineRule="auto"/>
        <w:rPr/>
      </w:pPr>
      <w:r/>
    </w:p>
    <w:p>
      <w:pPr>
        <w:pStyle w:val="BodyText"/>
        <w:spacing w:line="299" w:lineRule="auto"/>
        <w:rPr/>
      </w:pPr>
      <w:r/>
    </w:p>
    <w:p>
      <w:pPr>
        <w:pStyle w:val="BodyText"/>
        <w:spacing w:line="299" w:lineRule="auto"/>
        <w:rPr/>
      </w:pPr>
      <w:r/>
    </w:p>
    <w:p>
      <w:pPr>
        <w:ind w:left="931"/>
        <w:spacing w:before="102" w:line="19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w:t>
      </w:r>
    </w:p>
    <w:p>
      <w:pPr>
        <w:spacing w:before="307" w:line="19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2023年12月25日-12月31日，上交所对</w:t>
      </w:r>
      <w:r>
        <w:rPr>
          <w:rFonts w:ascii="Microsoft YaHei" w:hAnsi="Microsoft YaHei" w:eastAsia="Microsoft YaHei" w:cs="Microsoft YaHei"/>
          <w:sz w:val="22"/>
          <w:szCs w:val="22"/>
          <w:spacing w:val="1"/>
        </w:rPr>
        <w:t>29起拉抬打压、虚假申报等证券异常交易行为采取了书面警示等监管</w:t>
      </w:r>
    </w:p>
    <w:p>
      <w:pPr>
        <w:spacing w:before="73" w:line="19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rPr>
        <w:t>措施，对18起上市公司重大事项等进行专项核查，向证监会上报涉嫌违法违规案件线索1起。</w:t>
      </w:r>
    </w:p>
    <w:p>
      <w:pPr>
        <w:spacing w:line="194" w:lineRule="auto"/>
        <w:sectPr>
          <w:pgSz w:w="11912" w:h="16841"/>
          <w:pgMar w:top="400" w:right="457" w:bottom="0" w:left="442" w:header="0" w:footer="0" w:gutter="0"/>
        </w:sectPr>
        <w:rPr>
          <w:rFonts w:ascii="Microsoft YaHei" w:hAnsi="Microsoft YaHei" w:eastAsia="Microsoft YaHei" w:cs="Microsoft YaHei"/>
          <w:sz w:val="22"/>
          <w:szCs w:val="22"/>
        </w:rPr>
      </w:pPr>
    </w:p>
    <w:p>
      <w:pPr>
        <w:spacing w:line="830" w:lineRule="exact"/>
        <w:rPr/>
      </w:pPr>
      <w:r>
        <w:rPr>
          <w:position w:val="-16"/>
        </w:rPr>
        <w:pict>
          <v:group id="_x0000_s20" style="mso-position-vertical-relative:line;mso-position-horizontal-relative:char;width:135pt;height:41.55pt;" filled="false" stroked="false" coordsize="2700,830" coordorigin="0,0">
            <v:shape id="_x0000_s22" style="position:absolute;left:0;top:0;width:2700;height:830;" filled="false" stroked="false" type="#_x0000_t75">
              <v:imagedata o:title="" r:id="rId22"/>
            </v:shape>
            <v:shape id="_x0000_s24" style="position:absolute;left:-20;top:-20;width:2740;height:870;" filled="false" stroked="false" type="#_x0000_t202">
              <v:fill on="false"/>
              <v:stroke on="false"/>
              <v:path/>
              <v:imagedata o:title=""/>
              <o:lock v:ext="edit" aspectratio="false"/>
              <v:textbox inset="0mm,0mm,0mm,0mm">
                <w:txbxContent>
                  <w:p>
                    <w:pPr>
                      <w:ind w:left="423"/>
                      <w:spacing w:before="285" w:line="222" w:lineRule="auto"/>
                      <w:rPr>
                        <w:rFonts w:ascii="SimHei" w:hAnsi="SimHei" w:eastAsia="SimHei" w:cs="SimHei"/>
                        <w:sz w:val="29"/>
                        <w:szCs w:val="29"/>
                      </w:rPr>
                    </w:pPr>
                    <w:r>
                      <w:rPr>
                        <w:rFonts w:ascii="SimHei" w:hAnsi="SimHei" w:eastAsia="SimHei" w:cs="SimHei"/>
                        <w:sz w:val="29"/>
                        <w:szCs w:val="29"/>
                        <w:b/>
                        <w:bCs/>
                        <w:color w:val="FFFFFF"/>
                        <w:spacing w:val="-13"/>
                      </w:rPr>
                      <w:t>深交所监管动态</w:t>
                    </w:r>
                  </w:p>
                </w:txbxContent>
              </v:textbox>
            </v:shape>
          </v:group>
        </w:pict>
      </w:r>
    </w:p>
    <w:p>
      <w:pPr>
        <w:pStyle w:val="BodyText"/>
        <w:spacing w:line="364" w:lineRule="auto"/>
        <w:rPr/>
      </w:pPr>
      <w:r/>
    </w:p>
    <w:p>
      <w:pPr>
        <w:ind w:left="573"/>
        <w:spacing w:before="78" w:line="222" w:lineRule="auto"/>
        <w:outlineLvl w:val="0"/>
        <w:rPr>
          <w:rFonts w:ascii="SimHei" w:hAnsi="SimHei" w:eastAsia="SimHei" w:cs="SimHei"/>
          <w:sz w:val="24"/>
          <w:szCs w:val="24"/>
        </w:rPr>
      </w:pPr>
      <w:r>
        <w:rPr>
          <w:rFonts w:ascii="SimHei" w:hAnsi="SimHei" w:eastAsia="SimHei" w:cs="SimHei"/>
          <w:sz w:val="24"/>
          <w:szCs w:val="24"/>
          <w:b/>
          <w:bCs/>
          <w:spacing w:val="-7"/>
        </w:rPr>
        <w:t>1、</w:t>
      </w:r>
      <w:r>
        <w:rPr>
          <w:rFonts w:ascii="SimHei" w:hAnsi="SimHei" w:eastAsia="SimHei" w:cs="SimHei"/>
          <w:sz w:val="24"/>
          <w:szCs w:val="24"/>
          <w:spacing w:val="-62"/>
        </w:rPr>
        <w:t xml:space="preserve"> </w:t>
      </w:r>
      <w:r>
        <w:rPr>
          <w:rFonts w:ascii="SimHei" w:hAnsi="SimHei" w:eastAsia="SimHei" w:cs="SimHei"/>
          <w:sz w:val="24"/>
          <w:szCs w:val="24"/>
          <w:b/>
          <w:bCs/>
          <w:spacing w:val="-7"/>
        </w:rPr>
        <w:t>上市公司监管动态</w:t>
      </w:r>
    </w:p>
    <w:p>
      <w:pPr>
        <w:pStyle w:val="BodyText"/>
        <w:spacing w:line="244" w:lineRule="auto"/>
        <w:rPr/>
      </w:pPr>
      <w:r/>
    </w:p>
    <w:p>
      <w:pPr>
        <w:spacing w:before="78" w:line="213" w:lineRule="auto"/>
        <w:jc w:val="right"/>
        <w:rPr>
          <w:rFonts w:ascii="SimHei" w:hAnsi="SimHei" w:eastAsia="SimHei" w:cs="SimHei"/>
          <w:sz w:val="24"/>
          <w:szCs w:val="24"/>
        </w:rPr>
      </w:pPr>
      <w:r>
        <w:rPr>
          <w:rFonts w:ascii="SimHei" w:hAnsi="SimHei" w:eastAsia="SimHei" w:cs="SimHei"/>
          <w:sz w:val="24"/>
          <w:szCs w:val="24"/>
          <w:spacing w:val="-12"/>
        </w:rPr>
        <w:t>2023年12月25日-12月31日，深交所发出20份监管函，对9宗行为予</w:t>
      </w:r>
      <w:r>
        <w:rPr>
          <w:rFonts w:ascii="SimHei" w:hAnsi="SimHei" w:eastAsia="SimHei" w:cs="SimHei"/>
          <w:sz w:val="24"/>
          <w:szCs w:val="24"/>
          <w:spacing w:val="-13"/>
        </w:rPr>
        <w:t>以纪律处分；共发出关注函14份。</w:t>
      </w:r>
    </w:p>
    <w:p>
      <w:pPr>
        <w:ind w:firstLine="1499"/>
        <w:spacing w:before="175" w:line="5530" w:lineRule="exact"/>
        <w:rPr/>
      </w:pPr>
      <w:r>
        <w:rPr>
          <w:position w:val="-110"/>
        </w:rPr>
        <w:drawing>
          <wp:inline distT="0" distB="0" distL="0" distR="0">
            <wp:extent cx="5467334" cy="3511498"/>
            <wp:effectExtent l="0" t="0" r="0" b="0"/>
            <wp:docPr id="36" name="IM 36"/>
            <wp:cNvGraphicFramePr/>
            <a:graphic>
              <a:graphicData uri="http://schemas.openxmlformats.org/drawingml/2006/picture">
                <pic:pic>
                  <pic:nvPicPr>
                    <pic:cNvPr id="36" name="IM 36"/>
                    <pic:cNvPicPr/>
                  </pic:nvPicPr>
                  <pic:blipFill>
                    <a:blip r:embed="rId23"/>
                    <a:stretch>
                      <a:fillRect/>
                    </a:stretch>
                  </pic:blipFill>
                  <pic:spPr>
                    <a:xfrm rot="0">
                      <a:off x="0" y="0"/>
                      <a:ext cx="5467334" cy="3511498"/>
                    </a:xfrm>
                    <a:prstGeom prst="rect">
                      <a:avLst/>
                    </a:prstGeom>
                  </pic:spPr>
                </pic:pic>
              </a:graphicData>
            </a:graphic>
          </wp:inline>
        </w:drawing>
      </w:r>
    </w:p>
    <w:p>
      <w:pPr>
        <w:ind w:left="1153"/>
        <w:spacing w:before="286" w:line="222" w:lineRule="auto"/>
        <w:rPr>
          <w:rFonts w:ascii="SimHei" w:hAnsi="SimHei" w:eastAsia="SimHei" w:cs="SimHei"/>
          <w:sz w:val="24"/>
          <w:szCs w:val="24"/>
        </w:rPr>
      </w:pPr>
      <w:r>
        <w:rPr>
          <w:rFonts w:ascii="SimHei" w:hAnsi="SimHei" w:eastAsia="SimHei" w:cs="SimHei"/>
          <w:sz w:val="24"/>
          <w:szCs w:val="24"/>
          <w:b/>
          <w:bCs/>
          <w:spacing w:val="7"/>
        </w:rPr>
        <w:t>(1)纪律处分及监管措施</w:t>
      </w:r>
    </w:p>
    <w:p>
      <w:pPr>
        <w:spacing w:before="8"/>
        <w:rPr/>
      </w:pPr>
      <w:r/>
    </w:p>
    <w:tbl>
      <w:tblPr>
        <w:tblStyle w:val="TableNormal"/>
        <w:tblW w:w="8999" w:type="dxa"/>
        <w:tblInd w:w="1079"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63"/>
        <w:gridCol w:w="1488"/>
        <w:gridCol w:w="1498"/>
        <w:gridCol w:w="4550"/>
      </w:tblGrid>
      <w:tr>
        <w:trPr>
          <w:trHeight w:val="644" w:hRule="atLeast"/>
        </w:trPr>
        <w:tc>
          <w:tcPr>
            <w:shd w:val="clear" w:fill="4BACC6"/>
            <w:tcW w:w="1463" w:type="dxa"/>
            <w:vAlign w:val="top"/>
          </w:tcPr>
          <w:p>
            <w:pPr>
              <w:pStyle w:val="TableText"/>
              <w:ind w:left="298"/>
              <w:spacing w:before="90" w:line="219" w:lineRule="auto"/>
              <w:rPr>
                <w:sz w:val="21"/>
                <w:szCs w:val="21"/>
              </w:rPr>
            </w:pPr>
            <w:r>
              <w:rPr>
                <w:sz w:val="21"/>
                <w:szCs w:val="21"/>
                <w:b/>
                <w:bCs/>
                <w:color w:val="FFFFFF"/>
                <w:spacing w:val="-5"/>
              </w:rPr>
              <w:t>公司代码</w:t>
            </w:r>
          </w:p>
        </w:tc>
        <w:tc>
          <w:tcPr>
            <w:shd w:val="clear" w:fill="4BACC6"/>
            <w:tcW w:w="1488" w:type="dxa"/>
            <w:vAlign w:val="top"/>
          </w:tcPr>
          <w:p>
            <w:pPr>
              <w:pStyle w:val="TableText"/>
              <w:ind w:left="304"/>
              <w:spacing w:before="99" w:line="219" w:lineRule="auto"/>
              <w:rPr>
                <w:sz w:val="21"/>
                <w:szCs w:val="21"/>
              </w:rPr>
            </w:pPr>
            <w:r>
              <w:rPr>
                <w:sz w:val="21"/>
                <w:szCs w:val="21"/>
                <w:b/>
                <w:bCs/>
                <w:color w:val="FFFFFF"/>
                <w:spacing w:val="-5"/>
              </w:rPr>
              <w:t>公司简称</w:t>
            </w:r>
          </w:p>
        </w:tc>
        <w:tc>
          <w:tcPr>
            <w:shd w:val="clear" w:fill="4BACC6"/>
            <w:tcW w:w="1498" w:type="dxa"/>
            <w:vAlign w:val="top"/>
          </w:tcPr>
          <w:p>
            <w:pPr>
              <w:pStyle w:val="TableText"/>
              <w:ind w:left="307"/>
              <w:spacing w:before="100" w:line="219" w:lineRule="auto"/>
              <w:rPr>
                <w:sz w:val="21"/>
                <w:szCs w:val="21"/>
              </w:rPr>
            </w:pPr>
            <w:r>
              <w:rPr>
                <w:sz w:val="21"/>
                <w:szCs w:val="21"/>
                <w:b/>
                <w:bCs/>
                <w:color w:val="FFFFFF"/>
                <w:spacing w:val="-4"/>
              </w:rPr>
              <w:t>监管类型</w:t>
            </w:r>
          </w:p>
        </w:tc>
        <w:tc>
          <w:tcPr>
            <w:shd w:val="clear" w:fill="4BACC6"/>
            <w:tcW w:w="4550" w:type="dxa"/>
            <w:vAlign w:val="top"/>
          </w:tcPr>
          <w:p>
            <w:pPr>
              <w:pStyle w:val="TableText"/>
              <w:ind w:left="1838"/>
              <w:spacing w:before="101" w:line="220" w:lineRule="auto"/>
              <w:rPr>
                <w:sz w:val="21"/>
                <w:szCs w:val="21"/>
              </w:rPr>
            </w:pPr>
            <w:r>
              <w:rPr>
                <w:sz w:val="21"/>
                <w:szCs w:val="21"/>
                <w:b/>
                <w:bCs/>
                <w:color w:val="FFFFFF"/>
                <w:spacing w:val="2"/>
              </w:rPr>
              <w:t>处理事由</w:t>
            </w:r>
          </w:p>
        </w:tc>
      </w:tr>
      <w:tr>
        <w:trPr>
          <w:trHeight w:val="349" w:hRule="atLeast"/>
        </w:trPr>
        <w:tc>
          <w:tcPr>
            <w:tcW w:w="1463" w:type="dxa"/>
            <w:vAlign w:val="top"/>
          </w:tcPr>
          <w:p>
            <w:pPr>
              <w:pStyle w:val="TableText"/>
              <w:ind w:left="684"/>
              <w:spacing w:before="123" w:line="183" w:lineRule="auto"/>
              <w:rPr>
                <w:sz w:val="21"/>
                <w:szCs w:val="21"/>
              </w:rPr>
            </w:pPr>
            <w:r>
              <w:rPr>
                <w:sz w:val="21"/>
                <w:szCs w:val="21"/>
                <w:spacing w:val="-2"/>
              </w:rPr>
              <w:t>002556</w:t>
            </w:r>
          </w:p>
        </w:tc>
        <w:tc>
          <w:tcPr>
            <w:tcW w:w="1488" w:type="dxa"/>
            <w:vAlign w:val="top"/>
          </w:tcPr>
          <w:p>
            <w:pPr>
              <w:pStyle w:val="TableText"/>
              <w:ind w:left="551"/>
              <w:spacing w:before="69" w:line="219" w:lineRule="auto"/>
              <w:rPr>
                <w:sz w:val="21"/>
                <w:szCs w:val="21"/>
              </w:rPr>
            </w:pPr>
            <w:r>
              <w:rPr>
                <w:sz w:val="21"/>
                <w:szCs w:val="21"/>
                <w:spacing w:val="-2"/>
              </w:rPr>
              <w:t>辉隆股份</w:t>
            </w:r>
          </w:p>
        </w:tc>
        <w:tc>
          <w:tcPr>
            <w:tcW w:w="1498" w:type="dxa"/>
            <w:vAlign w:val="top"/>
          </w:tcPr>
          <w:p>
            <w:pPr>
              <w:pStyle w:val="TableText"/>
              <w:ind w:left="633"/>
              <w:spacing w:before="69" w:line="219" w:lineRule="auto"/>
              <w:rPr>
                <w:sz w:val="21"/>
                <w:szCs w:val="21"/>
              </w:rPr>
            </w:pPr>
            <w:r>
              <w:rPr>
                <w:sz w:val="21"/>
                <w:szCs w:val="21"/>
                <w:spacing w:val="7"/>
              </w:rPr>
              <w:t>监管函</w:t>
            </w:r>
          </w:p>
        </w:tc>
        <w:tc>
          <w:tcPr>
            <w:tcW w:w="4550" w:type="dxa"/>
            <w:vAlign w:val="top"/>
          </w:tcPr>
          <w:p>
            <w:pPr>
              <w:pStyle w:val="TableText"/>
              <w:ind w:left="105"/>
              <w:spacing w:before="67" w:line="220" w:lineRule="auto"/>
              <w:rPr>
                <w:sz w:val="21"/>
                <w:szCs w:val="21"/>
              </w:rPr>
            </w:pPr>
            <w:r>
              <w:rPr>
                <w:sz w:val="21"/>
                <w:szCs w:val="21"/>
                <w:spacing w:val="-2"/>
              </w:rPr>
              <w:t>董事长、总经理</w:t>
            </w:r>
            <w:r>
              <w:rPr>
                <w:sz w:val="21"/>
                <w:szCs w:val="21"/>
                <w:b/>
                <w:bCs/>
                <w:spacing w:val="-2"/>
              </w:rPr>
              <w:t>短线交易。</w:t>
            </w:r>
          </w:p>
        </w:tc>
      </w:tr>
      <w:tr>
        <w:trPr>
          <w:trHeight w:val="1797" w:hRule="atLeast"/>
        </w:trPr>
        <w:tc>
          <w:tcPr>
            <w:shd w:val="clear" w:fill="B8CCE4"/>
            <w:tcW w:w="1463" w:type="dxa"/>
            <w:vAlign w:val="top"/>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684"/>
              <w:spacing w:before="68" w:line="183" w:lineRule="auto"/>
              <w:rPr>
                <w:sz w:val="21"/>
                <w:szCs w:val="21"/>
              </w:rPr>
            </w:pPr>
            <w:r>
              <w:rPr>
                <w:sz w:val="21"/>
                <w:szCs w:val="21"/>
                <w:spacing w:val="-2"/>
              </w:rPr>
              <w:t>000632</w:t>
            </w:r>
          </w:p>
        </w:tc>
        <w:tc>
          <w:tcPr>
            <w:shd w:val="clear" w:fill="B8CCE4"/>
            <w:tcW w:w="1488" w:type="dxa"/>
            <w:vAlign w:val="top"/>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551"/>
              <w:spacing w:before="69" w:line="219" w:lineRule="auto"/>
              <w:rPr>
                <w:sz w:val="21"/>
                <w:szCs w:val="21"/>
              </w:rPr>
            </w:pPr>
            <w:r>
              <w:rPr>
                <w:sz w:val="21"/>
                <w:szCs w:val="21"/>
                <w:spacing w:val="4"/>
              </w:rPr>
              <w:t>三木集团</w:t>
            </w:r>
          </w:p>
        </w:tc>
        <w:tc>
          <w:tcPr>
            <w:shd w:val="clear" w:fill="B8CCE4"/>
            <w:tcW w:w="1498" w:type="dxa"/>
            <w:vAlign w:val="top"/>
          </w:tcPr>
          <w:p>
            <w:pPr>
              <w:spacing w:line="242" w:lineRule="auto"/>
              <w:rPr>
                <w:rFonts w:ascii="Arial"/>
                <w:sz w:val="21"/>
              </w:rPr>
            </w:pPr>
            <w:r/>
          </w:p>
          <w:p>
            <w:pPr>
              <w:spacing w:line="242" w:lineRule="auto"/>
              <w:rPr>
                <w:rFonts w:ascii="Arial"/>
                <w:sz w:val="21"/>
              </w:rPr>
            </w:pPr>
            <w:r/>
          </w:p>
          <w:p>
            <w:pPr>
              <w:spacing w:line="243" w:lineRule="auto"/>
              <w:rPr>
                <w:rFonts w:ascii="Arial"/>
                <w:sz w:val="21"/>
              </w:rPr>
            </w:pPr>
            <w:r/>
          </w:p>
          <w:p>
            <w:pPr>
              <w:pStyle w:val="TableText"/>
              <w:ind w:left="633"/>
              <w:spacing w:before="69" w:line="219" w:lineRule="auto"/>
              <w:rPr>
                <w:sz w:val="21"/>
                <w:szCs w:val="21"/>
              </w:rPr>
            </w:pPr>
            <w:r>
              <w:rPr>
                <w:sz w:val="21"/>
                <w:szCs w:val="21"/>
                <w:spacing w:val="7"/>
              </w:rPr>
              <w:t>监管函</w:t>
            </w:r>
          </w:p>
        </w:tc>
        <w:tc>
          <w:tcPr>
            <w:shd w:val="clear" w:fill="B7CBE3"/>
            <w:tcW w:w="4550" w:type="dxa"/>
            <w:vAlign w:val="top"/>
          </w:tcPr>
          <w:p>
            <w:pPr>
              <w:pStyle w:val="TableText"/>
              <w:ind w:left="105"/>
              <w:spacing w:before="107" w:line="219" w:lineRule="auto"/>
              <w:rPr>
                <w:sz w:val="21"/>
                <w:szCs w:val="21"/>
              </w:rPr>
            </w:pPr>
            <w:r>
              <w:rPr>
                <w:sz w:val="21"/>
                <w:szCs w:val="21"/>
                <w:spacing w:val="-2"/>
              </w:rPr>
              <w:t>部分外贸业务收入不完全符合</w:t>
            </w:r>
            <w:r>
              <w:rPr>
                <w:sz w:val="21"/>
                <w:szCs w:val="21"/>
                <w:b/>
                <w:bCs/>
                <w:spacing w:val="-2"/>
              </w:rPr>
              <w:t>总额法确认条</w:t>
            </w:r>
          </w:p>
          <w:p>
            <w:pPr>
              <w:pStyle w:val="TableText"/>
              <w:ind w:left="105" w:right="218"/>
              <w:spacing w:before="110" w:line="290" w:lineRule="auto"/>
              <w:rPr>
                <w:sz w:val="21"/>
                <w:szCs w:val="21"/>
              </w:rPr>
            </w:pPr>
            <w:r>
              <w:rPr>
                <w:sz w:val="21"/>
                <w:szCs w:val="21"/>
                <w:spacing w:val="-1"/>
              </w:rPr>
              <w:t>件；部分房地产开发项目存在提前</w:t>
            </w:r>
            <w:r>
              <w:rPr>
                <w:sz w:val="21"/>
                <w:szCs w:val="21"/>
                <w:b/>
                <w:bCs/>
                <w:spacing w:val="-1"/>
              </w:rPr>
              <w:t>确认收入</w:t>
            </w:r>
            <w:r>
              <w:rPr>
                <w:sz w:val="21"/>
                <w:szCs w:val="21"/>
                <w:spacing w:val="-1"/>
              </w:rPr>
              <w:t>情</w:t>
            </w:r>
            <w:r>
              <w:rPr>
                <w:sz w:val="21"/>
                <w:szCs w:val="21"/>
                <w:spacing w:val="1"/>
              </w:rPr>
              <w:t xml:space="preserve"> </w:t>
            </w:r>
            <w:r>
              <w:rPr>
                <w:sz w:val="21"/>
                <w:szCs w:val="21"/>
              </w:rPr>
              <w:t>形；部分已出租的存货、固定资产</w:t>
            </w:r>
            <w:r>
              <w:rPr>
                <w:sz w:val="21"/>
                <w:szCs w:val="21"/>
                <w:b/>
                <w:bCs/>
              </w:rPr>
              <w:t>未转为</w:t>
            </w:r>
            <w:r>
              <w:rPr>
                <w:sz w:val="21"/>
                <w:szCs w:val="21"/>
              </w:rPr>
              <w:t>投资</w:t>
            </w:r>
            <w:r>
              <w:rPr>
                <w:sz w:val="21"/>
                <w:szCs w:val="21"/>
                <w:spacing w:val="7"/>
              </w:rPr>
              <w:t xml:space="preserve"> </w:t>
            </w:r>
            <w:r>
              <w:rPr>
                <w:sz w:val="21"/>
                <w:szCs w:val="21"/>
              </w:rPr>
              <w:t>性房地产核算；未按权责发生制</w:t>
            </w:r>
            <w:r>
              <w:rPr>
                <w:sz w:val="21"/>
                <w:szCs w:val="21"/>
                <w:b/>
                <w:bCs/>
              </w:rPr>
              <w:t>确认</w:t>
            </w:r>
            <w:r>
              <w:rPr>
                <w:sz w:val="21"/>
                <w:szCs w:val="21"/>
              </w:rPr>
              <w:t>部分经营</w:t>
            </w:r>
            <w:r>
              <w:rPr>
                <w:sz w:val="21"/>
                <w:szCs w:val="21"/>
                <w:spacing w:val="8"/>
              </w:rPr>
              <w:t xml:space="preserve"> </w:t>
            </w:r>
            <w:r>
              <w:rPr>
                <w:sz w:val="21"/>
                <w:szCs w:val="21"/>
                <w:spacing w:val="-2"/>
              </w:rPr>
              <w:t>租赁业务</w:t>
            </w:r>
            <w:r>
              <w:rPr>
                <w:sz w:val="21"/>
                <w:szCs w:val="21"/>
                <w:b/>
                <w:bCs/>
                <w:spacing w:val="-2"/>
              </w:rPr>
              <w:t>收入；对外担保</w:t>
            </w:r>
            <w:r>
              <w:rPr>
                <w:sz w:val="21"/>
                <w:szCs w:val="21"/>
                <w:spacing w:val="-2"/>
              </w:rPr>
              <w:t>信息披露不完整。</w:t>
            </w:r>
          </w:p>
        </w:tc>
      </w:tr>
      <w:tr>
        <w:trPr>
          <w:trHeight w:val="719" w:hRule="atLeast"/>
        </w:trPr>
        <w:tc>
          <w:tcPr>
            <w:tcW w:w="1463" w:type="dxa"/>
            <w:vAlign w:val="top"/>
          </w:tcPr>
          <w:p>
            <w:pPr>
              <w:spacing w:line="248" w:lineRule="auto"/>
              <w:rPr>
                <w:rFonts w:ascii="Arial"/>
                <w:sz w:val="21"/>
              </w:rPr>
            </w:pPr>
            <w:r/>
          </w:p>
          <w:p>
            <w:pPr>
              <w:pStyle w:val="TableText"/>
              <w:ind w:left="684"/>
              <w:spacing w:before="68" w:line="183" w:lineRule="auto"/>
              <w:rPr>
                <w:sz w:val="21"/>
                <w:szCs w:val="21"/>
              </w:rPr>
            </w:pPr>
            <w:r>
              <w:rPr>
                <w:sz w:val="21"/>
                <w:szCs w:val="21"/>
                <w:spacing w:val="-2"/>
              </w:rPr>
              <w:t>002589</w:t>
            </w:r>
          </w:p>
        </w:tc>
        <w:tc>
          <w:tcPr>
            <w:tcW w:w="1488" w:type="dxa"/>
            <w:vAlign w:val="top"/>
          </w:tcPr>
          <w:p>
            <w:pPr>
              <w:pStyle w:val="TableText"/>
              <w:ind w:left="551"/>
              <w:spacing w:before="263" w:line="219" w:lineRule="auto"/>
              <w:rPr>
                <w:sz w:val="21"/>
                <w:szCs w:val="21"/>
              </w:rPr>
            </w:pPr>
            <w:r>
              <w:rPr>
                <w:sz w:val="21"/>
                <w:szCs w:val="21"/>
                <w:spacing w:val="-2"/>
              </w:rPr>
              <w:t>瑞康医药</w:t>
            </w:r>
          </w:p>
        </w:tc>
        <w:tc>
          <w:tcPr>
            <w:tcW w:w="1498" w:type="dxa"/>
            <w:vAlign w:val="top"/>
          </w:tcPr>
          <w:p>
            <w:pPr>
              <w:pStyle w:val="TableText"/>
              <w:ind w:left="633"/>
              <w:spacing w:before="263" w:line="219" w:lineRule="auto"/>
              <w:rPr>
                <w:sz w:val="21"/>
                <w:szCs w:val="21"/>
              </w:rPr>
            </w:pPr>
            <w:r>
              <w:rPr>
                <w:sz w:val="21"/>
                <w:szCs w:val="21"/>
                <w:spacing w:val="7"/>
              </w:rPr>
              <w:t>监管函</w:t>
            </w:r>
          </w:p>
        </w:tc>
        <w:tc>
          <w:tcPr>
            <w:tcW w:w="4550" w:type="dxa"/>
            <w:vAlign w:val="top"/>
          </w:tcPr>
          <w:p>
            <w:pPr>
              <w:pStyle w:val="TableText"/>
              <w:ind w:left="115"/>
              <w:spacing w:before="90" w:line="371" w:lineRule="exact"/>
              <w:rPr>
                <w:sz w:val="21"/>
                <w:szCs w:val="21"/>
              </w:rPr>
            </w:pPr>
            <w:r>
              <w:rPr>
                <w:sz w:val="21"/>
                <w:szCs w:val="21"/>
                <w:spacing w:val="-1"/>
                <w:position w:val="12"/>
              </w:rPr>
              <w:t>未按规定披露</w:t>
            </w:r>
            <w:r>
              <w:rPr>
                <w:sz w:val="21"/>
                <w:szCs w:val="21"/>
                <w:b/>
                <w:bCs/>
                <w:spacing w:val="-1"/>
                <w:position w:val="12"/>
              </w:rPr>
              <w:t>关联交易、财务资助</w:t>
            </w:r>
            <w:r>
              <w:rPr>
                <w:sz w:val="21"/>
                <w:szCs w:val="21"/>
                <w:spacing w:val="-1"/>
                <w:position w:val="12"/>
              </w:rPr>
              <w:t>等事项；未</w:t>
            </w:r>
          </w:p>
          <w:p>
            <w:pPr>
              <w:pStyle w:val="TableText"/>
              <w:ind w:left="105"/>
              <w:spacing w:before="1" w:line="217" w:lineRule="auto"/>
              <w:rPr>
                <w:sz w:val="21"/>
                <w:szCs w:val="21"/>
              </w:rPr>
            </w:pPr>
            <w:r>
              <w:rPr>
                <w:sz w:val="21"/>
                <w:szCs w:val="21"/>
                <w:spacing w:val="-1"/>
              </w:rPr>
              <w:t>按规定及时披露</w:t>
            </w:r>
            <w:r>
              <w:rPr>
                <w:sz w:val="21"/>
                <w:szCs w:val="21"/>
                <w:b/>
                <w:bCs/>
                <w:spacing w:val="-1"/>
              </w:rPr>
              <w:t>重大诉讼、</w:t>
            </w:r>
            <w:r>
              <w:rPr>
                <w:sz w:val="21"/>
                <w:szCs w:val="21"/>
                <w:spacing w:val="-1"/>
              </w:rPr>
              <w:t>仲裁事项。</w:t>
            </w:r>
          </w:p>
        </w:tc>
      </w:tr>
      <w:tr>
        <w:trPr>
          <w:trHeight w:val="719" w:hRule="atLeast"/>
        </w:trPr>
        <w:tc>
          <w:tcPr>
            <w:shd w:val="clear" w:fill="B8CCE4"/>
            <w:tcW w:w="1463" w:type="dxa"/>
            <w:vAlign w:val="top"/>
          </w:tcPr>
          <w:p>
            <w:pPr>
              <w:spacing w:line="249" w:lineRule="auto"/>
              <w:rPr>
                <w:rFonts w:ascii="Arial"/>
                <w:sz w:val="21"/>
              </w:rPr>
            </w:pPr>
            <w:r/>
          </w:p>
          <w:p>
            <w:pPr>
              <w:pStyle w:val="TableText"/>
              <w:ind w:left="684"/>
              <w:spacing w:before="68" w:line="183" w:lineRule="auto"/>
              <w:rPr>
                <w:sz w:val="21"/>
                <w:szCs w:val="21"/>
              </w:rPr>
            </w:pPr>
            <w:r>
              <w:rPr>
                <w:sz w:val="21"/>
                <w:szCs w:val="21"/>
                <w:spacing w:val="-2"/>
              </w:rPr>
              <w:t>300877</w:t>
            </w:r>
          </w:p>
        </w:tc>
        <w:tc>
          <w:tcPr>
            <w:shd w:val="clear" w:fill="B8CCE4"/>
            <w:tcW w:w="1488" w:type="dxa"/>
            <w:vAlign w:val="top"/>
          </w:tcPr>
          <w:p>
            <w:pPr>
              <w:pStyle w:val="TableText"/>
              <w:ind w:left="551"/>
              <w:spacing w:before="264" w:line="219" w:lineRule="auto"/>
              <w:rPr>
                <w:sz w:val="21"/>
                <w:szCs w:val="21"/>
              </w:rPr>
            </w:pPr>
            <w:r>
              <w:rPr>
                <w:sz w:val="21"/>
                <w:szCs w:val="21"/>
                <w:spacing w:val="-2"/>
              </w:rPr>
              <w:t>金春股份</w:t>
            </w:r>
          </w:p>
        </w:tc>
        <w:tc>
          <w:tcPr>
            <w:shd w:val="clear" w:fill="B8CCE4"/>
            <w:tcW w:w="1498" w:type="dxa"/>
            <w:vAlign w:val="top"/>
          </w:tcPr>
          <w:p>
            <w:pPr>
              <w:pStyle w:val="TableText"/>
              <w:ind w:left="633"/>
              <w:spacing w:before="264" w:line="219" w:lineRule="auto"/>
              <w:rPr>
                <w:sz w:val="21"/>
                <w:szCs w:val="21"/>
              </w:rPr>
            </w:pPr>
            <w:r>
              <w:rPr>
                <w:sz w:val="21"/>
                <w:szCs w:val="21"/>
                <w:spacing w:val="7"/>
              </w:rPr>
              <w:t>监管函</w:t>
            </w:r>
          </w:p>
        </w:tc>
        <w:tc>
          <w:tcPr>
            <w:shd w:val="clear" w:fill="B7CBE3"/>
            <w:tcW w:w="4550" w:type="dxa"/>
            <w:vAlign w:val="top"/>
          </w:tcPr>
          <w:p>
            <w:pPr>
              <w:pStyle w:val="TableText"/>
              <w:ind w:left="105" w:right="242" w:firstLine="3"/>
              <w:spacing w:before="112" w:line="260" w:lineRule="auto"/>
              <w:rPr>
                <w:sz w:val="21"/>
                <w:szCs w:val="21"/>
              </w:rPr>
            </w:pPr>
            <w:r>
              <w:rPr>
                <w:sz w:val="21"/>
                <w:szCs w:val="21"/>
                <w:b/>
                <w:bCs/>
                <w:spacing w:val="-12"/>
              </w:rPr>
              <w:t>募集资金理财</w:t>
            </w:r>
            <w:r>
              <w:rPr>
                <w:sz w:val="21"/>
                <w:szCs w:val="21"/>
                <w:spacing w:val="-12"/>
              </w:rPr>
              <w:t>不</w:t>
            </w:r>
            <w:r>
              <w:rPr>
                <w:sz w:val="21"/>
                <w:szCs w:val="21"/>
                <w:spacing w:val="-28"/>
              </w:rPr>
              <w:t xml:space="preserve"> </w:t>
            </w:r>
            <w:r>
              <w:rPr>
                <w:sz w:val="21"/>
                <w:szCs w:val="21"/>
                <w:spacing w:val="-12"/>
              </w:rPr>
              <w:t>规</w:t>
            </w:r>
            <w:r>
              <w:rPr>
                <w:sz w:val="21"/>
                <w:szCs w:val="21"/>
                <w:spacing w:val="-36"/>
              </w:rPr>
              <w:t xml:space="preserve"> </w:t>
            </w:r>
            <w:r>
              <w:rPr>
                <w:sz w:val="21"/>
                <w:szCs w:val="21"/>
                <w:spacing w:val="-12"/>
              </w:rPr>
              <w:t>范</w:t>
            </w:r>
            <w:r>
              <w:rPr>
                <w:sz w:val="21"/>
                <w:szCs w:val="21"/>
                <w:spacing w:val="-50"/>
              </w:rPr>
              <w:t xml:space="preserve"> </w:t>
            </w:r>
            <w:r>
              <w:rPr>
                <w:sz w:val="21"/>
                <w:szCs w:val="21"/>
                <w:spacing w:val="-12"/>
              </w:rPr>
              <w:t>；</w:t>
            </w:r>
            <w:r>
              <w:rPr>
                <w:sz w:val="21"/>
                <w:szCs w:val="21"/>
                <w:b/>
                <w:bCs/>
                <w:spacing w:val="-12"/>
              </w:rPr>
              <w:t>募集资金制度</w:t>
            </w:r>
            <w:r>
              <w:rPr>
                <w:sz w:val="21"/>
                <w:szCs w:val="21"/>
                <w:spacing w:val="-12"/>
              </w:rPr>
              <w:t>执行不规</w:t>
            </w:r>
            <w:r>
              <w:rPr>
                <w:sz w:val="21"/>
                <w:szCs w:val="21"/>
              </w:rPr>
              <w:t xml:space="preserve"> </w:t>
            </w:r>
            <w:r>
              <w:rPr>
                <w:sz w:val="21"/>
                <w:szCs w:val="21"/>
                <w:spacing w:val="-2"/>
              </w:rPr>
              <w:t>范。</w:t>
            </w:r>
          </w:p>
        </w:tc>
      </w:tr>
      <w:tr>
        <w:trPr>
          <w:trHeight w:val="1088" w:hRule="atLeast"/>
        </w:trPr>
        <w:tc>
          <w:tcPr>
            <w:tcW w:w="1463" w:type="dxa"/>
            <w:vAlign w:val="top"/>
          </w:tcPr>
          <w:p>
            <w:pPr>
              <w:spacing w:line="427" w:lineRule="auto"/>
              <w:rPr>
                <w:rFonts w:ascii="Arial"/>
                <w:sz w:val="21"/>
              </w:rPr>
            </w:pPr>
            <w:r/>
          </w:p>
          <w:p>
            <w:pPr>
              <w:pStyle w:val="TableText"/>
              <w:ind w:left="684"/>
              <w:spacing w:before="69" w:line="184" w:lineRule="auto"/>
              <w:rPr>
                <w:sz w:val="21"/>
                <w:szCs w:val="21"/>
              </w:rPr>
            </w:pPr>
            <w:r>
              <w:rPr>
                <w:sz w:val="21"/>
                <w:szCs w:val="21"/>
                <w:spacing w:val="-2"/>
              </w:rPr>
              <w:t>300331</w:t>
            </w:r>
          </w:p>
        </w:tc>
        <w:tc>
          <w:tcPr>
            <w:tcW w:w="1488" w:type="dxa"/>
            <w:vAlign w:val="top"/>
          </w:tcPr>
          <w:p>
            <w:pPr>
              <w:spacing w:line="375" w:lineRule="auto"/>
              <w:rPr>
                <w:rFonts w:ascii="Arial"/>
                <w:sz w:val="21"/>
              </w:rPr>
            </w:pPr>
            <w:r/>
          </w:p>
          <w:p>
            <w:pPr>
              <w:pStyle w:val="TableText"/>
              <w:ind w:left="551"/>
              <w:spacing w:before="68" w:line="219" w:lineRule="auto"/>
              <w:rPr>
                <w:sz w:val="21"/>
                <w:szCs w:val="21"/>
              </w:rPr>
            </w:pPr>
            <w:r>
              <w:rPr>
                <w:sz w:val="21"/>
                <w:szCs w:val="21"/>
                <w:spacing w:val="2"/>
              </w:rPr>
              <w:t>苏大维格</w:t>
            </w:r>
          </w:p>
        </w:tc>
        <w:tc>
          <w:tcPr>
            <w:tcW w:w="1498" w:type="dxa"/>
            <w:vAlign w:val="top"/>
          </w:tcPr>
          <w:p>
            <w:pPr>
              <w:spacing w:line="375" w:lineRule="auto"/>
              <w:rPr>
                <w:rFonts w:ascii="Arial"/>
                <w:sz w:val="21"/>
              </w:rPr>
            </w:pPr>
            <w:r/>
          </w:p>
          <w:p>
            <w:pPr>
              <w:pStyle w:val="TableText"/>
              <w:ind w:left="633"/>
              <w:spacing w:before="68" w:line="219" w:lineRule="auto"/>
              <w:rPr>
                <w:sz w:val="21"/>
                <w:szCs w:val="21"/>
              </w:rPr>
            </w:pPr>
            <w:r>
              <w:rPr>
                <w:sz w:val="21"/>
                <w:szCs w:val="21"/>
                <w:spacing w:val="7"/>
              </w:rPr>
              <w:t>监管函</w:t>
            </w:r>
          </w:p>
        </w:tc>
        <w:tc>
          <w:tcPr>
            <w:tcW w:w="4550" w:type="dxa"/>
            <w:vAlign w:val="top"/>
          </w:tcPr>
          <w:p>
            <w:pPr>
              <w:pStyle w:val="TableText"/>
              <w:ind w:left="105"/>
              <w:spacing w:before="123" w:line="219" w:lineRule="auto"/>
              <w:rPr>
                <w:sz w:val="21"/>
                <w:szCs w:val="21"/>
              </w:rPr>
            </w:pPr>
            <w:r>
              <w:rPr>
                <w:sz w:val="21"/>
                <w:szCs w:val="21"/>
                <w:spacing w:val="-1"/>
              </w:rPr>
              <w:t>苏大维格</w:t>
            </w:r>
            <w:r>
              <w:rPr>
                <w:sz w:val="21"/>
                <w:szCs w:val="21"/>
                <w:b/>
                <w:bCs/>
                <w:spacing w:val="-1"/>
              </w:rPr>
              <w:t>互动易回复相</w:t>
            </w:r>
            <w:r>
              <w:rPr>
                <w:sz w:val="21"/>
                <w:szCs w:val="21"/>
                <w:spacing w:val="-1"/>
              </w:rPr>
              <w:t>关信息不准确、不完</w:t>
            </w:r>
          </w:p>
          <w:p>
            <w:pPr>
              <w:pStyle w:val="TableText"/>
              <w:ind w:left="105" w:right="243"/>
              <w:spacing w:before="111" w:line="261" w:lineRule="auto"/>
              <w:rPr>
                <w:sz w:val="21"/>
                <w:szCs w:val="21"/>
              </w:rPr>
            </w:pPr>
            <w:r>
              <w:rPr>
                <w:sz w:val="21"/>
                <w:szCs w:val="21"/>
                <w:spacing w:val="-1"/>
              </w:rPr>
              <w:t>整，构成误导性陈述，期间，苏大维格股票交</w:t>
            </w:r>
            <w:r>
              <w:rPr>
                <w:sz w:val="21"/>
                <w:szCs w:val="21"/>
                <w:spacing w:val="9"/>
              </w:rPr>
              <w:t xml:space="preserve"> </w:t>
            </w:r>
            <w:r>
              <w:rPr>
                <w:sz w:val="21"/>
                <w:szCs w:val="21"/>
                <w:spacing w:val="-1"/>
              </w:rPr>
              <w:t>易存在异常波动情形，市场影响恶劣。</w:t>
            </w:r>
          </w:p>
        </w:tc>
      </w:tr>
      <w:tr>
        <w:trPr>
          <w:trHeight w:val="350" w:hRule="atLeast"/>
        </w:trPr>
        <w:tc>
          <w:tcPr>
            <w:shd w:val="clear" w:fill="B8CCE4"/>
            <w:tcW w:w="1463" w:type="dxa"/>
            <w:vAlign w:val="top"/>
          </w:tcPr>
          <w:p>
            <w:pPr>
              <w:pStyle w:val="TableText"/>
              <w:ind w:left="684"/>
              <w:spacing w:before="131" w:line="183" w:lineRule="auto"/>
              <w:rPr>
                <w:sz w:val="21"/>
                <w:szCs w:val="21"/>
              </w:rPr>
            </w:pPr>
            <w:r>
              <w:rPr>
                <w:sz w:val="21"/>
                <w:szCs w:val="21"/>
                <w:spacing w:val="-2"/>
              </w:rPr>
              <w:t>002724</w:t>
            </w:r>
          </w:p>
        </w:tc>
        <w:tc>
          <w:tcPr>
            <w:shd w:val="clear" w:fill="B8CCE4"/>
            <w:tcW w:w="1488" w:type="dxa"/>
            <w:vAlign w:val="top"/>
          </w:tcPr>
          <w:p>
            <w:pPr>
              <w:pStyle w:val="TableText"/>
              <w:ind w:left="761"/>
              <w:spacing w:before="78" w:line="220" w:lineRule="auto"/>
              <w:rPr>
                <w:sz w:val="21"/>
                <w:szCs w:val="21"/>
              </w:rPr>
            </w:pPr>
            <w:r>
              <w:rPr>
                <w:sz w:val="21"/>
                <w:szCs w:val="21"/>
                <w:spacing w:val="-2"/>
              </w:rPr>
              <w:t>海洋王</w:t>
            </w:r>
          </w:p>
        </w:tc>
        <w:tc>
          <w:tcPr>
            <w:shd w:val="clear" w:fill="B8CCE4"/>
            <w:tcW w:w="1498" w:type="dxa"/>
            <w:vAlign w:val="top"/>
          </w:tcPr>
          <w:p>
            <w:pPr>
              <w:pStyle w:val="TableText"/>
              <w:ind w:left="633"/>
              <w:spacing w:before="77" w:line="219" w:lineRule="auto"/>
              <w:rPr>
                <w:sz w:val="21"/>
                <w:szCs w:val="21"/>
              </w:rPr>
            </w:pPr>
            <w:r>
              <w:rPr>
                <w:sz w:val="21"/>
                <w:szCs w:val="21"/>
                <w:spacing w:val="7"/>
              </w:rPr>
              <w:t>监管函</w:t>
            </w:r>
          </w:p>
        </w:tc>
        <w:tc>
          <w:tcPr>
            <w:shd w:val="clear" w:fill="B8CCE4"/>
            <w:tcW w:w="4550" w:type="dxa"/>
            <w:vAlign w:val="top"/>
          </w:tcPr>
          <w:p>
            <w:pPr>
              <w:pStyle w:val="TableText"/>
              <w:ind w:left="108"/>
              <w:spacing w:before="73" w:line="219" w:lineRule="auto"/>
              <w:rPr>
                <w:sz w:val="21"/>
                <w:szCs w:val="21"/>
              </w:rPr>
            </w:pPr>
            <w:r>
              <w:rPr>
                <w:sz w:val="21"/>
                <w:szCs w:val="21"/>
                <w:b/>
                <w:bCs/>
                <w:spacing w:val="-11"/>
              </w:rPr>
              <w:t>公司治理</w:t>
            </w:r>
            <w:r>
              <w:rPr>
                <w:sz w:val="21"/>
                <w:szCs w:val="21"/>
                <w:spacing w:val="-11"/>
              </w:rPr>
              <w:t>不</w:t>
            </w:r>
            <w:r>
              <w:rPr>
                <w:sz w:val="21"/>
                <w:szCs w:val="21"/>
                <w:spacing w:val="-46"/>
              </w:rPr>
              <w:t xml:space="preserve"> </w:t>
            </w:r>
            <w:r>
              <w:rPr>
                <w:sz w:val="21"/>
                <w:szCs w:val="21"/>
                <w:spacing w:val="-11"/>
              </w:rPr>
              <w:t>完</w:t>
            </w:r>
            <w:r>
              <w:rPr>
                <w:sz w:val="21"/>
                <w:szCs w:val="21"/>
                <w:spacing w:val="-46"/>
              </w:rPr>
              <w:t xml:space="preserve"> </w:t>
            </w:r>
            <w:r>
              <w:rPr>
                <w:sz w:val="21"/>
                <w:szCs w:val="21"/>
                <w:spacing w:val="-11"/>
              </w:rPr>
              <w:t>善</w:t>
            </w:r>
            <w:r>
              <w:rPr>
                <w:sz w:val="21"/>
                <w:szCs w:val="21"/>
                <w:spacing w:val="-57"/>
              </w:rPr>
              <w:t xml:space="preserve"> </w:t>
            </w:r>
            <w:r>
              <w:rPr>
                <w:sz w:val="21"/>
                <w:szCs w:val="21"/>
                <w:spacing w:val="-11"/>
              </w:rPr>
              <w:t>；</w:t>
            </w:r>
            <w:r>
              <w:rPr>
                <w:sz w:val="21"/>
                <w:szCs w:val="21"/>
                <w:b/>
                <w:bCs/>
                <w:spacing w:val="-11"/>
              </w:rPr>
              <w:t>财务会计核算</w:t>
            </w:r>
            <w:r>
              <w:rPr>
                <w:sz w:val="21"/>
                <w:szCs w:val="21"/>
                <w:spacing w:val="-11"/>
              </w:rPr>
              <w:t>不规范。</w:t>
            </w:r>
          </w:p>
        </w:tc>
      </w:tr>
      <w:tr>
        <w:trPr>
          <w:trHeight w:val="729" w:hRule="atLeast"/>
        </w:trPr>
        <w:tc>
          <w:tcPr>
            <w:tcW w:w="1463" w:type="dxa"/>
            <w:vAlign w:val="top"/>
          </w:tcPr>
          <w:p>
            <w:pPr>
              <w:spacing w:line="251" w:lineRule="auto"/>
              <w:rPr>
                <w:rFonts w:ascii="Arial"/>
                <w:sz w:val="21"/>
              </w:rPr>
            </w:pPr>
            <w:r/>
          </w:p>
          <w:p>
            <w:pPr>
              <w:pStyle w:val="TableText"/>
              <w:ind w:left="684"/>
              <w:spacing w:before="69" w:line="183" w:lineRule="auto"/>
              <w:rPr>
                <w:sz w:val="21"/>
                <w:szCs w:val="21"/>
              </w:rPr>
            </w:pPr>
            <w:r>
              <w:rPr>
                <w:sz w:val="21"/>
                <w:szCs w:val="21"/>
                <w:spacing w:val="-2"/>
              </w:rPr>
              <w:t>300050</w:t>
            </w:r>
          </w:p>
        </w:tc>
        <w:tc>
          <w:tcPr>
            <w:tcW w:w="1488" w:type="dxa"/>
            <w:vAlign w:val="top"/>
          </w:tcPr>
          <w:p>
            <w:pPr>
              <w:pStyle w:val="TableText"/>
              <w:ind w:left="551"/>
              <w:spacing w:before="266" w:line="219" w:lineRule="auto"/>
              <w:rPr>
                <w:sz w:val="21"/>
                <w:szCs w:val="21"/>
              </w:rPr>
            </w:pPr>
            <w:r>
              <w:rPr>
                <w:sz w:val="21"/>
                <w:szCs w:val="21"/>
                <w:spacing w:val="3"/>
              </w:rPr>
              <w:t>世纪鼎利</w:t>
            </w:r>
          </w:p>
        </w:tc>
        <w:tc>
          <w:tcPr>
            <w:tcW w:w="1498" w:type="dxa"/>
            <w:vAlign w:val="top"/>
          </w:tcPr>
          <w:p>
            <w:pPr>
              <w:pStyle w:val="TableText"/>
              <w:ind w:left="633"/>
              <w:spacing w:before="267" w:line="219" w:lineRule="auto"/>
              <w:rPr>
                <w:sz w:val="21"/>
                <w:szCs w:val="21"/>
              </w:rPr>
            </w:pPr>
            <w:r>
              <w:rPr>
                <w:sz w:val="21"/>
                <w:szCs w:val="21"/>
                <w:spacing w:val="7"/>
              </w:rPr>
              <w:t>监管函</w:t>
            </w:r>
          </w:p>
        </w:tc>
        <w:tc>
          <w:tcPr>
            <w:tcW w:w="4550" w:type="dxa"/>
            <w:vAlign w:val="top"/>
          </w:tcPr>
          <w:p>
            <w:pPr>
              <w:pStyle w:val="TableText"/>
              <w:ind w:left="108" w:right="215" w:firstLine="7"/>
              <w:spacing w:before="117" w:line="262" w:lineRule="auto"/>
              <w:rPr>
                <w:sz w:val="21"/>
                <w:szCs w:val="21"/>
              </w:rPr>
            </w:pPr>
            <w:r>
              <w:rPr>
                <w:sz w:val="21"/>
                <w:szCs w:val="21"/>
              </w:rPr>
              <w:t>公司未对长江学院和长春职院合作办学项目进</w:t>
            </w:r>
            <w:r>
              <w:rPr>
                <w:sz w:val="21"/>
                <w:szCs w:val="21"/>
                <w:spacing w:val="7"/>
              </w:rPr>
              <w:t xml:space="preserve"> </w:t>
            </w:r>
            <w:r>
              <w:rPr>
                <w:sz w:val="21"/>
                <w:szCs w:val="21"/>
                <w:b/>
                <w:bCs/>
                <w:spacing w:val="-1"/>
              </w:rPr>
              <w:t>行减值测试，</w:t>
            </w:r>
            <w:r>
              <w:rPr>
                <w:sz w:val="21"/>
                <w:szCs w:val="21"/>
                <w:spacing w:val="-1"/>
              </w:rPr>
              <w:t>导致2021年少计提减值准</w:t>
            </w:r>
            <w:r>
              <w:rPr>
                <w:sz w:val="21"/>
                <w:szCs w:val="21"/>
                <w:spacing w:val="-2"/>
              </w:rPr>
              <w:t>备。</w:t>
            </w:r>
          </w:p>
        </w:tc>
      </w:tr>
      <w:tr>
        <w:trPr>
          <w:trHeight w:val="714" w:hRule="atLeast"/>
        </w:trPr>
        <w:tc>
          <w:tcPr>
            <w:shd w:val="clear" w:fill="B8CCE4"/>
            <w:tcW w:w="1463" w:type="dxa"/>
            <w:vAlign w:val="top"/>
          </w:tcPr>
          <w:p>
            <w:pPr>
              <w:spacing w:line="243" w:lineRule="auto"/>
              <w:rPr>
                <w:rFonts w:ascii="Arial"/>
                <w:sz w:val="21"/>
              </w:rPr>
            </w:pPr>
            <w:r/>
          </w:p>
          <w:p>
            <w:pPr>
              <w:pStyle w:val="TableText"/>
              <w:ind w:left="684"/>
              <w:spacing w:before="68" w:line="183" w:lineRule="auto"/>
              <w:rPr>
                <w:sz w:val="21"/>
                <w:szCs w:val="21"/>
              </w:rPr>
            </w:pPr>
            <w:r>
              <w:rPr>
                <w:sz w:val="21"/>
                <w:szCs w:val="21"/>
                <w:spacing w:val="-2"/>
              </w:rPr>
              <w:t>000839</w:t>
            </w:r>
          </w:p>
        </w:tc>
        <w:tc>
          <w:tcPr>
            <w:shd w:val="clear" w:fill="B8CCE4"/>
            <w:tcW w:w="1488" w:type="dxa"/>
            <w:vAlign w:val="top"/>
          </w:tcPr>
          <w:p>
            <w:pPr>
              <w:pStyle w:val="TableText"/>
              <w:ind w:left="761"/>
              <w:spacing w:before="259" w:line="221" w:lineRule="auto"/>
              <w:rPr>
                <w:sz w:val="21"/>
                <w:szCs w:val="21"/>
              </w:rPr>
            </w:pPr>
            <w:r>
              <w:rPr>
                <w:sz w:val="21"/>
                <w:szCs w:val="21"/>
              </w:rPr>
              <w:t>ST</w:t>
            </w:r>
            <w:r>
              <w:rPr>
                <w:sz w:val="21"/>
                <w:szCs w:val="21"/>
                <w:spacing w:val="6"/>
              </w:rPr>
              <w:t>国安</w:t>
            </w:r>
          </w:p>
        </w:tc>
        <w:tc>
          <w:tcPr>
            <w:shd w:val="clear" w:fill="B8CCE4"/>
            <w:tcW w:w="1498" w:type="dxa"/>
            <w:vAlign w:val="top"/>
          </w:tcPr>
          <w:p>
            <w:pPr>
              <w:pStyle w:val="TableText"/>
              <w:ind w:left="623"/>
              <w:spacing w:before="258" w:line="219" w:lineRule="auto"/>
              <w:rPr>
                <w:sz w:val="21"/>
                <w:szCs w:val="21"/>
              </w:rPr>
            </w:pPr>
            <w:r>
              <w:rPr>
                <w:sz w:val="21"/>
                <w:szCs w:val="21"/>
                <w:spacing w:val="7"/>
              </w:rPr>
              <w:t>监管函</w:t>
            </w:r>
          </w:p>
        </w:tc>
        <w:tc>
          <w:tcPr>
            <w:shd w:val="clear" w:fill="B7CBE3"/>
            <w:tcW w:w="4550" w:type="dxa"/>
            <w:vAlign w:val="top"/>
          </w:tcPr>
          <w:p>
            <w:pPr>
              <w:pStyle w:val="TableText"/>
              <w:ind w:right="776"/>
              <w:spacing w:before="107" w:line="262" w:lineRule="auto"/>
              <w:rPr>
                <w:sz w:val="21"/>
                <w:szCs w:val="21"/>
              </w:rPr>
            </w:pPr>
            <w:r>
              <w:rPr>
                <w:sz w:val="21"/>
                <w:szCs w:val="21"/>
                <w:spacing w:val="-1"/>
              </w:rPr>
              <w:t>《2009年年度报告》《2010年年度报告》</w:t>
            </w:r>
            <w:r>
              <w:rPr>
                <w:sz w:val="21"/>
                <w:szCs w:val="21"/>
                <w:spacing w:val="3"/>
              </w:rPr>
              <w:t xml:space="preserve"> </w:t>
            </w:r>
            <w:r>
              <w:rPr>
                <w:sz w:val="21"/>
                <w:szCs w:val="21"/>
                <w:spacing w:val="-1"/>
              </w:rPr>
              <w:t>《201年年度报告》《2012年年度报告》</w:t>
            </w:r>
          </w:p>
        </w:tc>
      </w:tr>
    </w:tbl>
    <w:p>
      <w:pPr>
        <w:pStyle w:val="BodyText"/>
        <w:rPr/>
      </w:pPr>
      <w:r/>
    </w:p>
    <w:p>
      <w:pPr>
        <w:sectPr>
          <w:pgSz w:w="11910" w:h="16840"/>
          <w:pgMar w:top="399" w:right="1099" w:bottom="0" w:left="350" w:header="0" w:footer="0" w:gutter="0"/>
        </w:sectPr>
        <w:rPr/>
      </w:pPr>
    </w:p>
    <w:tbl>
      <w:tblPr>
        <w:tblStyle w:val="TableNormal"/>
        <w:tblW w:w="9018" w:type="dxa"/>
        <w:tblInd w:w="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0"/>
        <w:gridCol w:w="1486"/>
        <w:gridCol w:w="1499"/>
        <w:gridCol w:w="4563"/>
      </w:tblGrid>
      <w:tr>
        <w:trPr>
          <w:trHeight w:val="729" w:hRule="atLeast"/>
        </w:trPr>
        <w:tc>
          <w:tcPr>
            <w:shd w:val="clear" w:fill="B8CCE4"/>
            <w:tcW w:w="1470" w:type="dxa"/>
            <w:vAlign w:val="top"/>
          </w:tcPr>
          <w:p>
            <w:pPr>
              <w:rPr>
                <w:rFonts w:ascii="Arial"/>
                <w:sz w:val="21"/>
              </w:rPr>
            </w:pPr>
            <w:r/>
          </w:p>
        </w:tc>
        <w:tc>
          <w:tcPr>
            <w:shd w:val="clear" w:fill="B8CCE4"/>
            <w:tcW w:w="1486" w:type="dxa"/>
            <w:vAlign w:val="top"/>
          </w:tcPr>
          <w:p>
            <w:pPr>
              <w:rPr>
                <w:rFonts w:ascii="Arial"/>
                <w:sz w:val="21"/>
              </w:rPr>
            </w:pPr>
            <w:r/>
          </w:p>
        </w:tc>
        <w:tc>
          <w:tcPr>
            <w:shd w:val="clear" w:fill="B8CCE4"/>
            <w:tcW w:w="1499" w:type="dxa"/>
            <w:vAlign w:val="top"/>
          </w:tcPr>
          <w:p>
            <w:pPr>
              <w:rPr>
                <w:rFonts w:ascii="Arial"/>
                <w:sz w:val="21"/>
              </w:rPr>
            </w:pPr>
            <w:r/>
          </w:p>
        </w:tc>
        <w:tc>
          <w:tcPr>
            <w:shd w:val="clear" w:fill="B8CCE4"/>
            <w:tcW w:w="4563" w:type="dxa"/>
            <w:vAlign w:val="top"/>
          </w:tcPr>
          <w:p>
            <w:pPr>
              <w:ind w:left="103" w:right="519"/>
              <w:spacing w:before="94"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《2013年年度报告》《2014年年度报告》</w:t>
            </w:r>
            <w:r>
              <w:rPr>
                <w:rFonts w:ascii="Microsoft YaHei" w:hAnsi="Microsoft YaHei" w:eastAsia="Microsoft YaHei" w:cs="Microsoft YaHei"/>
                <w:sz w:val="21"/>
                <w:szCs w:val="21"/>
                <w:color w:val="333333"/>
                <w:spacing w:val="8"/>
              </w:rPr>
              <w:t xml:space="preserve"> </w:t>
            </w:r>
            <w:r>
              <w:rPr>
                <w:rFonts w:ascii="Microsoft YaHei" w:hAnsi="Microsoft YaHei" w:eastAsia="Microsoft YaHei" w:cs="Microsoft YaHei"/>
                <w:sz w:val="21"/>
                <w:szCs w:val="21"/>
                <w:color w:val="333333"/>
              </w:rPr>
              <w:t>《2015年年度报告》中存在</w:t>
            </w:r>
            <w:r>
              <w:rPr>
                <w:rFonts w:ascii="Microsoft YaHei" w:hAnsi="Microsoft YaHei" w:eastAsia="Microsoft YaHei" w:cs="Microsoft YaHei"/>
                <w:sz w:val="21"/>
                <w:szCs w:val="21"/>
                <w:b/>
                <w:bCs/>
                <w:color w:val="333333"/>
              </w:rPr>
              <w:t>虚假记载。</w:t>
            </w:r>
          </w:p>
        </w:tc>
      </w:tr>
      <w:tr>
        <w:trPr>
          <w:trHeight w:val="1447" w:hRule="atLeast"/>
        </w:trPr>
        <w:tc>
          <w:tcPr>
            <w:tcW w:w="1470" w:type="dxa"/>
            <w:vAlign w:val="top"/>
          </w:tcPr>
          <w:p>
            <w:pPr>
              <w:spacing w:line="273" w:lineRule="auto"/>
              <w:rPr>
                <w:rFonts w:ascii="Arial"/>
                <w:sz w:val="21"/>
              </w:rPr>
            </w:pPr>
            <w:r/>
          </w:p>
          <w:p>
            <w:pPr>
              <w:spacing w:line="273" w:lineRule="auto"/>
              <w:rPr>
                <w:rFonts w:ascii="Arial"/>
                <w:sz w:val="21"/>
              </w:rPr>
            </w:pPr>
            <w:r/>
          </w:p>
          <w:p>
            <w:pPr>
              <w:ind w:left="590"/>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300527</w:t>
            </w:r>
          </w:p>
        </w:tc>
        <w:tc>
          <w:tcPr>
            <w:tcW w:w="1486" w:type="dxa"/>
            <w:vAlign w:val="top"/>
          </w:tcPr>
          <w:p>
            <w:pPr>
              <w:spacing w:line="268" w:lineRule="auto"/>
              <w:rPr>
                <w:rFonts w:ascii="Arial"/>
                <w:sz w:val="21"/>
              </w:rPr>
            </w:pPr>
            <w:r/>
          </w:p>
          <w:p>
            <w:pPr>
              <w:spacing w:line="269" w:lineRule="auto"/>
              <w:rPr>
                <w:rFonts w:ascii="Arial"/>
                <w:sz w:val="21"/>
              </w:rPr>
            </w:pPr>
            <w:r/>
          </w:p>
          <w:p>
            <w:pPr>
              <w:ind w:left="543"/>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4"/>
              </w:rPr>
              <w:t>中船应急</w:t>
            </w:r>
          </w:p>
        </w:tc>
        <w:tc>
          <w:tcPr>
            <w:tcW w:w="1499" w:type="dxa"/>
            <w:vAlign w:val="top"/>
          </w:tcPr>
          <w:p>
            <w:pPr>
              <w:spacing w:line="268" w:lineRule="auto"/>
              <w:rPr>
                <w:rFonts w:ascii="Arial"/>
                <w:sz w:val="21"/>
              </w:rPr>
            </w:pPr>
            <w:r/>
          </w:p>
          <w:p>
            <w:pPr>
              <w:spacing w:line="269" w:lineRule="auto"/>
              <w:rPr>
                <w:rFonts w:ascii="Arial"/>
                <w:sz w:val="21"/>
              </w:rPr>
            </w:pPr>
            <w:r/>
          </w:p>
          <w:p>
            <w:pPr>
              <w:ind w:left="646"/>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tcW w:w="4563" w:type="dxa"/>
            <w:vAlign w:val="top"/>
          </w:tcPr>
          <w:p>
            <w:pPr>
              <w:ind w:left="108" w:right="243"/>
              <w:spacing w:before="91"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公司2021年至2022年</w:t>
            </w:r>
            <w:r>
              <w:rPr>
                <w:rFonts w:ascii="Microsoft YaHei" w:hAnsi="Microsoft YaHei" w:eastAsia="Microsoft YaHei" w:cs="Microsoft YaHei"/>
                <w:sz w:val="21"/>
                <w:szCs w:val="21"/>
                <w:b/>
                <w:bCs/>
                <w:color w:val="333333"/>
              </w:rPr>
              <w:t>收入确认</w:t>
            </w:r>
            <w:r>
              <w:rPr>
                <w:rFonts w:ascii="Microsoft YaHei" w:hAnsi="Microsoft YaHei" w:eastAsia="Microsoft YaHei" w:cs="Microsoft YaHei"/>
                <w:sz w:val="21"/>
                <w:szCs w:val="21"/>
                <w:color w:val="333333"/>
              </w:rPr>
              <w:t>不准确、2</w:t>
            </w:r>
            <w:r>
              <w:rPr>
                <w:rFonts w:ascii="Microsoft YaHei" w:hAnsi="Microsoft YaHei" w:eastAsia="Microsoft YaHei" w:cs="Microsoft YaHei"/>
                <w:sz w:val="21"/>
                <w:szCs w:val="21"/>
                <w:color w:val="333333"/>
                <w:spacing w:val="-1"/>
              </w:rPr>
              <w:t>022</w:t>
            </w:r>
            <w:r>
              <w:rPr>
                <w:rFonts w:ascii="Microsoft YaHei" w:hAnsi="Microsoft YaHei" w:eastAsia="Microsoft YaHei" w:cs="Microsoft YaHei"/>
                <w:sz w:val="21"/>
                <w:szCs w:val="21"/>
                <w:color w:val="333333"/>
              </w:rPr>
              <w:t xml:space="preserve"> </w:t>
            </w:r>
            <w:r>
              <w:rPr>
                <w:rFonts w:ascii="Microsoft YaHei" w:hAnsi="Microsoft YaHei" w:eastAsia="Microsoft YaHei" w:cs="Microsoft YaHei"/>
                <w:sz w:val="21"/>
                <w:szCs w:val="21"/>
                <w:color w:val="333333"/>
                <w:spacing w:val="-4"/>
              </w:rPr>
              <w:t>年部分</w:t>
            </w:r>
            <w:r>
              <w:rPr>
                <w:rFonts w:ascii="Microsoft YaHei" w:hAnsi="Microsoft YaHei" w:eastAsia="Microsoft YaHei" w:cs="Microsoft YaHei"/>
                <w:sz w:val="21"/>
                <w:szCs w:val="21"/>
                <w:b/>
                <w:bCs/>
                <w:color w:val="333333"/>
                <w:spacing w:val="-4"/>
              </w:rPr>
              <w:t>债权坏账</w:t>
            </w:r>
            <w:r>
              <w:rPr>
                <w:rFonts w:ascii="Microsoft YaHei" w:hAnsi="Microsoft YaHei" w:eastAsia="Microsoft YaHei" w:cs="Microsoft YaHei"/>
                <w:sz w:val="21"/>
                <w:szCs w:val="21"/>
                <w:color w:val="333333"/>
                <w:spacing w:val="-4"/>
              </w:rPr>
              <w:t>计提不准确、</w:t>
            </w:r>
            <w:r>
              <w:rPr>
                <w:rFonts w:ascii="Microsoft YaHei" w:hAnsi="Microsoft YaHei" w:eastAsia="Microsoft YaHei" w:cs="Microsoft YaHei"/>
                <w:sz w:val="21"/>
                <w:szCs w:val="21"/>
                <w:color w:val="333333"/>
                <w:spacing w:val="29"/>
                <w:w w:val="101"/>
              </w:rPr>
              <w:t xml:space="preserve"> </w:t>
            </w:r>
            <w:r>
              <w:rPr>
                <w:rFonts w:ascii="Microsoft YaHei" w:hAnsi="Microsoft YaHei" w:eastAsia="Microsoft YaHei" w:cs="Microsoft YaHei"/>
                <w:sz w:val="21"/>
                <w:szCs w:val="21"/>
                <w:color w:val="333333"/>
                <w:spacing w:val="-4"/>
              </w:rPr>
              <w:t>2018年至2023</w:t>
            </w:r>
            <w:r>
              <w:rPr>
                <w:rFonts w:ascii="Microsoft YaHei" w:hAnsi="Microsoft YaHei" w:eastAsia="Microsoft YaHei" w:cs="Microsoft YaHei"/>
                <w:sz w:val="21"/>
                <w:szCs w:val="21"/>
                <w:color w:val="333333"/>
              </w:rPr>
              <w:t xml:space="preserve">  </w:t>
            </w:r>
            <w:r>
              <w:rPr>
                <w:rFonts w:ascii="Microsoft YaHei" w:hAnsi="Microsoft YaHei" w:eastAsia="Microsoft YaHei" w:cs="Microsoft YaHei"/>
                <w:sz w:val="21"/>
                <w:szCs w:val="21"/>
                <w:color w:val="333333"/>
              </w:rPr>
              <w:t>年部分</w:t>
            </w:r>
            <w:r>
              <w:rPr>
                <w:rFonts w:ascii="Microsoft YaHei" w:hAnsi="Microsoft YaHei" w:eastAsia="Microsoft YaHei" w:cs="Microsoft YaHei"/>
                <w:sz w:val="21"/>
                <w:szCs w:val="21"/>
                <w:b/>
                <w:bCs/>
                <w:color w:val="333333"/>
              </w:rPr>
              <w:t>关联方往来</w:t>
            </w:r>
            <w:r>
              <w:rPr>
                <w:rFonts w:ascii="Microsoft YaHei" w:hAnsi="Microsoft YaHei" w:eastAsia="Microsoft YaHei" w:cs="Microsoft YaHei"/>
                <w:sz w:val="21"/>
                <w:szCs w:val="21"/>
                <w:color w:val="333333"/>
              </w:rPr>
              <w:t>未履行审议程序和信息披露 </w:t>
            </w:r>
            <w:r>
              <w:rPr>
                <w:rFonts w:ascii="Microsoft YaHei" w:hAnsi="Microsoft YaHei" w:eastAsia="Microsoft YaHei" w:cs="Microsoft YaHei"/>
                <w:sz w:val="21"/>
                <w:szCs w:val="21"/>
                <w:color w:val="333333"/>
              </w:rPr>
              <w:t>义务、应收账款单项计提会计政策未披露。</w:t>
            </w:r>
          </w:p>
        </w:tc>
      </w:tr>
      <w:tr>
        <w:trPr>
          <w:trHeight w:val="1444" w:hRule="atLeast"/>
        </w:trPr>
        <w:tc>
          <w:tcPr>
            <w:shd w:val="clear" w:fill="B8CCE4"/>
            <w:tcW w:w="1470" w:type="dxa"/>
            <w:vAlign w:val="top"/>
          </w:tcPr>
          <w:p>
            <w:pPr>
              <w:spacing w:line="272" w:lineRule="auto"/>
              <w:rPr>
                <w:rFonts w:ascii="Arial"/>
                <w:sz w:val="21"/>
              </w:rPr>
            </w:pPr>
            <w:r/>
          </w:p>
          <w:p>
            <w:pPr>
              <w:spacing w:line="273" w:lineRule="auto"/>
              <w:rPr>
                <w:rFonts w:ascii="Arial"/>
                <w:sz w:val="21"/>
              </w:rPr>
            </w:pPr>
            <w:r/>
          </w:p>
          <w:p>
            <w:pPr>
              <w:ind w:left="590"/>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300910</w:t>
            </w:r>
          </w:p>
        </w:tc>
        <w:tc>
          <w:tcPr>
            <w:shd w:val="clear" w:fill="B8CCE4"/>
            <w:tcW w:w="1486" w:type="dxa"/>
            <w:vAlign w:val="top"/>
          </w:tcPr>
          <w:p>
            <w:pPr>
              <w:spacing w:line="269" w:lineRule="auto"/>
              <w:rPr>
                <w:rFonts w:ascii="Arial"/>
                <w:sz w:val="21"/>
              </w:rPr>
            </w:pPr>
            <w:r/>
          </w:p>
          <w:p>
            <w:pPr>
              <w:spacing w:line="269" w:lineRule="auto"/>
              <w:rPr>
                <w:rFonts w:ascii="Arial"/>
                <w:sz w:val="21"/>
              </w:rPr>
            </w:pPr>
            <w:r/>
          </w:p>
          <w:p>
            <w:pPr>
              <w:ind w:left="533"/>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瑞丰新材</w:t>
            </w:r>
          </w:p>
        </w:tc>
        <w:tc>
          <w:tcPr>
            <w:shd w:val="clear" w:fill="B8CCE4"/>
            <w:tcW w:w="1499" w:type="dxa"/>
            <w:vAlign w:val="top"/>
          </w:tcPr>
          <w:p>
            <w:pPr>
              <w:spacing w:line="268" w:lineRule="auto"/>
              <w:rPr>
                <w:rFonts w:ascii="Arial"/>
                <w:sz w:val="21"/>
              </w:rPr>
            </w:pPr>
            <w:r/>
          </w:p>
          <w:p>
            <w:pPr>
              <w:spacing w:line="269" w:lineRule="auto"/>
              <w:rPr>
                <w:rFonts w:ascii="Arial"/>
                <w:sz w:val="21"/>
              </w:rPr>
            </w:pPr>
            <w:r/>
          </w:p>
          <w:p>
            <w:pPr>
              <w:ind w:left="646"/>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shd w:val="clear" w:fill="B8CCE4"/>
            <w:tcW w:w="4563" w:type="dxa"/>
            <w:vAlign w:val="top"/>
          </w:tcPr>
          <w:p>
            <w:pPr>
              <w:ind w:left="107" w:right="246" w:firstLine="4"/>
              <w:spacing w:before="88" w:line="224"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首发募集资金投资项目</w:t>
            </w:r>
            <w:r>
              <w:rPr>
                <w:rFonts w:ascii="Microsoft YaHei" w:hAnsi="Microsoft YaHei" w:eastAsia="Microsoft YaHei" w:cs="Microsoft YaHei"/>
                <w:sz w:val="21"/>
                <w:szCs w:val="21"/>
                <w:b/>
                <w:bCs/>
                <w:color w:val="333333"/>
                <w:spacing w:val="-3"/>
              </w:rPr>
              <w:t>实施进展</w:t>
            </w:r>
            <w:r>
              <w:rPr>
                <w:rFonts w:ascii="Microsoft YaHei" w:hAnsi="Microsoft YaHei" w:eastAsia="Microsoft YaHei" w:cs="Microsoft YaHei"/>
                <w:sz w:val="21"/>
                <w:szCs w:val="21"/>
                <w:color w:val="333333"/>
                <w:spacing w:val="-3"/>
              </w:rPr>
              <w:t>披露不准确、</w:t>
            </w:r>
            <w:r>
              <w:rPr>
                <w:rFonts w:ascii="Microsoft YaHei" w:hAnsi="Microsoft YaHei" w:eastAsia="Microsoft YaHei" w:cs="Microsoft YaHei"/>
                <w:sz w:val="21"/>
                <w:szCs w:val="21"/>
                <w:color w:val="333333"/>
                <w:spacing w:val="8"/>
              </w:rPr>
              <w:t xml:space="preserve">  </w:t>
            </w:r>
            <w:r>
              <w:rPr>
                <w:rFonts w:ascii="Microsoft YaHei" w:hAnsi="Microsoft YaHei" w:eastAsia="Microsoft YaHei" w:cs="Microsoft YaHei"/>
                <w:sz w:val="21"/>
                <w:szCs w:val="21"/>
                <w:color w:val="333333"/>
              </w:rPr>
              <w:t>部分募集资金未严格按照招股说明书</w:t>
            </w:r>
            <w:r>
              <w:rPr>
                <w:rFonts w:ascii="Microsoft YaHei" w:hAnsi="Microsoft YaHei" w:eastAsia="Microsoft YaHei" w:cs="Microsoft YaHei"/>
                <w:sz w:val="21"/>
                <w:szCs w:val="21"/>
                <w:b/>
                <w:bCs/>
                <w:color w:val="333333"/>
              </w:rPr>
              <w:t>披露用途</w:t>
            </w:r>
            <w:r>
              <w:rPr>
                <w:rFonts w:ascii="Microsoft YaHei" w:hAnsi="Microsoft YaHei" w:eastAsia="Microsoft YaHei" w:cs="Microsoft YaHei"/>
                <w:sz w:val="21"/>
                <w:szCs w:val="21"/>
                <w:b/>
                <w:bCs/>
                <w:color w:val="333333"/>
                <w:spacing w:val="2"/>
              </w:rPr>
              <w:t xml:space="preserve"> </w:t>
            </w:r>
            <w:r>
              <w:rPr>
                <w:rFonts w:ascii="Microsoft YaHei" w:hAnsi="Microsoft YaHei" w:eastAsia="Microsoft YaHei" w:cs="Microsoft YaHei"/>
                <w:sz w:val="21"/>
                <w:szCs w:val="21"/>
                <w:color w:val="333333"/>
              </w:rPr>
              <w:t>使用、募集资金</w:t>
            </w:r>
            <w:r>
              <w:rPr>
                <w:rFonts w:ascii="Microsoft YaHei" w:hAnsi="Microsoft YaHei" w:eastAsia="Microsoft YaHei" w:cs="Microsoft YaHei"/>
                <w:sz w:val="21"/>
                <w:szCs w:val="21"/>
                <w:b/>
                <w:bCs/>
                <w:color w:val="333333"/>
              </w:rPr>
              <w:t>置换</w:t>
            </w:r>
            <w:r>
              <w:rPr>
                <w:rFonts w:ascii="Microsoft YaHei" w:hAnsi="Microsoft YaHei" w:eastAsia="Microsoft YaHei" w:cs="Microsoft YaHei"/>
                <w:sz w:val="21"/>
                <w:szCs w:val="21"/>
                <w:color w:val="333333"/>
              </w:rPr>
              <w:t>情况披露不准确、募集资</w:t>
            </w:r>
            <w:r>
              <w:rPr>
                <w:rFonts w:ascii="Microsoft YaHei" w:hAnsi="Microsoft YaHei" w:eastAsia="Microsoft YaHei" w:cs="Microsoft YaHei"/>
                <w:sz w:val="21"/>
                <w:szCs w:val="21"/>
                <w:color w:val="333333"/>
                <w:spacing w:val="2"/>
              </w:rPr>
              <w:t xml:space="preserve"> </w:t>
            </w:r>
            <w:r>
              <w:rPr>
                <w:rFonts w:ascii="Microsoft YaHei" w:hAnsi="Microsoft YaHei" w:eastAsia="Microsoft YaHei" w:cs="Microsoft YaHei"/>
                <w:sz w:val="21"/>
                <w:szCs w:val="21"/>
                <w:color w:val="333333"/>
              </w:rPr>
              <w:t>金专户</w:t>
            </w:r>
            <w:r>
              <w:rPr>
                <w:rFonts w:ascii="Microsoft YaHei" w:hAnsi="Microsoft YaHei" w:eastAsia="Microsoft YaHei" w:cs="Microsoft YaHei"/>
                <w:sz w:val="21"/>
                <w:szCs w:val="21"/>
                <w:b/>
                <w:bCs/>
                <w:color w:val="333333"/>
              </w:rPr>
              <w:t>资金混用。</w:t>
            </w:r>
          </w:p>
        </w:tc>
      </w:tr>
      <w:tr>
        <w:trPr>
          <w:trHeight w:val="725" w:hRule="atLeast"/>
        </w:trPr>
        <w:tc>
          <w:tcPr>
            <w:tcW w:w="1470" w:type="dxa"/>
            <w:vAlign w:val="top"/>
          </w:tcPr>
          <w:p>
            <w:pPr>
              <w:ind w:left="590"/>
              <w:spacing w:before="28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300886</w:t>
            </w:r>
          </w:p>
        </w:tc>
        <w:tc>
          <w:tcPr>
            <w:tcW w:w="1486" w:type="dxa"/>
            <w:vAlign w:val="top"/>
          </w:tcPr>
          <w:p>
            <w:pPr>
              <w:ind w:left="535"/>
              <w:spacing w:before="27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华业香料</w:t>
            </w:r>
          </w:p>
        </w:tc>
        <w:tc>
          <w:tcPr>
            <w:tcW w:w="1499" w:type="dxa"/>
            <w:vAlign w:val="top"/>
          </w:tcPr>
          <w:p>
            <w:pPr>
              <w:ind w:left="646"/>
              <w:spacing w:before="27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tcW w:w="4563" w:type="dxa"/>
            <w:vAlign w:val="top"/>
          </w:tcPr>
          <w:p>
            <w:pPr>
              <w:ind w:left="106" w:right="247" w:firstLine="6"/>
              <w:spacing w:before="90"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333333"/>
                <w:spacing w:val="-1"/>
              </w:rPr>
              <w:t>董事会运作</w:t>
            </w:r>
            <w:r>
              <w:rPr>
                <w:rFonts w:ascii="Microsoft YaHei" w:hAnsi="Microsoft YaHei" w:eastAsia="Microsoft YaHei" w:cs="Microsoft YaHei"/>
                <w:sz w:val="21"/>
                <w:szCs w:val="21"/>
                <w:color w:val="333333"/>
                <w:spacing w:val="-1"/>
              </w:rPr>
              <w:t>不规范；</w:t>
            </w:r>
            <w:r>
              <w:rPr>
                <w:rFonts w:ascii="Microsoft YaHei" w:hAnsi="Microsoft YaHei" w:eastAsia="Microsoft YaHei" w:cs="Microsoft YaHei"/>
                <w:sz w:val="21"/>
                <w:szCs w:val="21"/>
                <w:b/>
                <w:bCs/>
                <w:color w:val="333333"/>
                <w:spacing w:val="-1"/>
              </w:rPr>
              <w:t>内幕信息知情人登记管理</w:t>
            </w:r>
            <w:r>
              <w:rPr>
                <w:rFonts w:ascii="Microsoft YaHei" w:hAnsi="Microsoft YaHei" w:eastAsia="Microsoft YaHei" w:cs="Microsoft YaHei"/>
                <w:sz w:val="21"/>
                <w:szCs w:val="21"/>
                <w:b/>
                <w:bCs/>
                <w:color w:val="333333"/>
                <w:spacing w:val="16"/>
              </w:rPr>
              <w:t xml:space="preserve"> </w:t>
            </w:r>
            <w:r>
              <w:rPr>
                <w:rFonts w:ascii="Microsoft YaHei" w:hAnsi="Microsoft YaHei" w:eastAsia="Microsoft YaHei" w:cs="Microsoft YaHei"/>
                <w:sz w:val="21"/>
                <w:szCs w:val="21"/>
                <w:color w:val="333333"/>
              </w:rPr>
              <w:t>不规范。</w:t>
            </w:r>
          </w:p>
        </w:tc>
      </w:tr>
      <w:tr>
        <w:trPr>
          <w:trHeight w:val="727" w:hRule="atLeast"/>
        </w:trPr>
        <w:tc>
          <w:tcPr>
            <w:shd w:val="clear" w:fill="B8CCE4"/>
            <w:tcW w:w="1470" w:type="dxa"/>
            <w:vAlign w:val="top"/>
          </w:tcPr>
          <w:p>
            <w:pPr>
              <w:ind w:left="590"/>
              <w:spacing w:before="282"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300437</w:t>
            </w:r>
          </w:p>
        </w:tc>
        <w:tc>
          <w:tcPr>
            <w:shd w:val="clear" w:fill="B8CCE4"/>
            <w:tcW w:w="1486" w:type="dxa"/>
            <w:vAlign w:val="top"/>
          </w:tcPr>
          <w:p>
            <w:pPr>
              <w:ind w:left="637"/>
              <w:spacing w:before="27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清水源</w:t>
            </w:r>
          </w:p>
        </w:tc>
        <w:tc>
          <w:tcPr>
            <w:shd w:val="clear" w:fill="B8CCE4"/>
            <w:tcW w:w="1499" w:type="dxa"/>
            <w:vAlign w:val="top"/>
          </w:tcPr>
          <w:p>
            <w:pPr>
              <w:ind w:left="646"/>
              <w:spacing w:before="273"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shd w:val="clear" w:fill="B8CCE4"/>
            <w:tcW w:w="4563" w:type="dxa"/>
            <w:vAlign w:val="top"/>
          </w:tcPr>
          <w:p>
            <w:pPr>
              <w:ind w:left="108" w:right="150" w:firstLine="8"/>
              <w:spacing w:before="92"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333333"/>
                <w:spacing w:val="-1"/>
              </w:rPr>
              <w:t>2022年三季报</w:t>
            </w:r>
            <w:r>
              <w:rPr>
                <w:rFonts w:ascii="Microsoft YaHei" w:hAnsi="Microsoft YaHei" w:eastAsia="Microsoft YaHei" w:cs="Microsoft YaHei"/>
                <w:sz w:val="21"/>
                <w:szCs w:val="21"/>
                <w:color w:val="333333"/>
                <w:spacing w:val="-1"/>
              </w:rPr>
              <w:t>信息披露不准确；时任董事</w:t>
            </w:r>
            <w:r>
              <w:rPr>
                <w:rFonts w:ascii="Microsoft YaHei" w:hAnsi="Microsoft YaHei" w:eastAsia="Microsoft YaHei" w:cs="Microsoft YaHei"/>
                <w:sz w:val="21"/>
                <w:szCs w:val="21"/>
                <w:b/>
                <w:bCs/>
                <w:color w:val="333333"/>
                <w:spacing w:val="-1"/>
              </w:rPr>
              <w:t>被有</w:t>
            </w:r>
            <w:r>
              <w:rPr>
                <w:rFonts w:ascii="Microsoft YaHei" w:hAnsi="Microsoft YaHei" w:eastAsia="Microsoft YaHei" w:cs="Microsoft YaHei"/>
                <w:sz w:val="21"/>
                <w:szCs w:val="21"/>
                <w:b/>
                <w:bCs/>
                <w:color w:val="333333"/>
                <w:spacing w:val="13"/>
              </w:rPr>
              <w:t xml:space="preserve"> </w:t>
            </w:r>
            <w:r>
              <w:rPr>
                <w:rFonts w:ascii="Microsoft YaHei" w:hAnsi="Microsoft YaHei" w:eastAsia="Microsoft YaHei" w:cs="Microsoft YaHei"/>
                <w:sz w:val="21"/>
                <w:szCs w:val="21"/>
                <w:b/>
                <w:bCs/>
                <w:color w:val="333333"/>
                <w:spacing w:val="-2"/>
              </w:rPr>
              <w:t>权机关调查</w:t>
            </w:r>
            <w:r>
              <w:rPr>
                <w:rFonts w:ascii="Microsoft YaHei" w:hAnsi="Microsoft YaHei" w:eastAsia="Microsoft YaHei" w:cs="Microsoft YaHei"/>
                <w:sz w:val="21"/>
                <w:szCs w:val="21"/>
                <w:color w:val="333333"/>
                <w:spacing w:val="-2"/>
              </w:rPr>
              <w:t>未履行披露义务。</w:t>
            </w:r>
          </w:p>
        </w:tc>
      </w:tr>
      <w:tr>
        <w:trPr>
          <w:trHeight w:val="1084" w:hRule="atLeast"/>
        </w:trPr>
        <w:tc>
          <w:tcPr>
            <w:tcW w:w="1470" w:type="dxa"/>
            <w:vAlign w:val="top"/>
          </w:tcPr>
          <w:p>
            <w:pPr>
              <w:spacing w:line="367" w:lineRule="auto"/>
              <w:rPr>
                <w:rFonts w:ascii="Arial"/>
                <w:sz w:val="21"/>
              </w:rPr>
            </w:pPr>
            <w:r/>
          </w:p>
          <w:p>
            <w:pPr>
              <w:ind w:left="590"/>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300614</w:t>
            </w:r>
          </w:p>
        </w:tc>
        <w:tc>
          <w:tcPr>
            <w:tcW w:w="1486" w:type="dxa"/>
            <w:vAlign w:val="top"/>
          </w:tcPr>
          <w:p>
            <w:pPr>
              <w:spacing w:line="359" w:lineRule="auto"/>
              <w:rPr>
                <w:rFonts w:ascii="Arial"/>
                <w:sz w:val="21"/>
              </w:rPr>
            </w:pPr>
            <w:r/>
          </w:p>
          <w:p>
            <w:pPr>
              <w:ind w:left="536"/>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百川畅银</w:t>
            </w:r>
          </w:p>
        </w:tc>
        <w:tc>
          <w:tcPr>
            <w:tcW w:w="1499" w:type="dxa"/>
            <w:vAlign w:val="top"/>
          </w:tcPr>
          <w:p>
            <w:pPr>
              <w:spacing w:line="359" w:lineRule="auto"/>
              <w:rPr>
                <w:rFonts w:ascii="Arial"/>
                <w:sz w:val="21"/>
              </w:rPr>
            </w:pPr>
            <w:r/>
          </w:p>
          <w:p>
            <w:pPr>
              <w:ind w:left="646"/>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tcW w:w="4563" w:type="dxa"/>
            <w:vAlign w:val="top"/>
          </w:tcPr>
          <w:p>
            <w:pPr>
              <w:ind w:left="109" w:right="174" w:firstLine="12"/>
              <w:spacing w:before="92"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333333"/>
                <w:spacing w:val="-1"/>
              </w:rPr>
              <w:t>内幕信息知情人登记管理</w:t>
            </w:r>
            <w:r>
              <w:rPr>
                <w:rFonts w:ascii="Microsoft YaHei" w:hAnsi="Microsoft YaHei" w:eastAsia="Microsoft YaHei" w:cs="Microsoft YaHei"/>
                <w:sz w:val="21"/>
                <w:szCs w:val="21"/>
                <w:color w:val="333333"/>
                <w:spacing w:val="-1"/>
              </w:rPr>
              <w:t>不到位；开立</w:t>
            </w:r>
            <w:r>
              <w:rPr>
                <w:rFonts w:ascii="Microsoft YaHei" w:hAnsi="Microsoft YaHei" w:eastAsia="Microsoft YaHei" w:cs="Microsoft YaHei"/>
                <w:sz w:val="21"/>
                <w:szCs w:val="21"/>
                <w:b/>
                <w:bCs/>
                <w:color w:val="333333"/>
                <w:spacing w:val="-1"/>
              </w:rPr>
              <w:t>首发上</w:t>
            </w:r>
            <w:r>
              <w:rPr>
                <w:rFonts w:ascii="Microsoft YaHei" w:hAnsi="Microsoft YaHei" w:eastAsia="Microsoft YaHei" w:cs="Microsoft YaHei"/>
                <w:sz w:val="21"/>
                <w:szCs w:val="21"/>
                <w:b/>
                <w:bCs/>
                <w:color w:val="333333"/>
                <w:spacing w:val="4"/>
              </w:rPr>
              <w:t xml:space="preserve">  </w:t>
            </w:r>
            <w:r>
              <w:rPr>
                <w:rFonts w:ascii="Microsoft YaHei" w:hAnsi="Microsoft YaHei" w:eastAsia="Microsoft YaHei" w:cs="Microsoft YaHei"/>
                <w:sz w:val="21"/>
                <w:szCs w:val="21"/>
                <w:b/>
                <w:bCs/>
                <w:color w:val="333333"/>
              </w:rPr>
              <w:t>市募集资金专项账户</w:t>
            </w:r>
            <w:r>
              <w:rPr>
                <w:rFonts w:ascii="Microsoft YaHei" w:hAnsi="Microsoft YaHei" w:eastAsia="Microsoft YaHei" w:cs="Microsoft YaHei"/>
                <w:sz w:val="21"/>
                <w:szCs w:val="21"/>
                <w:color w:val="333333"/>
              </w:rPr>
              <w:t>未履行审议程序；2022年 </w:t>
            </w:r>
            <w:r>
              <w:rPr>
                <w:rFonts w:ascii="Microsoft YaHei" w:hAnsi="Microsoft YaHei" w:eastAsia="Microsoft YaHei" w:cs="Microsoft YaHei"/>
                <w:sz w:val="21"/>
                <w:szCs w:val="21"/>
                <w:color w:val="333333"/>
                <w:spacing w:val="-1"/>
              </w:rPr>
              <w:t>资产</w:t>
            </w:r>
            <w:r>
              <w:rPr>
                <w:rFonts w:ascii="Microsoft YaHei" w:hAnsi="Microsoft YaHei" w:eastAsia="Microsoft YaHei" w:cs="Microsoft YaHei"/>
                <w:sz w:val="21"/>
                <w:szCs w:val="21"/>
                <w:b/>
                <w:bCs/>
                <w:color w:val="333333"/>
                <w:spacing w:val="-1"/>
              </w:rPr>
              <w:t>减值损失计提</w:t>
            </w:r>
            <w:r>
              <w:rPr>
                <w:rFonts w:ascii="Microsoft YaHei" w:hAnsi="Microsoft YaHei" w:eastAsia="Microsoft YaHei" w:cs="Microsoft YaHei"/>
                <w:sz w:val="21"/>
                <w:szCs w:val="21"/>
                <w:color w:val="333333"/>
                <w:spacing w:val="-1"/>
              </w:rPr>
              <w:t>不准确。</w:t>
            </w:r>
          </w:p>
        </w:tc>
      </w:tr>
      <w:tr>
        <w:trPr>
          <w:trHeight w:val="727" w:hRule="atLeast"/>
        </w:trPr>
        <w:tc>
          <w:tcPr>
            <w:shd w:val="clear" w:fill="B8CCE4"/>
            <w:tcW w:w="1470" w:type="dxa"/>
            <w:vAlign w:val="top"/>
          </w:tcPr>
          <w:p>
            <w:pPr>
              <w:ind w:left="590"/>
              <w:spacing w:before="28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300511</w:t>
            </w:r>
          </w:p>
        </w:tc>
        <w:tc>
          <w:tcPr>
            <w:shd w:val="clear" w:fill="B8CCE4"/>
            <w:tcW w:w="1486" w:type="dxa"/>
            <w:vAlign w:val="top"/>
          </w:tcPr>
          <w:p>
            <w:pPr>
              <w:ind w:left="542"/>
              <w:spacing w:before="27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雪榕生物</w:t>
            </w:r>
          </w:p>
        </w:tc>
        <w:tc>
          <w:tcPr>
            <w:shd w:val="clear" w:fill="B8CCE4"/>
            <w:tcW w:w="1499" w:type="dxa"/>
            <w:vAlign w:val="top"/>
          </w:tcPr>
          <w:p>
            <w:pPr>
              <w:ind w:left="646"/>
              <w:spacing w:before="27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shd w:val="clear" w:fill="B8CCE4"/>
            <w:tcW w:w="4563" w:type="dxa"/>
            <w:vAlign w:val="top"/>
          </w:tcPr>
          <w:p>
            <w:pPr>
              <w:ind w:left="106" w:right="458" w:firstLine="1"/>
              <w:spacing w:before="92"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公司相应年度定期报告披露的</w:t>
            </w:r>
            <w:r>
              <w:rPr>
                <w:rFonts w:ascii="Microsoft YaHei" w:hAnsi="Microsoft YaHei" w:eastAsia="Microsoft YaHei" w:cs="Microsoft YaHei"/>
                <w:sz w:val="21"/>
                <w:szCs w:val="21"/>
                <w:b/>
                <w:bCs/>
                <w:color w:val="333333"/>
              </w:rPr>
              <w:t>财务数据</w:t>
            </w:r>
            <w:r>
              <w:rPr>
                <w:rFonts w:ascii="Microsoft YaHei" w:hAnsi="Microsoft YaHei" w:eastAsia="Microsoft YaHei" w:cs="Microsoft YaHei"/>
                <w:sz w:val="21"/>
                <w:szCs w:val="21"/>
                <w:color w:val="333333"/>
              </w:rPr>
              <w:t>不准 </w:t>
            </w:r>
            <w:r>
              <w:rPr>
                <w:rFonts w:ascii="Microsoft YaHei" w:hAnsi="Microsoft YaHei" w:eastAsia="Microsoft YaHei" w:cs="Microsoft YaHei"/>
                <w:sz w:val="21"/>
                <w:szCs w:val="21"/>
                <w:color w:val="333333"/>
                <w:spacing w:val="-10"/>
              </w:rPr>
              <w:t>确。</w:t>
            </w:r>
          </w:p>
        </w:tc>
      </w:tr>
      <w:tr>
        <w:trPr>
          <w:trHeight w:val="1084" w:hRule="atLeast"/>
        </w:trPr>
        <w:tc>
          <w:tcPr>
            <w:tcW w:w="1470" w:type="dxa"/>
            <w:vAlign w:val="top"/>
          </w:tcPr>
          <w:p>
            <w:pPr>
              <w:spacing w:line="367" w:lineRule="auto"/>
              <w:rPr>
                <w:rFonts w:ascii="Arial"/>
                <w:sz w:val="21"/>
              </w:rPr>
            </w:pPr>
            <w:r/>
          </w:p>
          <w:p>
            <w:pPr>
              <w:ind w:left="590"/>
              <w:spacing w:before="91"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300132</w:t>
            </w:r>
          </w:p>
        </w:tc>
        <w:tc>
          <w:tcPr>
            <w:tcW w:w="1486" w:type="dxa"/>
            <w:vAlign w:val="top"/>
          </w:tcPr>
          <w:p>
            <w:pPr>
              <w:spacing w:line="360" w:lineRule="auto"/>
              <w:rPr>
                <w:rFonts w:ascii="Arial"/>
                <w:sz w:val="21"/>
              </w:rPr>
            </w:pPr>
            <w:r/>
          </w:p>
          <w:p>
            <w:pPr>
              <w:ind w:left="537"/>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青松股份</w:t>
            </w:r>
          </w:p>
        </w:tc>
        <w:tc>
          <w:tcPr>
            <w:tcW w:w="1499" w:type="dxa"/>
            <w:vAlign w:val="top"/>
          </w:tcPr>
          <w:p>
            <w:pPr>
              <w:spacing w:line="359" w:lineRule="auto"/>
              <w:rPr>
                <w:rFonts w:ascii="Arial"/>
                <w:sz w:val="21"/>
              </w:rPr>
            </w:pPr>
            <w:r/>
          </w:p>
          <w:p>
            <w:pPr>
              <w:ind w:left="646"/>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tcW w:w="4563" w:type="dxa"/>
            <w:vAlign w:val="top"/>
          </w:tcPr>
          <w:p>
            <w:pPr>
              <w:ind w:left="108" w:right="247"/>
              <w:spacing w:before="92" w:line="218"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公司未认真查看相关评估报告电子文件， 并在</w:t>
            </w:r>
            <w:r>
              <w:rPr>
                <w:rFonts w:ascii="Microsoft YaHei" w:hAnsi="Microsoft YaHei" w:eastAsia="Microsoft YaHei" w:cs="Microsoft YaHei"/>
                <w:sz w:val="21"/>
                <w:szCs w:val="21"/>
                <w:color w:val="333333"/>
                <w:spacing w:val="2"/>
              </w:rPr>
              <w:t xml:space="preserve"> </w:t>
            </w:r>
            <w:r>
              <w:rPr>
                <w:rFonts w:ascii="Microsoft YaHei" w:hAnsi="Microsoft YaHei" w:eastAsia="Microsoft YaHei" w:cs="Microsoft YaHei"/>
                <w:sz w:val="21"/>
                <w:szCs w:val="21"/>
                <w:b/>
                <w:bCs/>
                <w:color w:val="333333"/>
              </w:rPr>
              <w:t>未获取正式评估报告</w:t>
            </w:r>
            <w:r>
              <w:rPr>
                <w:rFonts w:ascii="Microsoft YaHei" w:hAnsi="Microsoft YaHei" w:eastAsia="Microsoft YaHei" w:cs="Microsoft YaHei"/>
                <w:sz w:val="21"/>
                <w:szCs w:val="21"/>
                <w:color w:val="333333"/>
              </w:rPr>
              <w:t>的情况下在信息披露文件 </w:t>
            </w:r>
            <w:r>
              <w:rPr>
                <w:rFonts w:ascii="Microsoft YaHei" w:hAnsi="Microsoft YaHei" w:eastAsia="Microsoft YaHei" w:cs="Microsoft YaHei"/>
                <w:sz w:val="21"/>
                <w:szCs w:val="21"/>
                <w:color w:val="333333"/>
              </w:rPr>
              <w:t>中予以引用。</w:t>
            </w:r>
          </w:p>
        </w:tc>
      </w:tr>
      <w:tr>
        <w:trPr>
          <w:trHeight w:val="1447" w:hRule="atLeast"/>
        </w:trPr>
        <w:tc>
          <w:tcPr>
            <w:shd w:val="clear" w:fill="B8CCE4"/>
            <w:tcW w:w="1470" w:type="dxa"/>
            <w:vAlign w:val="top"/>
          </w:tcPr>
          <w:p>
            <w:pPr>
              <w:spacing w:line="274" w:lineRule="auto"/>
              <w:rPr>
                <w:rFonts w:ascii="Arial"/>
                <w:sz w:val="21"/>
              </w:rPr>
            </w:pPr>
            <w:r/>
          </w:p>
          <w:p>
            <w:pPr>
              <w:spacing w:line="275" w:lineRule="auto"/>
              <w:rPr>
                <w:rFonts w:ascii="Arial"/>
                <w:sz w:val="21"/>
              </w:rPr>
            </w:pPr>
            <w:r/>
          </w:p>
          <w:p>
            <w:pPr>
              <w:ind w:left="590"/>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300742</w:t>
            </w:r>
          </w:p>
        </w:tc>
        <w:tc>
          <w:tcPr>
            <w:shd w:val="clear" w:fill="B8CCE4"/>
            <w:tcW w:w="1486" w:type="dxa"/>
            <w:vAlign w:val="top"/>
          </w:tcPr>
          <w:p>
            <w:pPr>
              <w:spacing w:line="270" w:lineRule="auto"/>
              <w:rPr>
                <w:rFonts w:ascii="Arial"/>
                <w:sz w:val="21"/>
              </w:rPr>
            </w:pPr>
            <w:r/>
          </w:p>
          <w:p>
            <w:pPr>
              <w:spacing w:line="270" w:lineRule="auto"/>
              <w:rPr>
                <w:rFonts w:ascii="Arial"/>
                <w:sz w:val="21"/>
              </w:rPr>
            </w:pPr>
            <w:r/>
          </w:p>
          <w:p>
            <w:pPr>
              <w:ind w:left="580"/>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*ST越博</w:t>
            </w:r>
          </w:p>
        </w:tc>
        <w:tc>
          <w:tcPr>
            <w:shd w:val="clear" w:fill="B8CCE4"/>
            <w:tcW w:w="1499" w:type="dxa"/>
            <w:vAlign w:val="top"/>
          </w:tcPr>
          <w:p>
            <w:pPr>
              <w:spacing w:line="269" w:lineRule="auto"/>
              <w:rPr>
                <w:rFonts w:ascii="Arial"/>
                <w:sz w:val="21"/>
              </w:rPr>
            </w:pPr>
            <w:r/>
          </w:p>
          <w:p>
            <w:pPr>
              <w:spacing w:line="270" w:lineRule="auto"/>
              <w:rPr>
                <w:rFonts w:ascii="Arial"/>
                <w:sz w:val="21"/>
              </w:rPr>
            </w:pPr>
            <w:r/>
          </w:p>
          <w:p>
            <w:pPr>
              <w:ind w:left="646"/>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shd w:val="clear" w:fill="B8CCE4"/>
            <w:tcW w:w="4563" w:type="dxa"/>
            <w:vAlign w:val="top"/>
          </w:tcPr>
          <w:p>
            <w:pPr>
              <w:ind w:left="107" w:right="246" w:firstLine="1"/>
              <w:spacing w:before="91"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未履行</w:t>
            </w:r>
            <w:r>
              <w:rPr>
                <w:rFonts w:ascii="Microsoft YaHei" w:hAnsi="Microsoft YaHei" w:eastAsia="Microsoft YaHei" w:cs="Microsoft YaHei"/>
                <w:sz w:val="21"/>
                <w:szCs w:val="21"/>
                <w:b/>
                <w:bCs/>
                <w:color w:val="333333"/>
              </w:rPr>
              <w:t>关联交易</w:t>
            </w:r>
            <w:r>
              <w:rPr>
                <w:rFonts w:ascii="Microsoft YaHei" w:hAnsi="Microsoft YaHei" w:eastAsia="Microsoft YaHei" w:cs="Microsoft YaHei"/>
                <w:sz w:val="21"/>
                <w:szCs w:val="21"/>
                <w:color w:val="333333"/>
              </w:rPr>
              <w:t>审议程序和披露义务；未履行</w:t>
            </w:r>
            <w:r>
              <w:rPr>
                <w:rFonts w:ascii="Microsoft YaHei" w:hAnsi="Microsoft YaHei" w:eastAsia="Microsoft YaHei" w:cs="Microsoft YaHei"/>
                <w:sz w:val="21"/>
                <w:szCs w:val="21"/>
                <w:color w:val="333333"/>
                <w:spacing w:val="1"/>
              </w:rPr>
              <w:t xml:space="preserve"> </w:t>
            </w:r>
            <w:r>
              <w:rPr>
                <w:rFonts w:ascii="Microsoft YaHei" w:hAnsi="Microsoft YaHei" w:eastAsia="Microsoft YaHei" w:cs="Microsoft YaHei"/>
                <w:sz w:val="21"/>
                <w:szCs w:val="21"/>
                <w:b/>
                <w:bCs/>
                <w:color w:val="333333"/>
              </w:rPr>
              <w:t>持续性</w:t>
            </w:r>
            <w:r>
              <w:rPr>
                <w:rFonts w:ascii="Microsoft YaHei" w:hAnsi="Microsoft YaHei" w:eastAsia="Microsoft YaHei" w:cs="Microsoft YaHei"/>
                <w:sz w:val="21"/>
                <w:szCs w:val="21"/>
                <w:color w:val="333333"/>
              </w:rPr>
              <w:t>信息披露义务；非经营性</w:t>
            </w:r>
            <w:r>
              <w:rPr>
                <w:rFonts w:ascii="Microsoft YaHei" w:hAnsi="Microsoft YaHei" w:eastAsia="Microsoft YaHei" w:cs="Microsoft YaHei"/>
                <w:sz w:val="21"/>
                <w:szCs w:val="21"/>
                <w:b/>
                <w:bCs/>
                <w:color w:val="333333"/>
              </w:rPr>
              <w:t>资金占用</w:t>
            </w:r>
            <w:r>
              <w:rPr>
                <w:rFonts w:ascii="Microsoft YaHei" w:hAnsi="Microsoft YaHei" w:eastAsia="Microsoft YaHei" w:cs="Microsoft YaHei"/>
                <w:sz w:val="21"/>
                <w:szCs w:val="21"/>
                <w:color w:val="333333"/>
              </w:rPr>
              <w:t>；</w:t>
            </w:r>
            <w:r>
              <w:rPr>
                <w:rFonts w:ascii="Microsoft YaHei" w:hAnsi="Microsoft YaHei" w:eastAsia="Microsoft YaHei" w:cs="Microsoft YaHei"/>
                <w:sz w:val="21"/>
                <w:szCs w:val="21"/>
                <w:b/>
                <w:bCs/>
                <w:color w:val="333333"/>
              </w:rPr>
              <w:t>关</w:t>
            </w:r>
            <w:r>
              <w:rPr>
                <w:rFonts w:ascii="Microsoft YaHei" w:hAnsi="Microsoft YaHei" w:eastAsia="Microsoft YaHei" w:cs="Microsoft YaHei"/>
                <w:sz w:val="21"/>
                <w:szCs w:val="21"/>
                <w:b/>
                <w:bCs/>
                <w:color w:val="333333"/>
                <w:spacing w:val="2"/>
              </w:rPr>
              <w:t xml:space="preserve"> </w:t>
            </w:r>
            <w:r>
              <w:rPr>
                <w:rFonts w:ascii="Microsoft YaHei" w:hAnsi="Microsoft YaHei" w:eastAsia="Microsoft YaHei" w:cs="Microsoft YaHei"/>
                <w:sz w:val="21"/>
                <w:szCs w:val="21"/>
                <w:b/>
                <w:bCs/>
                <w:color w:val="333333"/>
              </w:rPr>
              <w:t>联方</w:t>
            </w:r>
            <w:r>
              <w:rPr>
                <w:rFonts w:ascii="Microsoft YaHei" w:hAnsi="Microsoft YaHei" w:eastAsia="Microsoft YaHei" w:cs="Microsoft YaHei"/>
                <w:sz w:val="21"/>
                <w:szCs w:val="21"/>
                <w:color w:val="333333"/>
              </w:rPr>
              <w:t>信息披露不准确；</w:t>
            </w:r>
            <w:r>
              <w:rPr>
                <w:rFonts w:ascii="Microsoft YaHei" w:hAnsi="Microsoft YaHei" w:eastAsia="Microsoft YaHei" w:cs="Microsoft YaHei"/>
                <w:sz w:val="21"/>
                <w:szCs w:val="21"/>
                <w:b/>
                <w:bCs/>
                <w:color w:val="333333"/>
              </w:rPr>
              <w:t>财务资助</w:t>
            </w:r>
            <w:r>
              <w:rPr>
                <w:rFonts w:ascii="Microsoft YaHei" w:hAnsi="Microsoft YaHei" w:eastAsia="Microsoft YaHei" w:cs="Microsoft YaHei"/>
                <w:sz w:val="21"/>
                <w:szCs w:val="21"/>
                <w:color w:val="333333"/>
              </w:rPr>
              <w:t>未履行审议程</w:t>
            </w:r>
            <w:r>
              <w:rPr>
                <w:rFonts w:ascii="Microsoft YaHei" w:hAnsi="Microsoft YaHei" w:eastAsia="Microsoft YaHei" w:cs="Microsoft YaHei"/>
                <w:sz w:val="21"/>
                <w:szCs w:val="21"/>
                <w:color w:val="333333"/>
                <w:spacing w:val="2"/>
              </w:rPr>
              <w:t xml:space="preserve"> </w:t>
            </w:r>
            <w:r>
              <w:rPr>
                <w:rFonts w:ascii="Microsoft YaHei" w:hAnsi="Microsoft YaHei" w:eastAsia="Microsoft YaHei" w:cs="Microsoft YaHei"/>
                <w:sz w:val="21"/>
                <w:szCs w:val="21"/>
                <w:color w:val="333333"/>
                <w:spacing w:val="-3"/>
              </w:rPr>
              <w:t>序和信息披露义务。</w:t>
            </w:r>
          </w:p>
        </w:tc>
      </w:tr>
      <w:tr>
        <w:trPr>
          <w:trHeight w:val="725" w:hRule="atLeast"/>
        </w:trPr>
        <w:tc>
          <w:tcPr>
            <w:tcW w:w="1470" w:type="dxa"/>
            <w:vAlign w:val="top"/>
          </w:tcPr>
          <w:p>
            <w:pPr>
              <w:ind w:left="590"/>
              <w:spacing w:before="282"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300742</w:t>
            </w:r>
          </w:p>
        </w:tc>
        <w:tc>
          <w:tcPr>
            <w:tcW w:w="1486" w:type="dxa"/>
            <w:vAlign w:val="top"/>
          </w:tcPr>
          <w:p>
            <w:pPr>
              <w:ind w:left="580"/>
              <w:spacing w:before="273"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*ST越博</w:t>
            </w:r>
          </w:p>
        </w:tc>
        <w:tc>
          <w:tcPr>
            <w:tcW w:w="1499" w:type="dxa"/>
            <w:vAlign w:val="top"/>
          </w:tcPr>
          <w:p>
            <w:pPr>
              <w:ind w:left="646"/>
              <w:spacing w:before="273"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tcW w:w="4563" w:type="dxa"/>
            <w:vAlign w:val="top"/>
          </w:tcPr>
          <w:p>
            <w:pPr>
              <w:ind w:left="108" w:right="246" w:firstLine="2"/>
              <w:spacing w:before="93"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非经营性</w:t>
            </w:r>
            <w:r>
              <w:rPr>
                <w:rFonts w:ascii="Microsoft YaHei" w:hAnsi="Microsoft YaHei" w:eastAsia="Microsoft YaHei" w:cs="Microsoft YaHei"/>
                <w:sz w:val="21"/>
                <w:szCs w:val="21"/>
                <w:b/>
                <w:bCs/>
                <w:color w:val="333333"/>
              </w:rPr>
              <w:t>资金占用</w:t>
            </w:r>
            <w:r>
              <w:rPr>
                <w:rFonts w:ascii="Microsoft YaHei" w:hAnsi="Microsoft YaHei" w:eastAsia="Microsoft YaHei" w:cs="Microsoft YaHei"/>
                <w:sz w:val="21"/>
                <w:szCs w:val="21"/>
                <w:color w:val="333333"/>
              </w:rPr>
              <w:t>；</w:t>
            </w:r>
            <w:r>
              <w:rPr>
                <w:rFonts w:ascii="Microsoft YaHei" w:hAnsi="Microsoft YaHei" w:eastAsia="Microsoft YaHei" w:cs="Microsoft YaHei"/>
                <w:sz w:val="21"/>
                <w:szCs w:val="21"/>
                <w:b/>
                <w:bCs/>
                <w:color w:val="333333"/>
              </w:rPr>
              <w:t>财务资助</w:t>
            </w:r>
            <w:r>
              <w:rPr>
                <w:rFonts w:ascii="Microsoft YaHei" w:hAnsi="Microsoft YaHei" w:eastAsia="Microsoft YaHei" w:cs="Microsoft YaHei"/>
                <w:sz w:val="21"/>
                <w:szCs w:val="21"/>
                <w:color w:val="333333"/>
              </w:rPr>
              <w:t>未履行审议程序 </w:t>
            </w:r>
            <w:r>
              <w:rPr>
                <w:rFonts w:ascii="Microsoft YaHei" w:hAnsi="Microsoft YaHei" w:eastAsia="Microsoft YaHei" w:cs="Microsoft YaHei"/>
                <w:sz w:val="21"/>
                <w:szCs w:val="21"/>
                <w:color w:val="333333"/>
              </w:rPr>
              <w:t>和信息披露义务。</w:t>
            </w:r>
          </w:p>
        </w:tc>
      </w:tr>
      <w:tr>
        <w:trPr>
          <w:trHeight w:val="1444" w:hRule="atLeast"/>
        </w:trPr>
        <w:tc>
          <w:tcPr>
            <w:shd w:val="clear" w:fill="B8CCE4"/>
            <w:tcW w:w="1470" w:type="dxa"/>
            <w:vAlign w:val="top"/>
          </w:tcPr>
          <w:p>
            <w:pPr>
              <w:spacing w:line="274" w:lineRule="auto"/>
              <w:rPr>
                <w:rFonts w:ascii="Arial"/>
                <w:sz w:val="21"/>
              </w:rPr>
            </w:pPr>
            <w:r/>
          </w:p>
          <w:p>
            <w:pPr>
              <w:spacing w:line="274" w:lineRule="auto"/>
              <w:rPr>
                <w:rFonts w:ascii="Arial"/>
                <w:sz w:val="21"/>
              </w:rPr>
            </w:pPr>
            <w:r/>
          </w:p>
          <w:p>
            <w:pPr>
              <w:ind w:left="590"/>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300052</w:t>
            </w:r>
          </w:p>
        </w:tc>
        <w:tc>
          <w:tcPr>
            <w:shd w:val="clear" w:fill="B8CCE4"/>
            <w:tcW w:w="1486" w:type="dxa"/>
            <w:vAlign w:val="top"/>
          </w:tcPr>
          <w:p>
            <w:pPr>
              <w:spacing w:line="269" w:lineRule="auto"/>
              <w:rPr>
                <w:rFonts w:ascii="Arial"/>
                <w:sz w:val="21"/>
              </w:rPr>
            </w:pPr>
            <w:r/>
          </w:p>
          <w:p>
            <w:pPr>
              <w:spacing w:line="270" w:lineRule="auto"/>
              <w:rPr>
                <w:rFonts w:ascii="Arial"/>
                <w:sz w:val="21"/>
              </w:rPr>
            </w:pPr>
            <w:r/>
          </w:p>
          <w:p>
            <w:pPr>
              <w:ind w:left="651"/>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4"/>
              </w:rPr>
              <w:t>中青宝</w:t>
            </w:r>
          </w:p>
        </w:tc>
        <w:tc>
          <w:tcPr>
            <w:shd w:val="clear" w:fill="B8CCE4"/>
            <w:tcW w:w="1499" w:type="dxa"/>
            <w:vAlign w:val="top"/>
          </w:tcPr>
          <w:p>
            <w:pPr>
              <w:spacing w:line="269" w:lineRule="auto"/>
              <w:rPr>
                <w:rFonts w:ascii="Arial"/>
                <w:sz w:val="21"/>
              </w:rPr>
            </w:pPr>
            <w:r/>
          </w:p>
          <w:p>
            <w:pPr>
              <w:spacing w:line="270" w:lineRule="auto"/>
              <w:rPr>
                <w:rFonts w:ascii="Arial"/>
                <w:sz w:val="21"/>
              </w:rPr>
            </w:pPr>
            <w:r/>
          </w:p>
          <w:p>
            <w:pPr>
              <w:ind w:left="646"/>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shd w:val="clear" w:fill="B8CCE4"/>
            <w:tcW w:w="4563" w:type="dxa"/>
            <w:vAlign w:val="top"/>
          </w:tcPr>
          <w:p>
            <w:pPr>
              <w:ind w:left="106" w:right="155" w:firstLine="1"/>
              <w:spacing w:before="94" w:line="223"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公司存在</w:t>
            </w:r>
            <w:r>
              <w:rPr>
                <w:rFonts w:ascii="Microsoft YaHei" w:hAnsi="Microsoft YaHei" w:eastAsia="Microsoft YaHei" w:cs="Microsoft YaHei"/>
                <w:sz w:val="21"/>
                <w:szCs w:val="21"/>
                <w:b/>
                <w:bCs/>
                <w:color w:val="333333"/>
                <w:spacing w:val="-1"/>
              </w:rPr>
              <w:t>2019年至</w:t>
            </w:r>
            <w:r>
              <w:rPr>
                <w:rFonts w:ascii="Microsoft YaHei" w:hAnsi="Microsoft YaHei" w:eastAsia="Microsoft YaHei" w:cs="Microsoft YaHei"/>
                <w:sz w:val="21"/>
                <w:szCs w:val="21"/>
                <w:b/>
                <w:bCs/>
                <w:color w:val="333333"/>
                <w:spacing w:val="67"/>
              </w:rPr>
              <w:t xml:space="preserve"> </w:t>
            </w:r>
            <w:r>
              <w:rPr>
                <w:rFonts w:ascii="Microsoft YaHei" w:hAnsi="Microsoft YaHei" w:eastAsia="Microsoft YaHei" w:cs="Microsoft YaHei"/>
                <w:sz w:val="21"/>
                <w:szCs w:val="21"/>
                <w:b/>
                <w:bCs/>
                <w:color w:val="333333"/>
                <w:spacing w:val="-1"/>
              </w:rPr>
              <w:t>2021年定期报告</w:t>
            </w:r>
            <w:r>
              <w:rPr>
                <w:rFonts w:ascii="Microsoft YaHei" w:hAnsi="Microsoft YaHei" w:eastAsia="Microsoft YaHei" w:cs="Microsoft YaHei"/>
                <w:sz w:val="21"/>
                <w:szCs w:val="21"/>
                <w:color w:val="333333"/>
                <w:spacing w:val="-1"/>
              </w:rPr>
              <w:t>披露的财</w:t>
            </w:r>
            <w:r>
              <w:rPr>
                <w:rFonts w:ascii="Microsoft YaHei" w:hAnsi="Microsoft YaHei" w:eastAsia="Microsoft YaHei" w:cs="Microsoft YaHei"/>
                <w:sz w:val="21"/>
                <w:szCs w:val="21"/>
                <w:color w:val="333333"/>
              </w:rPr>
              <w:t xml:space="preserve"> </w:t>
            </w:r>
            <w:r>
              <w:rPr>
                <w:rFonts w:ascii="Microsoft YaHei" w:hAnsi="Microsoft YaHei" w:eastAsia="Microsoft YaHei" w:cs="Microsoft YaHei"/>
                <w:sz w:val="21"/>
                <w:szCs w:val="21"/>
                <w:color w:val="333333"/>
                <w:spacing w:val="-3"/>
              </w:rPr>
              <w:t>务数据不准确， 控股子公司相关业务内部控</w:t>
            </w:r>
            <w:r>
              <w:rPr>
                <w:rFonts w:ascii="Microsoft YaHei" w:hAnsi="Microsoft YaHei" w:eastAsia="Microsoft YaHei" w:cs="Microsoft YaHei"/>
                <w:sz w:val="21"/>
                <w:szCs w:val="21"/>
                <w:color w:val="333333"/>
                <w:spacing w:val="-4"/>
              </w:rPr>
              <w:t>制  </w:t>
            </w:r>
            <w:r>
              <w:rPr>
                <w:rFonts w:ascii="Microsoft YaHei" w:hAnsi="Microsoft YaHei" w:eastAsia="Microsoft YaHei" w:cs="Microsoft YaHei"/>
                <w:sz w:val="21"/>
                <w:szCs w:val="21"/>
                <w:color w:val="333333"/>
                <w:spacing w:val="-1"/>
              </w:rPr>
              <w:t>薄弱、有关应收账款</w:t>
            </w:r>
            <w:r>
              <w:rPr>
                <w:rFonts w:ascii="Microsoft YaHei" w:hAnsi="Microsoft YaHei" w:eastAsia="Microsoft YaHei" w:cs="Microsoft YaHei"/>
                <w:sz w:val="21"/>
                <w:szCs w:val="21"/>
                <w:b/>
                <w:bCs/>
                <w:color w:val="333333"/>
                <w:spacing w:val="-1"/>
              </w:rPr>
              <w:t>减值计提</w:t>
            </w:r>
            <w:r>
              <w:rPr>
                <w:rFonts w:ascii="Microsoft YaHei" w:hAnsi="Microsoft YaHei" w:eastAsia="Microsoft YaHei" w:cs="Microsoft YaHei"/>
                <w:sz w:val="21"/>
                <w:szCs w:val="21"/>
                <w:color w:val="333333"/>
                <w:spacing w:val="-1"/>
              </w:rPr>
              <w:t>依据不充分等违  </w:t>
            </w:r>
            <w:r>
              <w:rPr>
                <w:rFonts w:ascii="Microsoft YaHei" w:hAnsi="Microsoft YaHei" w:eastAsia="Microsoft YaHei" w:cs="Microsoft YaHei"/>
                <w:sz w:val="21"/>
                <w:szCs w:val="21"/>
                <w:color w:val="333333"/>
              </w:rPr>
              <w:t>规行为。</w:t>
            </w:r>
          </w:p>
        </w:tc>
      </w:tr>
      <w:tr>
        <w:trPr>
          <w:trHeight w:val="727" w:hRule="atLeast"/>
        </w:trPr>
        <w:tc>
          <w:tcPr>
            <w:tcW w:w="1470" w:type="dxa"/>
            <w:vAlign w:val="top"/>
          </w:tcPr>
          <w:p>
            <w:pPr>
              <w:ind w:left="590"/>
              <w:spacing w:before="28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300069</w:t>
            </w:r>
          </w:p>
        </w:tc>
        <w:tc>
          <w:tcPr>
            <w:tcW w:w="1486" w:type="dxa"/>
            <w:vAlign w:val="top"/>
          </w:tcPr>
          <w:p>
            <w:pPr>
              <w:ind w:left="533"/>
              <w:spacing w:before="276"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金利华电</w:t>
            </w:r>
          </w:p>
        </w:tc>
        <w:tc>
          <w:tcPr>
            <w:tcW w:w="1499" w:type="dxa"/>
            <w:vAlign w:val="top"/>
          </w:tcPr>
          <w:p>
            <w:pPr>
              <w:ind w:left="646"/>
              <w:spacing w:before="276"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tcW w:w="4563" w:type="dxa"/>
            <w:vAlign w:val="top"/>
          </w:tcPr>
          <w:p>
            <w:pPr>
              <w:ind w:left="109" w:right="247" w:hanging="1"/>
              <w:spacing w:before="95"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公司</w:t>
            </w:r>
            <w:r>
              <w:rPr>
                <w:rFonts w:ascii="Microsoft YaHei" w:hAnsi="Microsoft YaHei" w:eastAsia="Microsoft YaHei" w:cs="Microsoft YaHei"/>
                <w:sz w:val="21"/>
                <w:szCs w:val="21"/>
                <w:b/>
                <w:bCs/>
                <w:color w:val="333333"/>
              </w:rPr>
              <w:t>相关年度定期报告</w:t>
            </w:r>
            <w:r>
              <w:rPr>
                <w:rFonts w:ascii="Microsoft YaHei" w:hAnsi="Microsoft YaHei" w:eastAsia="Microsoft YaHei" w:cs="Microsoft YaHei"/>
                <w:sz w:val="21"/>
                <w:szCs w:val="21"/>
                <w:color w:val="333333"/>
              </w:rPr>
              <w:t>中部分财务数据披露不</w:t>
            </w:r>
            <w:r>
              <w:rPr>
                <w:rFonts w:ascii="Microsoft YaHei" w:hAnsi="Microsoft YaHei" w:eastAsia="Microsoft YaHei" w:cs="Microsoft YaHei"/>
                <w:sz w:val="21"/>
                <w:szCs w:val="21"/>
                <w:color w:val="333333"/>
                <w:spacing w:val="1"/>
              </w:rPr>
              <w:t xml:space="preserve"> </w:t>
            </w:r>
            <w:r>
              <w:rPr>
                <w:rFonts w:ascii="Microsoft YaHei" w:hAnsi="Microsoft YaHei" w:eastAsia="Microsoft YaHei" w:cs="Microsoft YaHei"/>
                <w:sz w:val="21"/>
                <w:szCs w:val="21"/>
                <w:color w:val="333333"/>
                <w:spacing w:val="-10"/>
              </w:rPr>
              <w:t>准确。</w:t>
            </w:r>
          </w:p>
        </w:tc>
      </w:tr>
      <w:tr>
        <w:trPr>
          <w:trHeight w:val="3251" w:hRule="atLeast"/>
        </w:trPr>
        <w:tc>
          <w:tcPr>
            <w:shd w:val="clear" w:fill="B8CCE4"/>
            <w:tcW w:w="1470" w:type="dxa"/>
            <w:vAlign w:val="top"/>
          </w:tcPr>
          <w:p>
            <w:pPr>
              <w:rPr>
                <w:rFonts w:ascii="Arial"/>
                <w:sz w:val="21"/>
              </w:rPr>
            </w:pPr>
            <w:r/>
          </w:p>
          <w:p>
            <w:pPr>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ind w:left="590"/>
              <w:spacing w:before="9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300008</w:t>
            </w:r>
          </w:p>
        </w:tc>
        <w:tc>
          <w:tcPr>
            <w:shd w:val="clear" w:fill="B8CCE4"/>
            <w:tcW w:w="1486" w:type="dxa"/>
            <w:vAlign w:val="top"/>
          </w:tcPr>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ind w:left="53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天海防务</w:t>
            </w:r>
          </w:p>
        </w:tc>
        <w:tc>
          <w:tcPr>
            <w:shd w:val="clear" w:fill="B8CCE4"/>
            <w:tcW w:w="1499" w:type="dxa"/>
            <w:vAlign w:val="top"/>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ind w:left="646"/>
              <w:spacing w:before="9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监管函</w:t>
            </w:r>
          </w:p>
        </w:tc>
        <w:tc>
          <w:tcPr>
            <w:shd w:val="clear" w:fill="B8CCE4"/>
            <w:tcW w:w="4563" w:type="dxa"/>
            <w:vAlign w:val="top"/>
          </w:tcPr>
          <w:p>
            <w:pPr>
              <w:ind w:left="108" w:right="246"/>
              <w:spacing w:before="93" w:line="22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公司未按规定及时披露对</w:t>
            </w:r>
            <w:r>
              <w:rPr>
                <w:rFonts w:ascii="Microsoft YaHei" w:hAnsi="Microsoft YaHei" w:eastAsia="Microsoft YaHei" w:cs="Microsoft YaHei"/>
                <w:sz w:val="21"/>
                <w:szCs w:val="21"/>
                <w:b/>
                <w:bCs/>
                <w:color w:val="333333"/>
                <w:spacing w:val="-2"/>
              </w:rPr>
              <w:t>子公司的担保</w:t>
            </w:r>
            <w:r>
              <w:rPr>
                <w:rFonts w:ascii="Microsoft YaHei" w:hAnsi="Microsoft YaHei" w:eastAsia="Microsoft YaHei" w:cs="Microsoft YaHei"/>
                <w:sz w:val="21"/>
                <w:szCs w:val="21"/>
                <w:b/>
                <w:bCs/>
                <w:color w:val="333333"/>
                <w:spacing w:val="-21"/>
              </w:rPr>
              <w:t xml:space="preserve"> </w:t>
            </w:r>
            <w:r>
              <w:rPr>
                <w:rFonts w:ascii="Microsoft YaHei" w:hAnsi="Microsoft YaHei" w:eastAsia="Microsoft YaHei" w:cs="Microsoft YaHei"/>
                <w:sz w:val="21"/>
                <w:szCs w:val="21"/>
                <w:color w:val="333333"/>
                <w:spacing w:val="-2"/>
              </w:rPr>
              <w:t>，</w:t>
            </w:r>
            <w:r>
              <w:rPr>
                <w:rFonts w:ascii="Microsoft YaHei" w:hAnsi="Microsoft YaHei" w:eastAsia="Microsoft YaHei" w:cs="Microsoft YaHei"/>
                <w:sz w:val="21"/>
                <w:szCs w:val="21"/>
                <w:b/>
                <w:bCs/>
                <w:color w:val="333333"/>
                <w:spacing w:val="-2"/>
              </w:rPr>
              <w:t>关联</w:t>
            </w:r>
            <w:r>
              <w:rPr>
                <w:rFonts w:ascii="Microsoft YaHei" w:hAnsi="Microsoft YaHei" w:eastAsia="Microsoft YaHei" w:cs="Microsoft YaHei"/>
                <w:sz w:val="21"/>
                <w:szCs w:val="21"/>
                <w:b/>
                <w:bCs/>
                <w:color w:val="333333"/>
              </w:rPr>
              <w:t xml:space="preserve"> </w:t>
            </w:r>
            <w:r>
              <w:rPr>
                <w:rFonts w:ascii="Microsoft YaHei" w:hAnsi="Microsoft YaHei" w:eastAsia="Microsoft YaHei" w:cs="Microsoft YaHei"/>
                <w:sz w:val="21"/>
                <w:szCs w:val="21"/>
                <w:b/>
                <w:bCs/>
                <w:color w:val="333333"/>
                <w:spacing w:val="-5"/>
              </w:rPr>
              <w:t>交易</w:t>
            </w:r>
            <w:r>
              <w:rPr>
                <w:rFonts w:ascii="Microsoft YaHei" w:hAnsi="Microsoft YaHei" w:eastAsia="Microsoft YaHei" w:cs="Microsoft YaHei"/>
                <w:sz w:val="21"/>
                <w:szCs w:val="21"/>
                <w:color w:val="333333"/>
                <w:spacing w:val="-5"/>
              </w:rPr>
              <w:t>披露不准确，2021年年报、</w:t>
            </w:r>
            <w:r>
              <w:rPr>
                <w:rFonts w:ascii="Microsoft YaHei" w:hAnsi="Microsoft YaHei" w:eastAsia="Microsoft YaHei" w:cs="Microsoft YaHei"/>
                <w:sz w:val="21"/>
                <w:szCs w:val="21"/>
                <w:color w:val="333333"/>
                <w:spacing w:val="51"/>
                <w:w w:val="101"/>
              </w:rPr>
              <w:t xml:space="preserve"> </w:t>
            </w:r>
            <w:r>
              <w:rPr>
                <w:rFonts w:ascii="Microsoft YaHei" w:hAnsi="Microsoft YaHei" w:eastAsia="Microsoft YaHei" w:cs="Microsoft YaHei"/>
                <w:sz w:val="21"/>
                <w:szCs w:val="21"/>
                <w:color w:val="333333"/>
                <w:spacing w:val="-5"/>
              </w:rPr>
              <w:t>2022年半年</w:t>
            </w:r>
            <w:r>
              <w:rPr>
                <w:rFonts w:ascii="Microsoft YaHei" w:hAnsi="Microsoft YaHei" w:eastAsia="Microsoft YaHei" w:cs="Microsoft YaHei"/>
                <w:sz w:val="21"/>
                <w:szCs w:val="21"/>
                <w:color w:val="333333"/>
              </w:rPr>
              <w:t xml:space="preserve">  </w:t>
            </w:r>
            <w:r>
              <w:rPr>
                <w:rFonts w:ascii="Microsoft YaHei" w:hAnsi="Microsoft YaHei" w:eastAsia="Microsoft YaHei" w:cs="Microsoft YaHei"/>
                <w:sz w:val="21"/>
                <w:szCs w:val="21"/>
                <w:color w:val="333333"/>
              </w:rPr>
              <w:t>报和季度报告中未按净额法核算大宗贸易煤炭</w:t>
            </w:r>
            <w:r>
              <w:rPr>
                <w:rFonts w:ascii="Microsoft YaHei" w:hAnsi="Microsoft YaHei" w:eastAsia="Microsoft YaHei" w:cs="Microsoft YaHei"/>
                <w:sz w:val="21"/>
                <w:szCs w:val="21"/>
                <w:color w:val="333333"/>
                <w:spacing w:val="1"/>
              </w:rPr>
              <w:t xml:space="preserve"> </w:t>
            </w:r>
            <w:r>
              <w:rPr>
                <w:rFonts w:ascii="Microsoft YaHei" w:hAnsi="Microsoft YaHei" w:eastAsia="Microsoft YaHei" w:cs="Microsoft YaHei"/>
                <w:sz w:val="21"/>
                <w:szCs w:val="21"/>
                <w:color w:val="333333"/>
              </w:rPr>
              <w:t>业务导致相关营业收入、营业成本</w:t>
            </w:r>
            <w:r>
              <w:rPr>
                <w:rFonts w:ascii="Microsoft YaHei" w:hAnsi="Microsoft YaHei" w:eastAsia="Microsoft YaHei" w:cs="Microsoft YaHei"/>
                <w:sz w:val="21"/>
                <w:szCs w:val="21"/>
                <w:b/>
                <w:bCs/>
                <w:color w:val="333333"/>
              </w:rPr>
              <w:t>确认不准</w:t>
            </w:r>
          </w:p>
          <w:p>
            <w:pPr>
              <w:ind w:left="106" w:right="246"/>
              <w:spacing w:before="68" w:line="22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b/>
                <w:bCs/>
                <w:color w:val="333333"/>
                <w:spacing w:val="-2"/>
              </w:rPr>
              <w:t>确</w:t>
            </w:r>
            <w:r>
              <w:rPr>
                <w:rFonts w:ascii="Microsoft YaHei" w:hAnsi="Microsoft YaHei" w:eastAsia="Microsoft YaHei" w:cs="Microsoft YaHei"/>
                <w:sz w:val="21"/>
                <w:szCs w:val="21"/>
                <w:b/>
                <w:bCs/>
                <w:color w:val="333333"/>
                <w:spacing w:val="-31"/>
              </w:rPr>
              <w:t xml:space="preserve"> </w:t>
            </w:r>
            <w:r>
              <w:rPr>
                <w:rFonts w:ascii="Microsoft YaHei" w:hAnsi="Microsoft YaHei" w:eastAsia="Microsoft YaHei" w:cs="Microsoft YaHei"/>
                <w:sz w:val="21"/>
                <w:szCs w:val="21"/>
                <w:color w:val="333333"/>
                <w:spacing w:val="-2"/>
              </w:rPr>
              <w:t>，2022</w:t>
            </w:r>
            <w:r>
              <w:rPr>
                <w:rFonts w:ascii="Microsoft YaHei" w:hAnsi="Microsoft YaHei" w:eastAsia="Microsoft YaHei" w:cs="Microsoft YaHei"/>
                <w:sz w:val="21"/>
                <w:szCs w:val="21"/>
                <w:color w:val="333333"/>
                <w:spacing w:val="48"/>
                <w:w w:val="101"/>
              </w:rPr>
              <w:t xml:space="preserve"> </w:t>
            </w:r>
            <w:r>
              <w:rPr>
                <w:rFonts w:ascii="Microsoft YaHei" w:hAnsi="Microsoft YaHei" w:eastAsia="Microsoft YaHei" w:cs="Microsoft YaHei"/>
                <w:sz w:val="21"/>
                <w:szCs w:val="21"/>
                <w:color w:val="333333"/>
                <w:spacing w:val="-2"/>
              </w:rPr>
              <w:t>年报中部分坏账准备转回的会计处 </w:t>
            </w:r>
            <w:r>
              <w:rPr>
                <w:rFonts w:ascii="Microsoft YaHei" w:hAnsi="Microsoft YaHei" w:eastAsia="Microsoft YaHei" w:cs="Microsoft YaHei"/>
                <w:sz w:val="21"/>
                <w:szCs w:val="21"/>
                <w:color w:val="333333"/>
                <w:spacing w:val="-5"/>
              </w:rPr>
              <w:t>理不准确，</w:t>
            </w:r>
            <w:r>
              <w:rPr>
                <w:rFonts w:ascii="Microsoft YaHei" w:hAnsi="Microsoft YaHei" w:eastAsia="Microsoft YaHei" w:cs="Microsoft YaHei"/>
                <w:sz w:val="21"/>
                <w:szCs w:val="21"/>
                <w:color w:val="333333"/>
                <w:spacing w:val="38"/>
              </w:rPr>
              <w:t xml:space="preserve"> </w:t>
            </w:r>
            <w:r>
              <w:rPr>
                <w:rFonts w:ascii="Microsoft YaHei" w:hAnsi="Microsoft YaHei" w:eastAsia="Microsoft YaHei" w:cs="Microsoft YaHei"/>
                <w:sz w:val="21"/>
                <w:szCs w:val="21"/>
                <w:color w:val="333333"/>
                <w:spacing w:val="-5"/>
              </w:rPr>
              <w:t>2022</w:t>
            </w:r>
            <w:r>
              <w:rPr>
                <w:rFonts w:ascii="Microsoft YaHei" w:hAnsi="Microsoft YaHei" w:eastAsia="Microsoft YaHei" w:cs="Microsoft YaHei"/>
                <w:sz w:val="21"/>
                <w:szCs w:val="21"/>
                <w:color w:val="333333"/>
                <w:spacing w:val="46"/>
              </w:rPr>
              <w:t xml:space="preserve"> </w:t>
            </w:r>
            <w:r>
              <w:rPr>
                <w:rFonts w:ascii="Microsoft YaHei" w:hAnsi="Microsoft YaHei" w:eastAsia="Microsoft YaHei" w:cs="Microsoft YaHei"/>
                <w:sz w:val="21"/>
                <w:szCs w:val="21"/>
                <w:color w:val="333333"/>
                <w:spacing w:val="-5"/>
              </w:rPr>
              <w:t>年年报中前五大客户、供应 </w:t>
            </w:r>
            <w:r>
              <w:rPr>
                <w:rFonts w:ascii="Microsoft YaHei" w:hAnsi="Microsoft YaHei" w:eastAsia="Microsoft YaHei" w:cs="Microsoft YaHei"/>
                <w:sz w:val="21"/>
                <w:szCs w:val="21"/>
                <w:color w:val="333333"/>
                <w:spacing w:val="-3"/>
              </w:rPr>
              <w:t>商相关信息披露不准确， 未按规定及时披露</w:t>
            </w:r>
            <w:r>
              <w:rPr>
                <w:rFonts w:ascii="Microsoft YaHei" w:hAnsi="Microsoft YaHei" w:eastAsia="Microsoft YaHei" w:cs="Microsoft YaHei"/>
                <w:sz w:val="21"/>
                <w:szCs w:val="21"/>
                <w:b/>
                <w:bCs/>
                <w:color w:val="333333"/>
                <w:spacing w:val="-3"/>
              </w:rPr>
              <w:t>政</w:t>
            </w:r>
            <w:r>
              <w:rPr>
                <w:rFonts w:ascii="Microsoft YaHei" w:hAnsi="Microsoft YaHei" w:eastAsia="Microsoft YaHei" w:cs="Microsoft YaHei"/>
                <w:sz w:val="21"/>
                <w:szCs w:val="21"/>
                <w:b/>
                <w:bCs/>
                <w:color w:val="333333"/>
                <w:spacing w:val="4"/>
              </w:rPr>
              <w:t xml:space="preserve"> </w:t>
            </w:r>
            <w:r>
              <w:rPr>
                <w:rFonts w:ascii="Microsoft YaHei" w:hAnsi="Microsoft YaHei" w:eastAsia="Microsoft YaHei" w:cs="Microsoft YaHei"/>
                <w:sz w:val="21"/>
                <w:szCs w:val="21"/>
                <w:b/>
                <w:bCs/>
                <w:color w:val="333333"/>
                <w:spacing w:val="-2"/>
              </w:rPr>
              <w:t>府补助</w:t>
            </w:r>
            <w:r>
              <w:rPr>
                <w:rFonts w:ascii="Microsoft YaHei" w:hAnsi="Microsoft YaHei" w:eastAsia="Microsoft YaHei" w:cs="Microsoft YaHei"/>
                <w:sz w:val="21"/>
                <w:szCs w:val="21"/>
                <w:b/>
                <w:bCs/>
                <w:color w:val="333333"/>
                <w:spacing w:val="-31"/>
              </w:rPr>
              <w:t xml:space="preserve"> </w:t>
            </w:r>
            <w:r>
              <w:rPr>
                <w:rFonts w:ascii="Microsoft YaHei" w:hAnsi="Microsoft YaHei" w:eastAsia="Microsoft YaHei" w:cs="Microsoft YaHei"/>
                <w:sz w:val="21"/>
                <w:szCs w:val="21"/>
                <w:color w:val="333333"/>
                <w:spacing w:val="-2"/>
              </w:rPr>
              <w:t>，2022</w:t>
            </w:r>
            <w:r>
              <w:rPr>
                <w:rFonts w:ascii="Microsoft YaHei" w:hAnsi="Microsoft YaHei" w:eastAsia="Microsoft YaHei" w:cs="Microsoft YaHei"/>
                <w:sz w:val="21"/>
                <w:szCs w:val="21"/>
                <w:color w:val="333333"/>
                <w:spacing w:val="48"/>
                <w:w w:val="101"/>
              </w:rPr>
              <w:t xml:space="preserve"> </w:t>
            </w:r>
            <w:r>
              <w:rPr>
                <w:rFonts w:ascii="Microsoft YaHei" w:hAnsi="Microsoft YaHei" w:eastAsia="Microsoft YaHei" w:cs="Microsoft YaHei"/>
                <w:sz w:val="21"/>
                <w:szCs w:val="21"/>
                <w:color w:val="333333"/>
                <w:spacing w:val="-2"/>
              </w:rPr>
              <w:t>年年报中与履约进度相关的财 </w:t>
            </w:r>
            <w:r>
              <w:rPr>
                <w:rFonts w:ascii="Microsoft YaHei" w:hAnsi="Microsoft YaHei" w:eastAsia="Microsoft YaHei" w:cs="Microsoft YaHei"/>
                <w:sz w:val="21"/>
                <w:szCs w:val="21"/>
                <w:color w:val="333333"/>
                <w:spacing w:val="-3"/>
              </w:rPr>
              <w:t>务处理不恰当。</w:t>
            </w:r>
          </w:p>
        </w:tc>
      </w:tr>
    </w:tbl>
    <w:p>
      <w:pPr>
        <w:pStyle w:val="BodyText"/>
        <w:rPr/>
      </w:pPr>
      <w:r/>
    </w:p>
    <w:p>
      <w:pPr>
        <w:sectPr>
          <w:pgSz w:w="11912" w:h="16841"/>
          <w:pgMar w:top="400" w:right="1454" w:bottom="0" w:left="1433" w:header="0" w:footer="0" w:gutter="0"/>
        </w:sectPr>
        <w:rPr/>
      </w:pPr>
    </w:p>
    <w:tbl>
      <w:tblPr>
        <w:tblStyle w:val="TableNormal"/>
        <w:tblW w:w="9018" w:type="dxa"/>
        <w:tblInd w:w="4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0"/>
        <w:gridCol w:w="1486"/>
        <w:gridCol w:w="1499"/>
        <w:gridCol w:w="4563"/>
      </w:tblGrid>
      <w:tr>
        <w:trPr>
          <w:trHeight w:val="1089" w:hRule="atLeast"/>
        </w:trPr>
        <w:tc>
          <w:tcPr>
            <w:tcW w:w="1470" w:type="dxa"/>
            <w:vAlign w:val="top"/>
          </w:tcPr>
          <w:p>
            <w:pPr>
              <w:spacing w:line="370" w:lineRule="auto"/>
              <w:rPr>
                <w:rFonts w:ascii="Arial"/>
                <w:sz w:val="21"/>
              </w:rPr>
            </w:pPr>
            <w:r/>
          </w:p>
          <w:p>
            <w:pPr>
              <w:ind w:left="590"/>
              <w:spacing w:before="9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300331</w:t>
            </w:r>
          </w:p>
        </w:tc>
        <w:tc>
          <w:tcPr>
            <w:tcW w:w="1486" w:type="dxa"/>
            <w:vAlign w:val="top"/>
          </w:tcPr>
          <w:p>
            <w:pPr>
              <w:spacing w:line="362" w:lineRule="auto"/>
              <w:rPr>
                <w:rFonts w:ascii="Arial"/>
                <w:sz w:val="21"/>
              </w:rPr>
            </w:pPr>
            <w:r/>
          </w:p>
          <w:p>
            <w:pPr>
              <w:ind w:left="533"/>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苏大维格</w:t>
            </w:r>
          </w:p>
        </w:tc>
        <w:tc>
          <w:tcPr>
            <w:tcW w:w="1499" w:type="dxa"/>
            <w:vAlign w:val="top"/>
          </w:tcPr>
          <w:p>
            <w:pPr>
              <w:spacing w:line="362" w:lineRule="auto"/>
              <w:rPr>
                <w:rFonts w:ascii="Arial"/>
                <w:sz w:val="21"/>
              </w:rPr>
            </w:pPr>
            <w:r/>
          </w:p>
          <w:p>
            <w:pPr>
              <w:ind w:left="541"/>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公开谴责</w:t>
            </w:r>
          </w:p>
        </w:tc>
        <w:tc>
          <w:tcPr>
            <w:tcW w:w="4563" w:type="dxa"/>
            <w:vAlign w:val="top"/>
          </w:tcPr>
          <w:p>
            <w:pPr>
              <w:ind w:left="108"/>
              <w:spacing w:before="95"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苏大维格</w:t>
            </w:r>
            <w:r>
              <w:rPr>
                <w:rFonts w:ascii="Microsoft YaHei" w:hAnsi="Microsoft YaHei" w:eastAsia="Microsoft YaHei" w:cs="Microsoft YaHei"/>
                <w:sz w:val="21"/>
                <w:szCs w:val="21"/>
                <w:b/>
                <w:bCs/>
                <w:color w:val="333333"/>
              </w:rPr>
              <w:t>互动易回复</w:t>
            </w:r>
            <w:r>
              <w:rPr>
                <w:rFonts w:ascii="Microsoft YaHei" w:hAnsi="Microsoft YaHei" w:eastAsia="Microsoft YaHei" w:cs="Microsoft YaHei"/>
                <w:sz w:val="21"/>
                <w:szCs w:val="21"/>
                <w:color w:val="333333"/>
              </w:rPr>
              <w:t>相关信息不准确、不完</w:t>
            </w:r>
          </w:p>
          <w:p>
            <w:pPr>
              <w:ind w:left="108" w:right="246" w:hanging="2"/>
              <w:spacing w:before="64"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整，构成误导性陈述。期间，苏大维格股票交</w:t>
            </w:r>
            <w:r>
              <w:rPr>
                <w:rFonts w:ascii="Microsoft YaHei" w:hAnsi="Microsoft YaHei" w:eastAsia="Microsoft YaHei" w:cs="Microsoft YaHei"/>
                <w:sz w:val="21"/>
                <w:szCs w:val="21"/>
                <w:color w:val="333333"/>
                <w:spacing w:val="3"/>
              </w:rPr>
              <w:t xml:space="preserve"> </w:t>
            </w:r>
            <w:r>
              <w:rPr>
                <w:rFonts w:ascii="Microsoft YaHei" w:hAnsi="Microsoft YaHei" w:eastAsia="Microsoft YaHei" w:cs="Microsoft YaHei"/>
                <w:sz w:val="21"/>
                <w:szCs w:val="21"/>
                <w:color w:val="333333"/>
              </w:rPr>
              <w:t>易存在异常波动情形，市场影响恶劣。</w:t>
            </w:r>
          </w:p>
        </w:tc>
      </w:tr>
      <w:tr>
        <w:trPr>
          <w:trHeight w:val="1446" w:hRule="atLeast"/>
        </w:trPr>
        <w:tc>
          <w:tcPr>
            <w:shd w:val="clear" w:fill="B8CCE4"/>
            <w:tcW w:w="1470" w:type="dxa"/>
            <w:vAlign w:val="top"/>
          </w:tcPr>
          <w:p>
            <w:pPr>
              <w:spacing w:line="273" w:lineRule="auto"/>
              <w:rPr>
                <w:rFonts w:ascii="Arial"/>
                <w:sz w:val="21"/>
              </w:rPr>
            </w:pPr>
            <w:r/>
          </w:p>
          <w:p>
            <w:pPr>
              <w:spacing w:line="273" w:lineRule="auto"/>
              <w:rPr>
                <w:rFonts w:ascii="Arial"/>
                <w:sz w:val="21"/>
              </w:rPr>
            </w:pPr>
            <w:r/>
          </w:p>
          <w:p>
            <w:pPr>
              <w:ind w:left="585"/>
              <w:spacing w:before="9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002642</w:t>
            </w:r>
          </w:p>
        </w:tc>
        <w:tc>
          <w:tcPr>
            <w:shd w:val="clear" w:fill="B8CCE4"/>
            <w:tcW w:w="1486" w:type="dxa"/>
            <w:vAlign w:val="top"/>
          </w:tcPr>
          <w:p>
            <w:pPr>
              <w:spacing w:line="268" w:lineRule="auto"/>
              <w:rPr>
                <w:rFonts w:ascii="Arial"/>
                <w:sz w:val="21"/>
              </w:rPr>
            </w:pPr>
            <w:r/>
          </w:p>
          <w:p>
            <w:pPr>
              <w:spacing w:line="268" w:lineRule="auto"/>
              <w:rPr>
                <w:rFonts w:ascii="Arial"/>
                <w:sz w:val="21"/>
              </w:rPr>
            </w:pPr>
            <w:r/>
          </w:p>
          <w:p>
            <w:pPr>
              <w:ind w:left="534"/>
              <w:spacing w:before="90"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荣联科技</w:t>
            </w:r>
          </w:p>
        </w:tc>
        <w:tc>
          <w:tcPr>
            <w:shd w:val="clear" w:fill="B8CCE4"/>
            <w:tcW w:w="1499" w:type="dxa"/>
            <w:vAlign w:val="top"/>
          </w:tcPr>
          <w:p>
            <w:pPr>
              <w:ind w:left="119" w:right="112" w:firstLine="421"/>
              <w:spacing w:before="90" w:line="224" w:lineRule="auto"/>
              <w:jc w:val="both"/>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公开认定</w:t>
            </w:r>
            <w:r>
              <w:rPr>
                <w:rFonts w:ascii="Microsoft YaHei" w:hAnsi="Microsoft YaHei" w:eastAsia="Microsoft YaHei" w:cs="Microsoft YaHei"/>
                <w:sz w:val="21"/>
                <w:szCs w:val="21"/>
                <w:color w:val="333333"/>
                <w:spacing w:val="2"/>
              </w:rPr>
              <w:t xml:space="preserve"> </w:t>
            </w:r>
            <w:r>
              <w:rPr>
                <w:rFonts w:ascii="Microsoft YaHei" w:hAnsi="Microsoft YaHei" w:eastAsia="Microsoft YaHei" w:cs="Microsoft YaHei"/>
                <w:sz w:val="21"/>
                <w:szCs w:val="21"/>
                <w:color w:val="333333"/>
              </w:rPr>
              <w:t>不适合担任上 </w:t>
            </w:r>
            <w:r>
              <w:rPr>
                <w:rFonts w:ascii="Microsoft YaHei" w:hAnsi="Microsoft YaHei" w:eastAsia="Microsoft YaHei" w:cs="Microsoft YaHei"/>
                <w:sz w:val="21"/>
                <w:szCs w:val="21"/>
                <w:color w:val="333333"/>
              </w:rPr>
              <w:t>市公司董监高 </w:t>
            </w:r>
            <w:r>
              <w:rPr>
                <w:rFonts w:ascii="Microsoft YaHei" w:hAnsi="Microsoft YaHei" w:eastAsia="Microsoft YaHei" w:cs="Microsoft YaHei"/>
                <w:sz w:val="21"/>
                <w:szCs w:val="21"/>
                <w:color w:val="333333"/>
                <w:spacing w:val="-6"/>
              </w:rPr>
              <w:t>（不含董秘）</w:t>
            </w:r>
          </w:p>
        </w:tc>
        <w:tc>
          <w:tcPr>
            <w:shd w:val="clear" w:fill="B8CCE4"/>
            <w:tcW w:w="4563" w:type="dxa"/>
            <w:vAlign w:val="top"/>
          </w:tcPr>
          <w:p>
            <w:pPr>
              <w:spacing w:line="357" w:lineRule="auto"/>
              <w:rPr>
                <w:rFonts w:ascii="Arial"/>
                <w:sz w:val="21"/>
              </w:rPr>
            </w:pPr>
            <w:r/>
          </w:p>
          <w:p>
            <w:pPr>
              <w:ind w:left="109" w:right="239" w:firstLine="8"/>
              <w:spacing w:before="90" w:line="219"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7"/>
              </w:rPr>
              <w:t>2016年、</w:t>
            </w:r>
            <w:r>
              <w:rPr>
                <w:rFonts w:ascii="Microsoft YaHei" w:hAnsi="Microsoft YaHei" w:eastAsia="Microsoft YaHei" w:cs="Microsoft YaHei"/>
                <w:sz w:val="21"/>
                <w:szCs w:val="21"/>
                <w:color w:val="333333"/>
                <w:spacing w:val="24"/>
              </w:rPr>
              <w:t xml:space="preserve"> </w:t>
            </w:r>
            <w:r>
              <w:rPr>
                <w:rFonts w:ascii="Microsoft YaHei" w:hAnsi="Microsoft YaHei" w:eastAsia="Microsoft YaHei" w:cs="Microsoft YaHei"/>
                <w:sz w:val="21"/>
                <w:szCs w:val="21"/>
                <w:color w:val="333333"/>
                <w:spacing w:val="-7"/>
              </w:rPr>
              <w:t>2017年、</w:t>
            </w:r>
            <w:r>
              <w:rPr>
                <w:rFonts w:ascii="Microsoft YaHei" w:hAnsi="Microsoft YaHei" w:eastAsia="Microsoft YaHei" w:cs="Microsoft YaHei"/>
                <w:sz w:val="21"/>
                <w:szCs w:val="21"/>
                <w:color w:val="333333"/>
                <w:spacing w:val="22"/>
              </w:rPr>
              <w:t xml:space="preserve"> </w:t>
            </w:r>
            <w:r>
              <w:rPr>
                <w:rFonts w:ascii="Microsoft YaHei" w:hAnsi="Microsoft YaHei" w:eastAsia="Microsoft YaHei" w:cs="Microsoft YaHei"/>
                <w:sz w:val="21"/>
                <w:szCs w:val="21"/>
                <w:color w:val="333333"/>
                <w:spacing w:val="-7"/>
              </w:rPr>
              <w:t>2018年年度报告</w:t>
            </w:r>
            <w:r>
              <w:rPr>
                <w:rFonts w:ascii="Microsoft YaHei" w:hAnsi="Microsoft YaHei" w:eastAsia="Microsoft YaHei" w:cs="Microsoft YaHei"/>
                <w:sz w:val="21"/>
                <w:szCs w:val="21"/>
                <w:color w:val="333333"/>
                <w:spacing w:val="-8"/>
              </w:rPr>
              <w:t>存在</w:t>
            </w:r>
            <w:r>
              <w:rPr>
                <w:rFonts w:ascii="Microsoft YaHei" w:hAnsi="Microsoft YaHei" w:eastAsia="Microsoft YaHei" w:cs="Microsoft YaHei"/>
                <w:sz w:val="21"/>
                <w:szCs w:val="21"/>
                <w:b/>
                <w:bCs/>
                <w:color w:val="333333"/>
                <w:spacing w:val="-8"/>
              </w:rPr>
              <w:t>虚假</w:t>
            </w:r>
            <w:r>
              <w:rPr>
                <w:rFonts w:ascii="Microsoft YaHei" w:hAnsi="Microsoft YaHei" w:eastAsia="Microsoft YaHei" w:cs="Microsoft YaHei"/>
                <w:sz w:val="21"/>
                <w:szCs w:val="21"/>
                <w:b/>
                <w:bCs/>
                <w:color w:val="333333"/>
              </w:rPr>
              <w:t xml:space="preserve"> </w:t>
            </w:r>
            <w:r>
              <w:rPr>
                <w:rFonts w:ascii="Microsoft YaHei" w:hAnsi="Microsoft YaHei" w:eastAsia="Microsoft YaHei" w:cs="Microsoft YaHei"/>
                <w:sz w:val="21"/>
                <w:szCs w:val="21"/>
                <w:b/>
                <w:bCs/>
                <w:color w:val="333333"/>
                <w:spacing w:val="-1"/>
              </w:rPr>
              <w:t>记载。</w:t>
            </w:r>
          </w:p>
        </w:tc>
      </w:tr>
      <w:tr>
        <w:trPr>
          <w:trHeight w:val="724" w:hRule="atLeast"/>
        </w:trPr>
        <w:tc>
          <w:tcPr>
            <w:tcW w:w="1470" w:type="dxa"/>
            <w:vAlign w:val="top"/>
          </w:tcPr>
          <w:p>
            <w:pPr>
              <w:ind w:left="585"/>
              <w:spacing w:before="28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002642</w:t>
            </w:r>
          </w:p>
        </w:tc>
        <w:tc>
          <w:tcPr>
            <w:tcW w:w="1486" w:type="dxa"/>
            <w:vAlign w:val="top"/>
          </w:tcPr>
          <w:p>
            <w:pPr>
              <w:ind w:left="534"/>
              <w:spacing w:before="27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荣联科技</w:t>
            </w:r>
          </w:p>
        </w:tc>
        <w:tc>
          <w:tcPr>
            <w:tcW w:w="1499" w:type="dxa"/>
            <w:vAlign w:val="top"/>
          </w:tcPr>
          <w:p>
            <w:pPr>
              <w:ind w:left="541"/>
              <w:spacing w:before="27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公开谴责</w:t>
            </w:r>
          </w:p>
        </w:tc>
        <w:tc>
          <w:tcPr>
            <w:tcW w:w="4563" w:type="dxa"/>
            <w:vAlign w:val="top"/>
          </w:tcPr>
          <w:p>
            <w:pPr>
              <w:ind w:left="109" w:right="239" w:firstLine="8"/>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7"/>
              </w:rPr>
              <w:t>2016年、</w:t>
            </w:r>
            <w:r>
              <w:rPr>
                <w:rFonts w:ascii="Microsoft YaHei" w:hAnsi="Microsoft YaHei" w:eastAsia="Microsoft YaHei" w:cs="Microsoft YaHei"/>
                <w:sz w:val="21"/>
                <w:szCs w:val="21"/>
                <w:color w:val="333333"/>
                <w:spacing w:val="24"/>
              </w:rPr>
              <w:t xml:space="preserve"> </w:t>
            </w:r>
            <w:r>
              <w:rPr>
                <w:rFonts w:ascii="Microsoft YaHei" w:hAnsi="Microsoft YaHei" w:eastAsia="Microsoft YaHei" w:cs="Microsoft YaHei"/>
                <w:sz w:val="21"/>
                <w:szCs w:val="21"/>
                <w:color w:val="333333"/>
                <w:spacing w:val="-7"/>
              </w:rPr>
              <w:t>2017年、</w:t>
            </w:r>
            <w:r>
              <w:rPr>
                <w:rFonts w:ascii="Microsoft YaHei" w:hAnsi="Microsoft YaHei" w:eastAsia="Microsoft YaHei" w:cs="Microsoft YaHei"/>
                <w:sz w:val="21"/>
                <w:szCs w:val="21"/>
                <w:color w:val="333333"/>
                <w:spacing w:val="22"/>
              </w:rPr>
              <w:t xml:space="preserve"> </w:t>
            </w:r>
            <w:r>
              <w:rPr>
                <w:rFonts w:ascii="Microsoft YaHei" w:hAnsi="Microsoft YaHei" w:eastAsia="Microsoft YaHei" w:cs="Microsoft YaHei"/>
                <w:sz w:val="21"/>
                <w:szCs w:val="21"/>
                <w:color w:val="333333"/>
                <w:spacing w:val="-7"/>
              </w:rPr>
              <w:t>2018年年度报告</w:t>
            </w:r>
            <w:r>
              <w:rPr>
                <w:rFonts w:ascii="Microsoft YaHei" w:hAnsi="Microsoft YaHei" w:eastAsia="Microsoft YaHei" w:cs="Microsoft YaHei"/>
                <w:sz w:val="21"/>
                <w:szCs w:val="21"/>
                <w:color w:val="333333"/>
                <w:spacing w:val="-8"/>
              </w:rPr>
              <w:t>存在</w:t>
            </w:r>
            <w:r>
              <w:rPr>
                <w:rFonts w:ascii="Microsoft YaHei" w:hAnsi="Microsoft YaHei" w:eastAsia="Microsoft YaHei" w:cs="Microsoft YaHei"/>
                <w:sz w:val="21"/>
                <w:szCs w:val="21"/>
                <w:b/>
                <w:bCs/>
                <w:color w:val="333333"/>
                <w:spacing w:val="-8"/>
              </w:rPr>
              <w:t>虚假</w:t>
            </w:r>
            <w:r>
              <w:rPr>
                <w:rFonts w:ascii="Microsoft YaHei" w:hAnsi="Microsoft YaHei" w:eastAsia="Microsoft YaHei" w:cs="Microsoft YaHei"/>
                <w:sz w:val="21"/>
                <w:szCs w:val="21"/>
                <w:b/>
                <w:bCs/>
                <w:color w:val="333333"/>
              </w:rPr>
              <w:t xml:space="preserve"> </w:t>
            </w:r>
            <w:r>
              <w:rPr>
                <w:rFonts w:ascii="Microsoft YaHei" w:hAnsi="Microsoft YaHei" w:eastAsia="Microsoft YaHei" w:cs="Microsoft YaHei"/>
                <w:sz w:val="21"/>
                <w:szCs w:val="21"/>
                <w:b/>
                <w:bCs/>
                <w:color w:val="333333"/>
                <w:spacing w:val="-1"/>
              </w:rPr>
              <w:t>记载。</w:t>
            </w:r>
          </w:p>
        </w:tc>
      </w:tr>
      <w:tr>
        <w:trPr>
          <w:trHeight w:val="724" w:hRule="atLeast"/>
        </w:trPr>
        <w:tc>
          <w:tcPr>
            <w:shd w:val="clear" w:fill="B8CCE4"/>
            <w:tcW w:w="1470" w:type="dxa"/>
            <w:vAlign w:val="top"/>
          </w:tcPr>
          <w:p>
            <w:pPr>
              <w:ind w:left="585"/>
              <w:spacing w:before="28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002261</w:t>
            </w:r>
          </w:p>
        </w:tc>
        <w:tc>
          <w:tcPr>
            <w:shd w:val="clear" w:fill="B8CCE4"/>
            <w:tcW w:w="1486" w:type="dxa"/>
            <w:vAlign w:val="top"/>
          </w:tcPr>
          <w:p>
            <w:pPr>
              <w:ind w:left="534"/>
              <w:spacing w:before="273"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拓维信息</w:t>
            </w:r>
          </w:p>
        </w:tc>
        <w:tc>
          <w:tcPr>
            <w:shd w:val="clear" w:fill="B8CCE4"/>
            <w:tcW w:w="1499" w:type="dxa"/>
            <w:vAlign w:val="top"/>
          </w:tcPr>
          <w:p>
            <w:pPr>
              <w:ind w:left="541"/>
              <w:spacing w:before="272"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通报批评</w:t>
            </w:r>
          </w:p>
        </w:tc>
        <w:tc>
          <w:tcPr>
            <w:shd w:val="clear" w:fill="B8CCE4"/>
            <w:tcW w:w="4563" w:type="dxa"/>
            <w:vAlign w:val="top"/>
          </w:tcPr>
          <w:p>
            <w:pPr>
              <w:ind w:left="108" w:right="247"/>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拓维信息未就</w:t>
            </w:r>
            <w:r>
              <w:rPr>
                <w:rFonts w:ascii="Microsoft YaHei" w:hAnsi="Microsoft YaHei" w:eastAsia="Microsoft YaHei" w:cs="Microsoft YaHei"/>
                <w:sz w:val="21"/>
                <w:szCs w:val="21"/>
                <w:b/>
                <w:bCs/>
                <w:color w:val="333333"/>
              </w:rPr>
              <w:t>担保</w:t>
            </w:r>
            <w:r>
              <w:rPr>
                <w:rFonts w:ascii="Microsoft YaHei" w:hAnsi="Microsoft YaHei" w:eastAsia="Microsoft YaHei" w:cs="Microsoft YaHei"/>
                <w:sz w:val="21"/>
                <w:szCs w:val="21"/>
                <w:color w:val="333333"/>
              </w:rPr>
              <w:t>履行审议程序且未及时对外 </w:t>
            </w:r>
            <w:r>
              <w:rPr>
                <w:rFonts w:ascii="Microsoft YaHei" w:hAnsi="Microsoft YaHei" w:eastAsia="Microsoft YaHei" w:cs="Microsoft YaHei"/>
                <w:sz w:val="21"/>
                <w:szCs w:val="21"/>
                <w:color w:val="333333"/>
                <w:spacing w:val="-9"/>
              </w:rPr>
              <w:t>披露。</w:t>
            </w:r>
          </w:p>
        </w:tc>
      </w:tr>
      <w:tr>
        <w:trPr>
          <w:trHeight w:val="727" w:hRule="atLeast"/>
        </w:trPr>
        <w:tc>
          <w:tcPr>
            <w:tcW w:w="1470" w:type="dxa"/>
            <w:vAlign w:val="top"/>
          </w:tcPr>
          <w:p>
            <w:pPr>
              <w:ind w:left="585"/>
              <w:spacing w:before="284"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000038</w:t>
            </w:r>
          </w:p>
        </w:tc>
        <w:tc>
          <w:tcPr>
            <w:tcW w:w="1486" w:type="dxa"/>
            <w:vAlign w:val="top"/>
          </w:tcPr>
          <w:p>
            <w:pPr>
              <w:ind w:left="637"/>
              <w:spacing w:before="275"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大通退</w:t>
            </w:r>
          </w:p>
        </w:tc>
        <w:tc>
          <w:tcPr>
            <w:tcW w:w="1499" w:type="dxa"/>
            <w:vAlign w:val="top"/>
          </w:tcPr>
          <w:p>
            <w:pPr>
              <w:ind w:left="541"/>
              <w:spacing w:before="27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通报批评</w:t>
            </w:r>
          </w:p>
        </w:tc>
        <w:tc>
          <w:tcPr>
            <w:tcW w:w="4563" w:type="dxa"/>
            <w:vAlign w:val="top"/>
          </w:tcPr>
          <w:p>
            <w:pPr>
              <w:ind w:left="108" w:right="316" w:firstLine="9"/>
              <w:spacing w:before="95"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2016年和2017年年度报告存在</w:t>
            </w:r>
            <w:r>
              <w:rPr>
                <w:rFonts w:ascii="Microsoft YaHei" w:hAnsi="Microsoft YaHei" w:eastAsia="Microsoft YaHei" w:cs="Microsoft YaHei"/>
                <w:sz w:val="21"/>
                <w:szCs w:val="21"/>
                <w:b/>
                <w:bCs/>
                <w:color w:val="333333"/>
                <w:spacing w:val="-1"/>
              </w:rPr>
              <w:t>虚假记载</w:t>
            </w:r>
            <w:r>
              <w:rPr>
                <w:rFonts w:ascii="Microsoft YaHei" w:hAnsi="Microsoft YaHei" w:eastAsia="Microsoft YaHei" w:cs="Microsoft YaHei"/>
                <w:sz w:val="21"/>
                <w:szCs w:val="21"/>
                <w:color w:val="333333"/>
                <w:spacing w:val="-1"/>
              </w:rPr>
              <w:t>；未</w:t>
            </w:r>
            <w:r>
              <w:rPr>
                <w:rFonts w:ascii="Microsoft YaHei" w:hAnsi="Microsoft YaHei" w:eastAsia="Microsoft YaHei" w:cs="Microsoft YaHei"/>
                <w:sz w:val="21"/>
                <w:szCs w:val="21"/>
                <w:color w:val="333333"/>
                <w:spacing w:val="10"/>
              </w:rPr>
              <w:t xml:space="preserve"> </w:t>
            </w:r>
            <w:r>
              <w:rPr>
                <w:rFonts w:ascii="Microsoft YaHei" w:hAnsi="Microsoft YaHei" w:eastAsia="Microsoft YaHei" w:cs="Microsoft YaHei"/>
                <w:sz w:val="21"/>
                <w:szCs w:val="21"/>
                <w:color w:val="333333"/>
                <w:spacing w:val="-2"/>
              </w:rPr>
              <w:t>披露</w:t>
            </w:r>
            <w:r>
              <w:rPr>
                <w:rFonts w:ascii="Microsoft YaHei" w:hAnsi="Microsoft YaHei" w:eastAsia="Microsoft YaHei" w:cs="Microsoft YaHei"/>
                <w:sz w:val="21"/>
                <w:szCs w:val="21"/>
                <w:b/>
                <w:bCs/>
                <w:color w:val="333333"/>
                <w:spacing w:val="-2"/>
              </w:rPr>
              <w:t>摘牌风险</w:t>
            </w:r>
            <w:r>
              <w:rPr>
                <w:rFonts w:ascii="Microsoft YaHei" w:hAnsi="Microsoft YaHei" w:eastAsia="Microsoft YaHei" w:cs="Microsoft YaHei"/>
                <w:sz w:val="21"/>
                <w:szCs w:val="21"/>
                <w:color w:val="333333"/>
                <w:spacing w:val="-2"/>
              </w:rPr>
              <w:t>提示公告及摘牌公告。</w:t>
            </w:r>
          </w:p>
        </w:tc>
      </w:tr>
      <w:tr>
        <w:trPr>
          <w:trHeight w:val="725" w:hRule="atLeast"/>
        </w:trPr>
        <w:tc>
          <w:tcPr>
            <w:shd w:val="clear" w:fill="B8CCE4"/>
            <w:tcW w:w="1470" w:type="dxa"/>
            <w:vAlign w:val="top"/>
          </w:tcPr>
          <w:p>
            <w:pPr>
              <w:ind w:left="585"/>
              <w:spacing w:before="283"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000584</w:t>
            </w:r>
          </w:p>
        </w:tc>
        <w:tc>
          <w:tcPr>
            <w:shd w:val="clear" w:fill="B8CCE4"/>
            <w:tcW w:w="1486" w:type="dxa"/>
            <w:vAlign w:val="top"/>
          </w:tcPr>
          <w:p>
            <w:pPr>
              <w:ind w:left="633"/>
              <w:spacing w:before="274"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ST工智</w:t>
            </w:r>
          </w:p>
        </w:tc>
        <w:tc>
          <w:tcPr>
            <w:shd w:val="clear" w:fill="B8CCE4"/>
            <w:tcW w:w="1499" w:type="dxa"/>
            <w:vAlign w:val="top"/>
          </w:tcPr>
          <w:p>
            <w:pPr>
              <w:ind w:left="541"/>
              <w:spacing w:before="273"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公开谴责</w:t>
            </w:r>
          </w:p>
        </w:tc>
        <w:tc>
          <w:tcPr>
            <w:shd w:val="clear" w:fill="B8CCE4"/>
            <w:tcW w:w="4563" w:type="dxa"/>
            <w:vAlign w:val="top"/>
          </w:tcPr>
          <w:p>
            <w:pPr>
              <w:ind w:left="107" w:right="246" w:firstLine="1"/>
              <w:spacing w:before="93"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苏州严格未按照前期公开披露的信息履行</w:t>
            </w:r>
            <w:r>
              <w:rPr>
                <w:rFonts w:ascii="Microsoft YaHei" w:hAnsi="Microsoft YaHei" w:eastAsia="Microsoft YaHei" w:cs="Microsoft YaHei"/>
                <w:sz w:val="21"/>
                <w:szCs w:val="21"/>
                <w:b/>
                <w:bCs/>
                <w:color w:val="333333"/>
              </w:rPr>
              <w:t>现金</w:t>
            </w:r>
            <w:r>
              <w:rPr>
                <w:rFonts w:ascii="Microsoft YaHei" w:hAnsi="Microsoft YaHei" w:eastAsia="Microsoft YaHei" w:cs="Microsoft YaHei"/>
                <w:sz w:val="21"/>
                <w:szCs w:val="21"/>
                <w:b/>
                <w:bCs/>
                <w:color w:val="333333"/>
                <w:spacing w:val="1"/>
              </w:rPr>
              <w:t xml:space="preserve"> </w:t>
            </w:r>
            <w:r>
              <w:rPr>
                <w:rFonts w:ascii="Microsoft YaHei" w:hAnsi="Microsoft YaHei" w:eastAsia="Microsoft YaHei" w:cs="Microsoft YaHei"/>
                <w:sz w:val="21"/>
                <w:szCs w:val="21"/>
                <w:b/>
                <w:bCs/>
                <w:color w:val="333333"/>
              </w:rPr>
              <w:t>补偿及股权回购</w:t>
            </w:r>
            <w:r>
              <w:rPr>
                <w:rFonts w:ascii="Microsoft YaHei" w:hAnsi="Microsoft YaHei" w:eastAsia="Microsoft YaHei" w:cs="Microsoft YaHei"/>
                <w:sz w:val="21"/>
                <w:szCs w:val="21"/>
                <w:color w:val="333333"/>
              </w:rPr>
              <w:t>承诺。</w:t>
            </w:r>
          </w:p>
        </w:tc>
      </w:tr>
      <w:tr>
        <w:trPr>
          <w:trHeight w:val="724" w:hRule="atLeast"/>
        </w:trPr>
        <w:tc>
          <w:tcPr>
            <w:tcW w:w="1470" w:type="dxa"/>
            <w:vAlign w:val="top"/>
          </w:tcPr>
          <w:p>
            <w:pPr>
              <w:ind w:left="585"/>
              <w:spacing w:before="282"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000584</w:t>
            </w:r>
          </w:p>
        </w:tc>
        <w:tc>
          <w:tcPr>
            <w:tcW w:w="1486" w:type="dxa"/>
            <w:vAlign w:val="top"/>
          </w:tcPr>
          <w:p>
            <w:pPr>
              <w:ind w:left="633"/>
              <w:spacing w:before="273"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ST工智</w:t>
            </w:r>
          </w:p>
        </w:tc>
        <w:tc>
          <w:tcPr>
            <w:tcW w:w="1499" w:type="dxa"/>
            <w:vAlign w:val="top"/>
          </w:tcPr>
          <w:p>
            <w:pPr>
              <w:ind w:left="541"/>
              <w:spacing w:before="273"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公开谴责</w:t>
            </w:r>
          </w:p>
        </w:tc>
        <w:tc>
          <w:tcPr>
            <w:tcW w:w="4563" w:type="dxa"/>
            <w:vAlign w:val="top"/>
          </w:tcPr>
          <w:p>
            <w:pPr>
              <w:ind w:left="107" w:right="246" w:firstLine="1"/>
              <w:spacing w:before="92" w:line="207"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严格集团未按照之前公开披露的信息履行</w:t>
            </w:r>
            <w:r>
              <w:rPr>
                <w:rFonts w:ascii="Microsoft YaHei" w:hAnsi="Microsoft YaHei" w:eastAsia="Microsoft YaHei" w:cs="Microsoft YaHei"/>
                <w:sz w:val="21"/>
                <w:szCs w:val="21"/>
                <w:b/>
                <w:bCs/>
                <w:color w:val="333333"/>
              </w:rPr>
              <w:t>现金</w:t>
            </w:r>
            <w:r>
              <w:rPr>
                <w:rFonts w:ascii="Microsoft YaHei" w:hAnsi="Microsoft YaHei" w:eastAsia="Microsoft YaHei" w:cs="Microsoft YaHei"/>
                <w:sz w:val="21"/>
                <w:szCs w:val="21"/>
                <w:b/>
                <w:bCs/>
                <w:color w:val="333333"/>
                <w:spacing w:val="1"/>
              </w:rPr>
              <w:t xml:space="preserve"> </w:t>
            </w:r>
            <w:r>
              <w:rPr>
                <w:rFonts w:ascii="Microsoft YaHei" w:hAnsi="Microsoft YaHei" w:eastAsia="Microsoft YaHei" w:cs="Microsoft YaHei"/>
                <w:sz w:val="21"/>
                <w:szCs w:val="21"/>
                <w:b/>
                <w:bCs/>
                <w:color w:val="333333"/>
              </w:rPr>
              <w:t>补偿及股权回购</w:t>
            </w:r>
            <w:r>
              <w:rPr>
                <w:rFonts w:ascii="Microsoft YaHei" w:hAnsi="Microsoft YaHei" w:eastAsia="Microsoft YaHei" w:cs="Microsoft YaHei"/>
                <w:sz w:val="21"/>
                <w:szCs w:val="21"/>
                <w:color w:val="333333"/>
              </w:rPr>
              <w:t>承诺。</w:t>
            </w:r>
          </w:p>
        </w:tc>
      </w:tr>
      <w:tr>
        <w:trPr>
          <w:trHeight w:val="726" w:hRule="atLeast"/>
        </w:trPr>
        <w:tc>
          <w:tcPr>
            <w:shd w:val="clear" w:fill="B8CCE4"/>
            <w:tcW w:w="1470" w:type="dxa"/>
            <w:vAlign w:val="top"/>
          </w:tcPr>
          <w:p>
            <w:pPr>
              <w:ind w:left="585"/>
              <w:spacing w:before="284"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002211</w:t>
            </w:r>
          </w:p>
        </w:tc>
        <w:tc>
          <w:tcPr>
            <w:shd w:val="clear" w:fill="B8CCE4"/>
            <w:tcW w:w="1486" w:type="dxa"/>
            <w:vAlign w:val="top"/>
          </w:tcPr>
          <w:p>
            <w:pPr>
              <w:ind w:left="534"/>
              <w:spacing w:before="275"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宏达新材</w:t>
            </w:r>
          </w:p>
        </w:tc>
        <w:tc>
          <w:tcPr>
            <w:shd w:val="clear" w:fill="B8CCE4"/>
            <w:tcW w:w="1499" w:type="dxa"/>
            <w:vAlign w:val="top"/>
          </w:tcPr>
          <w:p>
            <w:pPr>
              <w:ind w:left="541"/>
              <w:spacing w:before="276"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公开谴责</w:t>
            </w:r>
          </w:p>
        </w:tc>
        <w:tc>
          <w:tcPr>
            <w:shd w:val="clear" w:fill="B8CCE4"/>
            <w:tcW w:w="4563" w:type="dxa"/>
            <w:vAlign w:val="top"/>
          </w:tcPr>
          <w:p>
            <w:pPr>
              <w:ind w:left="109" w:right="244" w:hanging="1"/>
              <w:spacing w:before="97" w:line="20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骥勤投资未按照公开披露的《股权收购协议》</w:t>
            </w:r>
            <w:r>
              <w:rPr>
                <w:rFonts w:ascii="Microsoft YaHei" w:hAnsi="Microsoft YaHei" w:eastAsia="Microsoft YaHei" w:cs="Microsoft YaHei"/>
                <w:sz w:val="21"/>
                <w:szCs w:val="21"/>
                <w:color w:val="333333"/>
                <w:spacing w:val="4"/>
              </w:rPr>
              <w:t xml:space="preserve"> </w:t>
            </w:r>
            <w:r>
              <w:rPr>
                <w:rFonts w:ascii="Microsoft YaHei" w:hAnsi="Microsoft YaHei" w:eastAsia="Microsoft YaHei" w:cs="Microsoft YaHei"/>
                <w:sz w:val="21"/>
                <w:szCs w:val="21"/>
                <w:color w:val="333333"/>
                <w:spacing w:val="-3"/>
              </w:rPr>
              <w:t>履行</w:t>
            </w:r>
            <w:r>
              <w:rPr>
                <w:rFonts w:ascii="Microsoft YaHei" w:hAnsi="Microsoft YaHei" w:eastAsia="Microsoft YaHei" w:cs="Microsoft YaHei"/>
                <w:sz w:val="21"/>
                <w:szCs w:val="21"/>
                <w:b/>
                <w:bCs/>
                <w:color w:val="333333"/>
                <w:spacing w:val="-3"/>
              </w:rPr>
              <w:t>业绩补偿承诺。</w:t>
            </w:r>
          </w:p>
        </w:tc>
      </w:tr>
      <w:tr>
        <w:trPr>
          <w:trHeight w:val="729" w:hRule="atLeast"/>
        </w:trPr>
        <w:tc>
          <w:tcPr>
            <w:tcW w:w="1470" w:type="dxa"/>
            <w:vAlign w:val="top"/>
          </w:tcPr>
          <w:p>
            <w:pPr>
              <w:ind w:left="585"/>
              <w:spacing w:before="284"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002358</w:t>
            </w:r>
          </w:p>
        </w:tc>
        <w:tc>
          <w:tcPr>
            <w:tcW w:w="1486" w:type="dxa"/>
            <w:vAlign w:val="top"/>
          </w:tcPr>
          <w:p>
            <w:pPr>
              <w:ind w:left="533"/>
              <w:spacing w:before="274"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森源电气</w:t>
            </w:r>
          </w:p>
        </w:tc>
        <w:tc>
          <w:tcPr>
            <w:tcW w:w="1499" w:type="dxa"/>
            <w:vAlign w:val="top"/>
          </w:tcPr>
          <w:p>
            <w:pPr>
              <w:ind w:left="541"/>
              <w:spacing w:before="27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通报批评</w:t>
            </w:r>
          </w:p>
        </w:tc>
        <w:tc>
          <w:tcPr>
            <w:tcW w:w="4563" w:type="dxa"/>
            <w:vAlign w:val="top"/>
          </w:tcPr>
          <w:p>
            <w:pPr>
              <w:ind w:left="107" w:right="246"/>
              <w:spacing w:before="94" w:line="208"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森源集团、森源重工未按照公开披露的利润补</w:t>
            </w:r>
            <w:r>
              <w:rPr>
                <w:rFonts w:ascii="Microsoft YaHei" w:hAnsi="Microsoft YaHei" w:eastAsia="Microsoft YaHei" w:cs="Microsoft YaHei"/>
                <w:sz w:val="21"/>
                <w:szCs w:val="21"/>
                <w:color w:val="333333"/>
                <w:spacing w:val="2"/>
              </w:rPr>
              <w:t xml:space="preserve"> </w:t>
            </w:r>
            <w:r>
              <w:rPr>
                <w:rFonts w:ascii="Microsoft YaHei" w:hAnsi="Microsoft YaHei" w:eastAsia="Microsoft YaHei" w:cs="Microsoft YaHei"/>
                <w:sz w:val="21"/>
                <w:szCs w:val="21"/>
                <w:color w:val="333333"/>
              </w:rPr>
              <w:t>偿协议履行</w:t>
            </w:r>
            <w:r>
              <w:rPr>
                <w:rFonts w:ascii="Microsoft YaHei" w:hAnsi="Microsoft YaHei" w:eastAsia="Microsoft YaHei" w:cs="Microsoft YaHei"/>
                <w:sz w:val="21"/>
                <w:szCs w:val="21"/>
                <w:b/>
                <w:bCs/>
                <w:color w:val="333333"/>
              </w:rPr>
              <w:t>业绩补偿承诺</w:t>
            </w:r>
            <w:r>
              <w:rPr>
                <w:rFonts w:ascii="Microsoft YaHei" w:hAnsi="Microsoft YaHei" w:eastAsia="Microsoft YaHei" w:cs="Microsoft YaHei"/>
                <w:sz w:val="21"/>
                <w:szCs w:val="21"/>
                <w:color w:val="333333"/>
              </w:rPr>
              <w:t>。</w:t>
            </w:r>
          </w:p>
        </w:tc>
      </w:tr>
    </w:tbl>
    <w:p>
      <w:pPr>
        <w:pStyle w:val="BodyText"/>
        <w:spacing w:line="297" w:lineRule="auto"/>
        <w:rPr/>
      </w:pPr>
      <w:r/>
    </w:p>
    <w:p>
      <w:pPr>
        <w:pStyle w:val="BodyText"/>
        <w:spacing w:line="297" w:lineRule="auto"/>
        <w:rPr/>
      </w:pPr>
      <w:r/>
    </w:p>
    <w:p>
      <w:pPr>
        <w:pStyle w:val="BodyText"/>
        <w:spacing w:line="297" w:lineRule="auto"/>
        <w:rPr/>
      </w:pPr>
      <w:r/>
    </w:p>
    <w:p>
      <w:pPr>
        <w:spacing w:before="103" w:line="19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5"/>
        </w:rPr>
        <w:t>（2）函件统计</w:t>
      </w:r>
    </w:p>
    <w:p>
      <w:pPr>
        <w:ind w:left="1354"/>
        <w:spacing w:before="314" w:line="195" w:lineRule="auto"/>
        <w:rPr>
          <w:rFonts w:ascii="Microsoft YaHei" w:hAnsi="Microsoft YaHei" w:eastAsia="Microsoft YaHei" w:cs="Microsoft YaHei"/>
          <w:sz w:val="22"/>
          <w:szCs w:val="22"/>
        </w:rPr>
      </w:pPr>
      <w:r>
        <mc:AlternateContent xmlns:mc="http://schemas.openxmlformats.org/markup-compatibility/2006">
          <mc:Choice Requires="wps">
            <w:drawing>
              <wp:anchor distT="0" distB="0" distL="0" distR="0" simplePos="0" relativeHeight="251739136" behindDoc="1" locked="0" layoutInCell="1" allowOverlap="1">
                <wp:simplePos x="0" y="0"/>
                <wp:positionH relativeFrom="column">
                  <wp:posOffset>32918</wp:posOffset>
                </wp:positionH>
                <wp:positionV relativeFrom="paragraph">
                  <wp:posOffset>138156</wp:posOffset>
                </wp:positionV>
                <wp:extent cx="5716270" cy="384175"/>
                <wp:effectExtent l="0" t="0" r="0" b="0"/>
                <wp:wrapNone/>
                <wp:docPr id="38" name="Rect 38"/>
                <wp:cNvGraphicFramePr/>
                <a:graphic>
                  <a:graphicData uri="http://schemas.microsoft.com/office/word/2010/wordprocessingShape">
                    <wps:wsp>
                      <wps:cNvPr id="38" name="Rect 38"/>
                      <wps:cNvSpPr/>
                      <wps:spPr>
                        <a:xfrm>
                          <a:off x="32918" y="138156"/>
                          <a:ext cx="5716270" cy="384175"/>
                        </a:xfrm>
                        <a:prstGeom prst="rect">
                          <a:avLst/>
                        </a:prstGeom>
                        <a:solidFill>
                          <a:srgbClr val="4BACC6"/>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_x0000_s26" style="position:absolute;margin-left:2.592pt;margin-top:10.8785pt;mso-position-vertical-relative:text;mso-position-horizontal-relative:text;width:450.1pt;height:30.25pt;z-index:-251577344;" fillcolor="#4BACC6" filled="true" stroked="false"/>
            </w:pict>
          </mc:Fallback>
        </mc:AlternateContent>
      </w:r>
      <w:r>
        <w:pict>
          <v:shape id="_x0000_s28" style="position:absolute;margin-left:7.3328pt;margin-top:14.714pt;mso-position-vertical-relative:text;mso-position-horizontal-relative:text;width:45.95pt;height:17.35pt;z-index:251740160;" filled="false" stroked="false" type="#_x0000_t202">
            <v:fill on="false"/>
            <v:stroke on="false"/>
            <v:path/>
            <v:imagedata o:title=""/>
            <o:lock v:ext="edit" aspectratio="false"/>
            <v:textbox inset="0mm,0mm,0mm,0mm">
              <w:txbxContent>
                <w:p>
                  <w:pPr>
                    <w:ind w:left="20"/>
                    <w:spacing w:before="19" w:line="19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b/>
                      <w:bCs/>
                      <w:color w:val="FFFFFF"/>
                      <w:spacing w:val="-1"/>
                    </w:rPr>
                    <w:t>公司代码</w:t>
                  </w:r>
                </w:p>
              </w:txbxContent>
            </v:textbox>
          </v:shape>
        </w:pict>
      </w:r>
      <w:r>
        <w:pict>
          <v:shape id="_x0000_s30" style="position:absolute;margin-left:264.598pt;margin-top:14.714pt;mso-position-vertical-relative:text;mso-position-horizontal-relative:text;width:45.55pt;height:17.3pt;z-index:251741184;" filled="false" stroked="false" type="#_x0000_t202">
            <v:fill on="false"/>
            <v:stroke on="false"/>
            <v:path/>
            <v:imagedata o:title=""/>
            <o:lock v:ext="edit" aspectratio="false"/>
            <v:textbox inset="0mm,0mm,0mm,0mm">
              <w:txbxContent>
                <w:p>
                  <w:pPr>
                    <w:ind w:left="20"/>
                    <w:spacing w:before="20" w:line="19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b/>
                      <w:bCs/>
                      <w:color w:val="FFFFFF"/>
                      <w:spacing w:val="-2"/>
                    </w:rPr>
                    <w:t>问询类型</w:t>
                  </w:r>
                </w:p>
              </w:txbxContent>
            </v:textbox>
          </v:shape>
        </w:pict>
      </w:r>
      <w:r>
        <w:rPr>
          <w:rFonts w:ascii="Microsoft YaHei" w:hAnsi="Microsoft YaHei" w:eastAsia="Microsoft YaHei" w:cs="Microsoft YaHei"/>
          <w:sz w:val="22"/>
          <w:szCs w:val="22"/>
          <w:b/>
          <w:bCs/>
          <w:color w:val="FFFFFF"/>
          <w:spacing w:val="-1"/>
        </w:rPr>
        <w:t>公司简称</w:t>
      </w:r>
    </w:p>
    <w:p>
      <w:pPr>
        <w:spacing w:line="201" w:lineRule="exact"/>
        <w:rPr/>
      </w:pPr>
      <w:r/>
    </w:p>
    <w:tbl>
      <w:tblPr>
        <w:tblStyle w:val="TableNormal"/>
        <w:tblW w:w="9006" w:type="dxa"/>
        <w:tblInd w:w="49"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6"/>
        <w:gridCol w:w="1274"/>
        <w:gridCol w:w="6626"/>
      </w:tblGrid>
      <w:tr>
        <w:trPr>
          <w:trHeight w:val="467" w:hRule="atLeast"/>
        </w:trPr>
        <w:tc>
          <w:tcPr>
            <w:tcW w:w="1106" w:type="dxa"/>
            <w:vAlign w:val="top"/>
          </w:tcPr>
          <w:p>
            <w:pPr>
              <w:ind w:left="117"/>
              <w:spacing w:before="154"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002037</w:t>
            </w:r>
          </w:p>
        </w:tc>
        <w:tc>
          <w:tcPr>
            <w:tcW w:w="1274" w:type="dxa"/>
            <w:vAlign w:val="top"/>
          </w:tcPr>
          <w:p>
            <w:pPr>
              <w:ind w:left="105"/>
              <w:spacing w:before="14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保利联合</w:t>
            </w:r>
          </w:p>
        </w:tc>
        <w:tc>
          <w:tcPr>
            <w:tcW w:w="6626" w:type="dxa"/>
            <w:vAlign w:val="top"/>
          </w:tcPr>
          <w:p>
            <w:pPr>
              <w:ind w:left="3207"/>
              <w:spacing w:before="144"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5" w:hRule="atLeast"/>
        </w:trPr>
        <w:tc>
          <w:tcPr>
            <w:shd w:val="clear" w:fill="C7D9F1"/>
            <w:tcW w:w="1106" w:type="dxa"/>
            <w:vAlign w:val="top"/>
          </w:tcPr>
          <w:p>
            <w:pPr>
              <w:ind w:left="117"/>
              <w:spacing w:before="150"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002789</w:t>
            </w:r>
          </w:p>
        </w:tc>
        <w:tc>
          <w:tcPr>
            <w:shd w:val="clear" w:fill="C7D9F1"/>
            <w:tcW w:w="1274" w:type="dxa"/>
            <w:vAlign w:val="top"/>
          </w:tcPr>
          <w:p>
            <w:pPr>
              <w:ind w:left="106"/>
              <w:spacing w:before="14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建艺集团</w:t>
            </w:r>
          </w:p>
        </w:tc>
        <w:tc>
          <w:tcPr>
            <w:shd w:val="clear" w:fill="C7D9F1"/>
            <w:tcW w:w="6626" w:type="dxa"/>
            <w:vAlign w:val="top"/>
          </w:tcPr>
          <w:p>
            <w:pPr>
              <w:ind w:left="3207"/>
              <w:spacing w:before="14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3" w:hRule="atLeast"/>
        </w:trPr>
        <w:tc>
          <w:tcPr>
            <w:tcW w:w="1106" w:type="dxa"/>
            <w:vAlign w:val="top"/>
          </w:tcPr>
          <w:p>
            <w:pPr>
              <w:ind w:left="117"/>
              <w:spacing w:before="149"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002107</w:t>
            </w:r>
          </w:p>
        </w:tc>
        <w:tc>
          <w:tcPr>
            <w:tcW w:w="1274" w:type="dxa"/>
            <w:vAlign w:val="top"/>
          </w:tcPr>
          <w:p>
            <w:pPr>
              <w:ind w:left="106"/>
              <w:spacing w:before="14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沃华医药</w:t>
            </w:r>
          </w:p>
        </w:tc>
        <w:tc>
          <w:tcPr>
            <w:tcW w:w="6626" w:type="dxa"/>
            <w:vAlign w:val="top"/>
          </w:tcPr>
          <w:p>
            <w:pPr>
              <w:ind w:left="3207"/>
              <w:spacing w:before="14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5" w:hRule="atLeast"/>
        </w:trPr>
        <w:tc>
          <w:tcPr>
            <w:shd w:val="clear" w:fill="C7D9F1"/>
            <w:tcW w:w="1106" w:type="dxa"/>
            <w:vAlign w:val="top"/>
          </w:tcPr>
          <w:p>
            <w:pPr>
              <w:ind w:left="117"/>
              <w:spacing w:before="15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002528</w:t>
            </w:r>
          </w:p>
        </w:tc>
        <w:tc>
          <w:tcPr>
            <w:shd w:val="clear" w:fill="C7D9F1"/>
            <w:tcW w:w="1274" w:type="dxa"/>
            <w:vAlign w:val="top"/>
          </w:tcPr>
          <w:p>
            <w:pPr>
              <w:ind w:left="106"/>
              <w:spacing w:before="14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英飞拓</w:t>
            </w:r>
          </w:p>
        </w:tc>
        <w:tc>
          <w:tcPr>
            <w:shd w:val="clear" w:fill="C7D9F1"/>
            <w:tcW w:w="6626" w:type="dxa"/>
            <w:vAlign w:val="top"/>
          </w:tcPr>
          <w:p>
            <w:pPr>
              <w:ind w:left="3207"/>
              <w:spacing w:before="140"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3" w:hRule="atLeast"/>
        </w:trPr>
        <w:tc>
          <w:tcPr>
            <w:tcW w:w="1106" w:type="dxa"/>
            <w:vAlign w:val="top"/>
          </w:tcPr>
          <w:p>
            <w:pPr>
              <w:ind w:left="117"/>
              <w:spacing w:before="149"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002952</w:t>
            </w:r>
          </w:p>
        </w:tc>
        <w:tc>
          <w:tcPr>
            <w:tcW w:w="1274" w:type="dxa"/>
            <w:vAlign w:val="top"/>
          </w:tcPr>
          <w:p>
            <w:pPr>
              <w:ind w:left="106"/>
              <w:spacing w:before="139"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亚世光电</w:t>
            </w:r>
          </w:p>
        </w:tc>
        <w:tc>
          <w:tcPr>
            <w:tcW w:w="6626" w:type="dxa"/>
            <w:vAlign w:val="top"/>
          </w:tcPr>
          <w:p>
            <w:pPr>
              <w:ind w:left="3207"/>
              <w:spacing w:before="138"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3" w:hRule="atLeast"/>
        </w:trPr>
        <w:tc>
          <w:tcPr>
            <w:shd w:val="clear" w:fill="C7D9F1"/>
            <w:tcW w:w="1106" w:type="dxa"/>
            <w:vAlign w:val="top"/>
          </w:tcPr>
          <w:p>
            <w:pPr>
              <w:ind w:left="117"/>
              <w:spacing w:before="152"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000692</w:t>
            </w:r>
          </w:p>
        </w:tc>
        <w:tc>
          <w:tcPr>
            <w:shd w:val="clear" w:fill="C7D9F1"/>
            <w:tcW w:w="1274" w:type="dxa"/>
            <w:vAlign w:val="top"/>
          </w:tcPr>
          <w:p>
            <w:pPr>
              <w:ind w:left="111"/>
              <w:spacing w:before="14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*ST惠天</w:t>
            </w:r>
          </w:p>
        </w:tc>
        <w:tc>
          <w:tcPr>
            <w:shd w:val="clear" w:fill="C7D9F1"/>
            <w:tcW w:w="6626" w:type="dxa"/>
            <w:vAlign w:val="top"/>
          </w:tcPr>
          <w:p>
            <w:pPr>
              <w:ind w:left="3207"/>
              <w:spacing w:before="14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5" w:hRule="atLeast"/>
        </w:trPr>
        <w:tc>
          <w:tcPr>
            <w:tcW w:w="1106" w:type="dxa"/>
            <w:vAlign w:val="top"/>
          </w:tcPr>
          <w:p>
            <w:pPr>
              <w:ind w:left="117"/>
              <w:spacing w:before="150"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002681</w:t>
            </w:r>
          </w:p>
        </w:tc>
        <w:tc>
          <w:tcPr>
            <w:tcW w:w="1274" w:type="dxa"/>
            <w:vAlign w:val="top"/>
          </w:tcPr>
          <w:p>
            <w:pPr>
              <w:ind w:left="105"/>
              <w:spacing w:before="141"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奋达科技</w:t>
            </w:r>
          </w:p>
        </w:tc>
        <w:tc>
          <w:tcPr>
            <w:tcW w:w="6626" w:type="dxa"/>
            <w:vAlign w:val="top"/>
          </w:tcPr>
          <w:p>
            <w:pPr>
              <w:ind w:left="3207"/>
              <w:spacing w:before="14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2" w:hRule="atLeast"/>
        </w:trPr>
        <w:tc>
          <w:tcPr>
            <w:shd w:val="clear" w:fill="C7D9F1"/>
            <w:tcW w:w="1106" w:type="dxa"/>
            <w:vAlign w:val="top"/>
          </w:tcPr>
          <w:p>
            <w:pPr>
              <w:ind w:left="117"/>
              <w:spacing w:before="152"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002748</w:t>
            </w:r>
          </w:p>
        </w:tc>
        <w:tc>
          <w:tcPr>
            <w:shd w:val="clear" w:fill="C7D9F1"/>
            <w:tcW w:w="1274" w:type="dxa"/>
            <w:vAlign w:val="top"/>
          </w:tcPr>
          <w:p>
            <w:pPr>
              <w:ind w:left="108"/>
              <w:spacing w:before="142"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世龙实业</w:t>
            </w:r>
          </w:p>
        </w:tc>
        <w:tc>
          <w:tcPr>
            <w:shd w:val="clear" w:fill="C7D9F1"/>
            <w:tcW w:w="6626" w:type="dxa"/>
            <w:vAlign w:val="top"/>
          </w:tcPr>
          <w:p>
            <w:pPr>
              <w:ind w:left="3207"/>
              <w:spacing w:before="14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5" w:hRule="atLeast"/>
        </w:trPr>
        <w:tc>
          <w:tcPr>
            <w:tcW w:w="1106" w:type="dxa"/>
            <w:vAlign w:val="top"/>
          </w:tcPr>
          <w:p>
            <w:pPr>
              <w:ind w:left="117"/>
              <w:spacing w:before="151" w:line="173"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2"/>
              </w:rPr>
              <w:t>000615</w:t>
            </w:r>
          </w:p>
        </w:tc>
        <w:tc>
          <w:tcPr>
            <w:tcW w:w="1274" w:type="dxa"/>
            <w:vAlign w:val="top"/>
          </w:tcPr>
          <w:p>
            <w:pPr>
              <w:ind w:left="111"/>
              <w:spacing w:before="144"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*ST美谷</w:t>
            </w:r>
          </w:p>
        </w:tc>
        <w:tc>
          <w:tcPr>
            <w:tcW w:w="6626" w:type="dxa"/>
            <w:vAlign w:val="top"/>
          </w:tcPr>
          <w:p>
            <w:pPr>
              <w:ind w:left="3207"/>
              <w:spacing w:before="143"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2" w:hRule="atLeast"/>
        </w:trPr>
        <w:tc>
          <w:tcPr>
            <w:shd w:val="clear" w:fill="C7D9F1"/>
            <w:tcW w:w="1106" w:type="dxa"/>
            <w:vAlign w:val="top"/>
          </w:tcPr>
          <w:p>
            <w:pPr>
              <w:ind w:left="122"/>
              <w:spacing w:before="151"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300742</w:t>
            </w:r>
          </w:p>
        </w:tc>
        <w:tc>
          <w:tcPr>
            <w:shd w:val="clear" w:fill="C7D9F1"/>
            <w:tcW w:w="1274" w:type="dxa"/>
            <w:vAlign w:val="top"/>
          </w:tcPr>
          <w:p>
            <w:pPr>
              <w:ind w:left="111"/>
              <w:spacing w:before="142"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*ST越博</w:t>
            </w:r>
          </w:p>
        </w:tc>
        <w:tc>
          <w:tcPr>
            <w:shd w:val="clear" w:fill="C7D9F1"/>
            <w:tcW w:w="6626" w:type="dxa"/>
            <w:vAlign w:val="top"/>
          </w:tcPr>
          <w:p>
            <w:pPr>
              <w:ind w:left="3207"/>
              <w:spacing w:before="141"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46" w:hRule="atLeast"/>
        </w:trPr>
        <w:tc>
          <w:tcPr>
            <w:tcW w:w="1106" w:type="dxa"/>
            <w:vAlign w:val="top"/>
          </w:tcPr>
          <w:p>
            <w:pPr>
              <w:ind w:left="122"/>
              <w:spacing w:before="14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300237</w:t>
            </w:r>
          </w:p>
        </w:tc>
        <w:tc>
          <w:tcPr>
            <w:tcW w:w="1274" w:type="dxa"/>
            <w:vAlign w:val="top"/>
          </w:tcPr>
          <w:p>
            <w:pPr>
              <w:ind w:left="106"/>
              <w:spacing w:before="13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美晨生态</w:t>
            </w:r>
          </w:p>
        </w:tc>
        <w:tc>
          <w:tcPr>
            <w:tcW w:w="6626" w:type="dxa"/>
            <w:vAlign w:val="top"/>
          </w:tcPr>
          <w:p>
            <w:pPr>
              <w:ind w:left="3207"/>
              <w:spacing w:before="135"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63" w:hRule="atLeast"/>
        </w:trPr>
        <w:tc>
          <w:tcPr>
            <w:shd w:val="clear" w:fill="C7D9F1"/>
            <w:tcW w:w="1106" w:type="dxa"/>
            <w:vAlign w:val="top"/>
          </w:tcPr>
          <w:p>
            <w:pPr>
              <w:ind w:left="122"/>
              <w:spacing w:before="154"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300965</w:t>
            </w:r>
          </w:p>
        </w:tc>
        <w:tc>
          <w:tcPr>
            <w:shd w:val="clear" w:fill="C7D9F1"/>
            <w:tcW w:w="1274" w:type="dxa"/>
            <w:vAlign w:val="top"/>
          </w:tcPr>
          <w:p>
            <w:pPr>
              <w:ind w:left="106"/>
              <w:spacing w:before="146"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恒宇信通</w:t>
            </w:r>
          </w:p>
        </w:tc>
        <w:tc>
          <w:tcPr>
            <w:shd w:val="clear" w:fill="C7D9F1"/>
            <w:tcW w:w="6626" w:type="dxa"/>
            <w:vAlign w:val="top"/>
          </w:tcPr>
          <w:p>
            <w:pPr>
              <w:ind w:left="3207"/>
              <w:spacing w:before="144"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r>
        <w:trPr>
          <w:trHeight w:val="470" w:hRule="atLeast"/>
        </w:trPr>
        <w:tc>
          <w:tcPr>
            <w:tcW w:w="1106" w:type="dxa"/>
            <w:vAlign w:val="top"/>
          </w:tcPr>
          <w:p>
            <w:pPr>
              <w:ind w:left="122"/>
              <w:spacing w:before="155"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300256</w:t>
            </w:r>
          </w:p>
        </w:tc>
        <w:tc>
          <w:tcPr>
            <w:tcW w:w="1274" w:type="dxa"/>
            <w:vAlign w:val="top"/>
          </w:tcPr>
          <w:p>
            <w:pPr>
              <w:ind w:left="107"/>
              <w:spacing w:before="145"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星星科技</w:t>
            </w:r>
          </w:p>
        </w:tc>
        <w:tc>
          <w:tcPr>
            <w:tcW w:w="6626" w:type="dxa"/>
            <w:vAlign w:val="top"/>
          </w:tcPr>
          <w:p>
            <w:pPr>
              <w:ind w:left="3207"/>
              <w:spacing w:before="145"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bl>
    <w:p>
      <w:pPr>
        <w:pStyle w:val="BodyText"/>
        <w:rPr/>
      </w:pPr>
      <w:r/>
    </w:p>
    <w:p>
      <w:pPr>
        <w:sectPr>
          <w:pgSz w:w="11912" w:h="16841"/>
          <w:pgMar w:top="400" w:right="1454" w:bottom="0" w:left="1393" w:header="0" w:footer="0" w:gutter="0"/>
        </w:sectPr>
        <w:rPr/>
      </w:pPr>
    </w:p>
    <w:tbl>
      <w:tblPr>
        <w:tblStyle w:val="TableNormal"/>
        <w:tblW w:w="9006" w:type="dxa"/>
        <w:tblInd w:w="1002"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6"/>
        <w:gridCol w:w="1274"/>
        <w:gridCol w:w="6626"/>
      </w:tblGrid>
      <w:tr>
        <w:trPr>
          <w:trHeight w:val="467" w:hRule="atLeast"/>
        </w:trPr>
        <w:tc>
          <w:tcPr>
            <w:shd w:val="clear" w:fill="C7D9F1"/>
            <w:tcW w:w="1106" w:type="dxa"/>
            <w:vAlign w:val="top"/>
          </w:tcPr>
          <w:p>
            <w:pPr>
              <w:ind w:left="122"/>
              <w:spacing w:before="152" w:line="172"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3"/>
              </w:rPr>
              <w:t>300205</w:t>
            </w:r>
          </w:p>
        </w:tc>
        <w:tc>
          <w:tcPr>
            <w:shd w:val="clear" w:fill="C7D9F1"/>
            <w:tcW w:w="1274" w:type="dxa"/>
            <w:vAlign w:val="top"/>
          </w:tcPr>
          <w:p>
            <w:pPr>
              <w:ind w:left="106"/>
              <w:spacing w:before="143" w:line="195"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rPr>
              <w:t>天喻信息</w:t>
            </w:r>
          </w:p>
        </w:tc>
        <w:tc>
          <w:tcPr>
            <w:shd w:val="clear" w:fill="C7D9F1"/>
            <w:tcW w:w="6626" w:type="dxa"/>
            <w:vAlign w:val="top"/>
          </w:tcPr>
          <w:p>
            <w:pPr>
              <w:ind w:left="3207"/>
              <w:spacing w:before="142" w:line="196" w:lineRule="auto"/>
              <w:rPr>
                <w:rFonts w:ascii="Microsoft YaHei" w:hAnsi="Microsoft YaHei" w:eastAsia="Microsoft YaHei" w:cs="Microsoft YaHei"/>
                <w:sz w:val="21"/>
                <w:szCs w:val="21"/>
              </w:rPr>
            </w:pPr>
            <w:r>
              <w:rPr>
                <w:rFonts w:ascii="Microsoft YaHei" w:hAnsi="Microsoft YaHei" w:eastAsia="Microsoft YaHei" w:cs="Microsoft YaHei"/>
                <w:sz w:val="21"/>
                <w:szCs w:val="21"/>
                <w:color w:val="333333"/>
                <w:spacing w:val="-1"/>
              </w:rPr>
              <w:t>关注函</w:t>
            </w:r>
          </w:p>
        </w:tc>
      </w:tr>
    </w:tbl>
    <w:p>
      <w:pPr>
        <w:pStyle w:val="BodyText"/>
        <w:spacing w:line="297" w:lineRule="auto"/>
        <w:rPr/>
      </w:pPr>
      <w:r/>
    </w:p>
    <w:p>
      <w:pPr>
        <w:pStyle w:val="BodyText"/>
        <w:spacing w:line="297" w:lineRule="auto"/>
        <w:rPr/>
      </w:pPr>
      <w:r/>
    </w:p>
    <w:p>
      <w:pPr>
        <w:pStyle w:val="BodyText"/>
        <w:spacing w:line="298" w:lineRule="auto"/>
        <w:rPr/>
      </w:pPr>
      <w:r/>
    </w:p>
    <w:p>
      <w:pPr>
        <w:ind w:left="491"/>
        <w:spacing w:before="103" w:line="194"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ind w:right="175" w:firstLine="453"/>
        <w:spacing w:before="305" w:line="22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1"/>
        </w:rPr>
        <w:t>2023年12月25日-12月31日，深交所共对92起证券异常交易行为采取了自律监管措施，</w:t>
      </w:r>
      <w:r>
        <w:rPr>
          <w:rFonts w:ascii="Microsoft YaHei" w:hAnsi="Microsoft YaHei" w:eastAsia="Microsoft YaHei" w:cs="Microsoft YaHei"/>
          <w:sz w:val="22"/>
          <w:szCs w:val="22"/>
          <w:spacing w:val="20"/>
        </w:rPr>
        <w:t xml:space="preserve"> </w:t>
      </w:r>
      <w:r>
        <w:rPr>
          <w:rFonts w:ascii="Microsoft YaHei" w:hAnsi="Microsoft YaHei" w:eastAsia="Microsoft YaHei" w:cs="Microsoft YaHei"/>
          <w:sz w:val="22"/>
          <w:szCs w:val="22"/>
          <w:spacing w:val="-1"/>
        </w:rPr>
        <w:t>涉及盘中拉抬打压、 </w:t>
      </w:r>
      <w:r>
        <w:rPr>
          <w:rFonts w:ascii="Microsoft YaHei" w:hAnsi="Microsoft YaHei" w:eastAsia="Microsoft YaHei" w:cs="Microsoft YaHei"/>
          <w:sz w:val="22"/>
          <w:szCs w:val="22"/>
          <w:spacing w:val="4"/>
        </w:rPr>
        <w:t>虚假申报等异常交易情形；对“亚世光电”“*</w:t>
      </w:r>
      <w:r>
        <w:rPr>
          <w:rFonts w:ascii="Microsoft YaHei" w:hAnsi="Microsoft YaHei" w:eastAsia="Microsoft YaHei" w:cs="Microsoft YaHei"/>
          <w:sz w:val="22"/>
          <w:szCs w:val="22"/>
        </w:rPr>
        <w:t>ST</w:t>
      </w:r>
      <w:r>
        <w:rPr>
          <w:rFonts w:ascii="Microsoft YaHei" w:hAnsi="Microsoft YaHei" w:eastAsia="Microsoft YaHei" w:cs="Microsoft YaHei"/>
          <w:sz w:val="22"/>
          <w:szCs w:val="22"/>
          <w:spacing w:val="4"/>
        </w:rPr>
        <w:t>左江”进行重点监控；共对9起上市公司重大</w:t>
      </w:r>
      <w:r>
        <w:rPr>
          <w:rFonts w:ascii="Microsoft YaHei" w:hAnsi="Microsoft YaHei" w:eastAsia="Microsoft YaHei" w:cs="Microsoft YaHei"/>
          <w:sz w:val="22"/>
          <w:szCs w:val="22"/>
          <w:spacing w:val="3"/>
        </w:rPr>
        <w:t>事项进行核查，并</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rPr>
        <w:t>上报证监会1起涉嫌违法违规案件线索。</w:t>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pStyle w:val="BodyText"/>
        <w:spacing w:line="241" w:lineRule="auto"/>
        <w:rPr/>
      </w:pPr>
      <w:r/>
    </w:p>
    <w:p>
      <w:pPr>
        <w:ind w:left="497"/>
        <w:spacing w:before="103" w:line="19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3、会员监管动态</w:t>
      </w:r>
    </w:p>
    <w:p>
      <w:pPr>
        <w:spacing w:before="309" w:line="19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1"/>
        </w:rPr>
        <w:t>2023年12月25日-12月31日，深交所针对重大资产重组独立财务顾问、投资者适当性管理履职不到位的情形，</w:t>
      </w:r>
    </w:p>
    <w:p>
      <w:pPr>
        <w:spacing w:before="72" w:line="19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rPr>
        <w:t>分别对两家会员采取了口头警示的自律监管措施</w:t>
      </w:r>
    </w:p>
    <w:sectPr>
      <w:pgSz w:w="11912" w:h="16841"/>
      <w:pgMar w:top="400" w:right="283" w:bottom="0" w:left="44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7.jpeg"/><Relationship Id="rId8" Type="http://schemas.openxmlformats.org/officeDocument/2006/relationships/image" Target="media/image6.jpeg"/><Relationship Id="rId7" Type="http://schemas.openxmlformats.org/officeDocument/2006/relationships/image" Target="media/image5.jpeg"/><Relationship Id="rId6" Type="http://schemas.openxmlformats.org/officeDocument/2006/relationships/image" Target="media/image4.jpeg"/><Relationship Id="rId5" Type="http://schemas.openxmlformats.org/officeDocument/2006/relationships/image" Target="media/image3.jpeg"/><Relationship Id="rId4" Type="http://schemas.openxmlformats.org/officeDocument/2006/relationships/image" Target="media/image2.jpeg"/><Relationship Id="rId3" Type="http://schemas.openxmlformats.org/officeDocument/2006/relationships/header" Target="header2.xml"/><Relationship Id="rId26" Type="http://schemas.openxmlformats.org/officeDocument/2006/relationships/fontTable" Target="fontTable.xml"/><Relationship Id="rId25" Type="http://schemas.openxmlformats.org/officeDocument/2006/relationships/styles" Target="styles.xml"/><Relationship Id="rId24" Type="http://schemas.openxmlformats.org/officeDocument/2006/relationships/settings" Target="settings.xml"/><Relationship Id="rId23" Type="http://schemas.openxmlformats.org/officeDocument/2006/relationships/image" Target="media/image21.jpeg"/><Relationship Id="rId22" Type="http://schemas.openxmlformats.org/officeDocument/2006/relationships/image" Target="media/image20.jpeg"/><Relationship Id="rId21" Type="http://schemas.openxmlformats.org/officeDocument/2006/relationships/image" Target="media/image19.jpeg"/><Relationship Id="rId20" Type="http://schemas.openxmlformats.org/officeDocument/2006/relationships/image" Target="media/image18.jpeg"/><Relationship Id="rId2" Type="http://schemas.openxmlformats.org/officeDocument/2006/relationships/image" Target="media/image1.jpeg"/><Relationship Id="rId19" Type="http://schemas.openxmlformats.org/officeDocument/2006/relationships/image" Target="media/image17.jpeg"/><Relationship Id="rId18" Type="http://schemas.openxmlformats.org/officeDocument/2006/relationships/image" Target="media/image16.jpeg"/><Relationship Id="rId17" Type="http://schemas.openxmlformats.org/officeDocument/2006/relationships/image" Target="media/image15.jpeg"/><Relationship Id="rId16" Type="http://schemas.openxmlformats.org/officeDocument/2006/relationships/image" Target="media/image14.jpeg"/><Relationship Id="rId15" Type="http://schemas.openxmlformats.org/officeDocument/2006/relationships/image" Target="media/image13.jpeg"/><Relationship Id="rId14" Type="http://schemas.openxmlformats.org/officeDocument/2006/relationships/image" Target="media/image12.jpeg"/><Relationship Id="rId13" Type="http://schemas.openxmlformats.org/officeDocument/2006/relationships/image" Target="media/image11.jpeg"/><Relationship Id="rId12" Type="http://schemas.openxmlformats.org/officeDocument/2006/relationships/image" Target="media/image10.jpeg"/><Relationship Id="rId11" Type="http://schemas.openxmlformats.org/officeDocument/2006/relationships/image" Target="media/image9.jpeg"/><Relationship Id="rId10" Type="http://schemas.openxmlformats.org/officeDocument/2006/relationships/image" Target="media/image8.jpeg"/><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2024-02-01T17:18:28Z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2024-02-01T17:18:35</vt:filetime>
  </property>
  <property fmtid="{D5CDD505-2E9C-101B-9397-08002B2CF9AE}" pid="4" name="UsrData">
    <vt:lpwstr>65bb61dfcf550f001fd2e8bdwl</vt:lpwstr>
  </property>
</Properties>
</file>